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160"/>
      </w:pPr>
      <w:r>
        <w:rPr>
          <w:rFonts w:ascii="Microsoft YaHei" w:hAnsi="Microsoft YaHei" w:eastAsia="Microsoft YaHei"/>
          <w:b/>
          <w:color w:val="16324F"/>
          <w:sz w:val="50"/>
        </w:rPr>
        <w:t>API 接口设计说明书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67085"/>
          <w:sz w:val="26"/>
        </w:rPr>
        <w:t>面向前后端联调、功能测试、部署验收与课堂答辩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文档项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V2.0（2026-07-14）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接口规模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63 个 HTTP 接口 / 14 个 Controller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后端基线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Java 17 / Spring Boot 3.3.5 / MyBatis-Plus 3.5.7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本地基础地址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http://localhost:8087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前端代理地址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/api（Vite 或 Nginx 去掉前缀后转发）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Microsoft YaHei" w:hAnsi="Microsoft YaHei" w:eastAsia="Microsoft YaHei"/>
          <w:color w:val="667085"/>
          <w:sz w:val="19"/>
        </w:rPr>
        <w:t>依据当前主系统源代码、完整 SQL 与前端路由同步生成</w:t>
      </w:r>
    </w:p>
    <w:p>
      <w:r>
        <w:br w:type="page"/>
      </w:r>
    </w:p>
    <w:p>
      <w:pPr>
        <w:pStyle w:val="Heading1"/>
      </w:pPr>
      <w:r>
        <w:t>1 文档范围与通用约定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本说明书以当前 Controller 映射为准。接口数量不包含前端路由、Service 方法和定时任务。微信/支付宝通知按平台协议响应，其余业务接口使用统一 Result 结构。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项目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约定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字符集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UTF-8；常规请求体为 application/json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时间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后端 LocalDateTime；前端格式化为 yyyy-MM-dd HH:mm:ss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金额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BigDecimal / DECIMAL，单位人民币元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分页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当前列表接口不分页，直接返回数组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成功响应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{"code":200,"message":"成功","data":...}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业务失败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{"code":500,"message":"中文错误提示","data":null}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登录边界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当前无统一后端鉴权；页面状态保存在 localStorage.user/admin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FC6E9"/>
          <w:left w:val="single" w:sz="4" w:space="0" w:color="AFC6E9"/>
          <w:bottom w:val="single" w:sz="4" w:space="0" w:color="AFC6E9"/>
          <w:right w:val="single" w:sz="4" w:space="0" w:color="AFC6E9"/>
          <w:insideH w:val="single" w:sz="4" w:space="0" w:color="AFC6E9"/>
          <w:insideV w:val="single" w:sz="4" w:space="0" w:color="AFC6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324F"/>
                <w:sz w:val="22"/>
              </w:rPr>
              <w:t xml:space="preserve">重要  </w:t>
            </w:r>
            <w:r>
              <w:rPr>
                <w:rFonts w:ascii="Microsoft YaHei" w:hAnsi="Microsoft YaHei" w:eastAsia="Microsoft YaHei"/>
                <w:color w:val="172B4D"/>
                <w:sz w:val="22"/>
              </w:rPr>
              <w:t>生产环境必须增加后端身份认证和接口授权。memberId 等参数目前不能视为可信身份凭据。</w:t>
            </w:r>
          </w:p>
        </w:tc>
      </w:tr>
    </w:tbl>
    <w:p>
      <w:pPr>
        <w:spacing w:after="0"/>
      </w:pPr>
    </w:p>
    <w:p>
      <w:pPr>
        <w:pStyle w:val="Heading1"/>
      </w:pPr>
      <w:r>
        <w:t>2 接口模块统计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3600"/>
        <w:gridCol w:w="27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路径前缀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接口数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管理员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admin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看板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dashboard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会员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member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电脑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computer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充值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recharge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上机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online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预约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reservation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点餐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food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支付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payment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用户自助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user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优惠券签到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coupon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9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团购券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voucher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推广计划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promotion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服务中心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repair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</w:pPr>
      <w:r>
        <w:t>3 接口总览</w:t>
      </w:r>
    </w:p>
    <w:p>
      <w:pPr>
        <w:pStyle w:val="Heading2"/>
      </w:pPr>
      <w:r>
        <w:t>3.1 管理员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/admin/login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管理员登录</w:t>
            </w:r>
          </w:p>
        </w:tc>
      </w:tr>
    </w:tbl>
    <w:p>
      <w:pPr>
        <w:spacing w:after="0"/>
      </w:pPr>
    </w:p>
    <w:p>
      <w:pPr>
        <w:pStyle w:val="Heading2"/>
      </w:pPr>
      <w:r>
        <w:t>3.2 看板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/dashboard/statistics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查询首页经营统计</w:t>
            </w:r>
          </w:p>
        </w:tc>
      </w:tr>
    </w:tbl>
    <w:p>
      <w:pPr>
        <w:spacing w:after="0"/>
      </w:pPr>
    </w:p>
    <w:p>
      <w:pPr>
        <w:pStyle w:val="Heading2"/>
      </w:pPr>
      <w:r>
        <w:t>3.3 会员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新增会员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API-004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/member/delete/{id}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删除会员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查询会员列表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API-006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/member/update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修改会员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查询会员详情</w:t>
            </w:r>
          </w:p>
        </w:tc>
      </w:tr>
    </w:tbl>
    <w:p>
      <w:pPr>
        <w:spacing w:after="0"/>
      </w:pPr>
    </w:p>
    <w:p>
      <w:pPr>
        <w:pStyle w:val="Heading2"/>
      </w:pPr>
      <w:r>
        <w:t>3.4 电脑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新增电脑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API-009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/computer/delete/{id}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删除电脑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/computer/free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查询空闲电脑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API-011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查询电脑列表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/computer/update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修改电脑</w:t>
            </w:r>
          </w:p>
        </w:tc>
      </w:tr>
    </w:tbl>
    <w:p>
      <w:pPr>
        <w:spacing w:after="0"/>
      </w:pPr>
    </w:p>
    <w:p>
      <w:pPr>
        <w:pStyle w:val="Heading2"/>
      </w:pPr>
      <w:r>
        <w:t>3.5 充值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/recharge/add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会员余额充值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API-014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/recharge/list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查询充值记录</w:t>
            </w:r>
          </w:p>
        </w:tc>
      </w:tr>
    </w:tbl>
    <w:p>
      <w:pPr>
        <w:spacing w:after="0"/>
      </w:pPr>
    </w:p>
    <w:p>
      <w:pPr>
        <w:pStyle w:val="Heading2"/>
      </w:pPr>
      <w:r>
        <w:t>3.6 上机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/online/end/{recordId}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下机结算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API-016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查询上机记录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/online/running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查询进行中上机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API-018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/online/start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开始上机</w:t>
            </w:r>
          </w:p>
        </w:tc>
      </w:tr>
    </w:tbl>
    <w:p>
      <w:pPr>
        <w:spacing w:after="0"/>
      </w:pPr>
    </w:p>
    <w:p>
      <w:pPr>
        <w:pStyle w:val="Heading2"/>
      </w:pPr>
      <w:r>
        <w:t>3.7 预约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API-019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新增预约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API-020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/reservation/cancel/{id}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取消预约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查询预约记录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API-022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/reservation/start/{id}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预约转上机</w:t>
            </w:r>
          </w:p>
        </w:tc>
      </w:tr>
    </w:tbl>
    <w:p>
      <w:pPr>
        <w:spacing w:after="0"/>
      </w:pPr>
    </w:p>
    <w:p>
      <w:pPr>
        <w:pStyle w:val="Heading2"/>
      </w:pPr>
      <w:r>
        <w:t>3.8 点餐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新增商品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API-024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/food/item/available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查询可售商品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/food/item/delete/{id}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删除商品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API-026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查询商品列表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/food/item/update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修改商品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API-028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/food/order/add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创建单商品订单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API-029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/food/order/batch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创建购物车批量订单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API-030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/food/order/cancel/{id}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取消订单/发起退款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/food/order/complete/{id}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完成订单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API-032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查询点餐订单</w:t>
            </w:r>
          </w:p>
        </w:tc>
      </w:tr>
    </w:tbl>
    <w:p>
      <w:pPr>
        <w:spacing w:after="0"/>
      </w:pPr>
    </w:p>
    <w:p>
      <w:pPr>
        <w:pStyle w:val="Heading2"/>
      </w:pPr>
      <w:r>
        <w:t>3.9 支付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/payment/alipay/page/{outTradeNo}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生成支付宝收银台页面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API-034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/payment/notify/alipay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接收支付宝支付通知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/payment/notify/wechat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接收微信支付通知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API-036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/payment/notify/wechat/refund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接收微信退款通知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/payment/status/{outTradeNo}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查询支付状态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API-038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/payment/wechat/qrcode/{outTradeNo}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生成微信支付二维码 PNG</w:t>
            </w:r>
          </w:p>
        </w:tc>
      </w:tr>
    </w:tbl>
    <w:p>
      <w:pPr>
        <w:spacing w:after="0"/>
      </w:pPr>
    </w:p>
    <w:p>
      <w:pPr>
        <w:pStyle w:val="Heading2"/>
      </w:pPr>
      <w:r>
        <w:t>3.10 用户自助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API-039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/user/balance-detail/{memberId}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查询余额明细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API-040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/user/change-password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修改用户密码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/user/login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用户身份证号登录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API-042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/user/online-records/{memberId}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查询我的上机记录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/user/orders/{memberId}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查询我的点餐订单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API-044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/user/register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用户注册/邀请码奖励</w:t>
            </w:r>
          </w:p>
        </w:tc>
      </w:tr>
    </w:tbl>
    <w:p>
      <w:pPr>
        <w:spacing w:after="0"/>
      </w:pPr>
    </w:p>
    <w:p>
      <w:pPr>
        <w:pStyle w:val="Heading2"/>
      </w:pPr>
      <w:r>
        <w:t>3.11 优惠券签到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/coupon/rule/list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查询签到奖励规则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API-046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/coupon/rule/save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新增或修改签到奖励规则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/coupon/rule/{id}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删除签到奖励规则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API-048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/coupon/sign-in/status/{memberId}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查询今日签到状态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API-049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/coupon/sign-in/{memberId}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执行每日签到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API-050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/coupon/template/list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查询优惠券模板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/coupon/template/save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新增或修改优惠券模板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API-052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/coupon/template/status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启用或停用优惠券模板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/coupon/user/{memberId}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查询用户优惠券</w:t>
            </w:r>
          </w:p>
        </w:tc>
      </w:tr>
    </w:tbl>
    <w:p>
      <w:pPr>
        <w:spacing w:after="0"/>
      </w:pPr>
    </w:p>
    <w:p>
      <w:pPr>
        <w:pStyle w:val="Heading2"/>
      </w:pPr>
      <w:r>
        <w:t>3.12 团购券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新增团购券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API-055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查询团购券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/voucher/redeem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核销团购券并充值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API-057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/voucher/status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启用或禁用团购券</w:t>
            </w:r>
          </w:p>
        </w:tc>
      </w:tr>
    </w:tbl>
    <w:p>
      <w:pPr>
        <w:spacing w:after="0"/>
      </w:pPr>
    </w:p>
    <w:p>
      <w:pPr>
        <w:pStyle w:val="Heading2"/>
      </w:pPr>
      <w:r>
        <w:t>3.13 推广计划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/promotion/admin/overview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查询后台推广概览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API-059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/promotion/overview/{memberId}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查询用户推广概览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/promotion/rule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更新推广奖励规则</w:t>
            </w:r>
          </w:p>
        </w:tc>
      </w:tr>
    </w:tbl>
    <w:p>
      <w:pPr>
        <w:spacing w:after="0"/>
      </w:pPr>
    </w:p>
    <w:p>
      <w:pPr>
        <w:pStyle w:val="Heading2"/>
      </w:pPr>
      <w:r>
        <w:t>3.14 服务中心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/repair/list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查询服务工单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API-062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/repair/process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处理服务工单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/repair/report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提交呼叫网管/故障报修</w:t>
            </w:r>
          </w:p>
        </w:tc>
      </w:tr>
    </w:tbl>
    <w:p>
      <w:pPr>
        <w:spacing w:after="0"/>
      </w:pPr>
    </w:p>
    <w:p>
      <w:pPr>
        <w:pStyle w:val="Heading1"/>
      </w:pPr>
      <w:r>
        <w:t>4 核心请求与响应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00"/>
        <w:gridCol w:w="1800"/>
        <w:gridCol w:w="3600"/>
        <w:gridCol w:w="266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场景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接口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请求示例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用户注册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/user/register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{"name":"王五","idCard":"...","phone":"...","password":"123456","invitationCode":"WG000001"}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返回新会员；邀请码可选，活动启用且有效时双方奖励。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开始上机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/online/start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{"memberId":1,"computerId":3}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校验会员、重复上机、电脑状态和首小时余额。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新增预约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/reservation/add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{"memberId":1,"computerId":3,"reserveTime":"2026-07-14 19:30:00"}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仅允许当前至未来一小时，同一用户一条有效预约。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购物车结算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/food/order/batch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{"memberId":1,"userCouponId":2,"paymentMethod":"余额支付","items":[{"foodItemId":1,"quantity":2}]}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支付方式可为余额支付、微信支付、支付宝支付。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团购券核销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/voucher/redeem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{"memberId":1,"voucherCode":"WGT-TEST-50"}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券码必须后台已录入、未使用、未禁用且未过期。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服务工单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/repair/report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{"memberId":1,"serviceType":"呼叫网管","serviceLocation":"电竞一区 A003","problemDescription":"需要协助"}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故障报修必须选择 computerId；呼叫网管可只填写位置。</w:t>
            </w:r>
          </w:p>
        </w:tc>
      </w:tr>
    </w:tbl>
    <w:p>
      <w:pPr>
        <w:spacing w:after="0"/>
      </w:pPr>
    </w:p>
    <w:p>
      <w:pPr>
        <w:pStyle w:val="Heading1"/>
      </w:pPr>
      <w:r>
        <w:t>5 状态字典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3600"/>
        <w:gridCol w:w="3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对象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状态值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member.status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正常、禁用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只有正常用户可登录和办理业务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computer.status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空闲、使用中、预约锁定、维修中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与上机、预约、故障工单联动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online_record.status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进行中、已完成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余额不足可自动完成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reservation_record.status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已预约、已取消、已上机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超时自动取消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food_order.status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待支付、已下单、退款中、已完成、已取消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订单业务状态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payment_record.status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待支付、已支付、已关闭、部分退款、退款中、已退款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第三方支付主状态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payment_refund.status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退款中、已退款、退款失败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退款明细状态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user_coupon.status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可使用、已使用、已过期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点餐优惠券状态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group_buy_voucher.status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未使用、已使用、已禁用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核销充值券状态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repair_record.status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待处理、处理中、已完成、已取消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统一服务工单状态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promotion_rule.status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启用、停用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推广活动开关</w:t>
            </w:r>
          </w:p>
        </w:tc>
      </w:tr>
    </w:tbl>
    <w:p>
      <w:pPr>
        <w:spacing w:after="0"/>
      </w:pPr>
    </w:p>
    <w:p>
      <w:pPr>
        <w:pStyle w:val="Heading1"/>
      </w:pPr>
      <w:r>
        <w:t>6 支付与回调约定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接口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响应与注意事项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GET /payment/wechat/qrcode/{outTradeNo}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返回 image/png；支付平台未启用或支付单不存在时返回错误。</w:t>
            </w:r>
          </w:p>
        </w:tc>
      </w:tr>
      <w:tr>
        <w:trPr>
          <w:cantSplit w:val="true"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GET /payment/alipay/page/{outTradeNo}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返回 text/html 收银台页面。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POST /payment/notify/wechat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验证 Wechatpay-* 头和通知正文，成功返回 SUCCESS JSON。</w:t>
            </w:r>
          </w:p>
        </w:tc>
      </w:tr>
      <w:tr>
        <w:trPr>
          <w:cantSplit w:val="true"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POST /payment/notify/wechat/refund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验签并更新退款与订单状态。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POST /payment/notify/alipay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验签成功返回纯文本 success，失败返回 failure。</w:t>
            </w:r>
          </w:p>
        </w:tc>
      </w:tr>
      <w:tr>
        <w:trPr>
          <w:cantSplit w:val="true"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GET /payment/status/{outTradeNo}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查询本地状态，并按服务逻辑主动同步平台结果。</w:t>
            </w:r>
          </w:p>
        </w:tc>
      </w:tr>
    </w:tbl>
    <w:p>
      <w:pPr>
        <w:spacing w:after="0"/>
      </w:pPr>
    </w:p>
    <w:p>
      <w:pPr>
        <w:pStyle w:val="Heading1"/>
      </w:pPr>
      <w:r>
        <w:t>7 部署与安全边界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本地前端使用 /api，由 Vite 代理到 localhost:8087；生产环境由 Nginx 将 /api/ 代理到 127.0.0.1:8087/。真实支付回调使用 https://域名/api/payment/notify/...，Nginx 去掉 /api 前缀后交给后端。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FC6E9"/>
          <w:left w:val="single" w:sz="4" w:space="0" w:color="AFC6E9"/>
          <w:bottom w:val="single" w:sz="4" w:space="0" w:color="AFC6E9"/>
          <w:right w:val="single" w:sz="4" w:space="0" w:color="AFC6E9"/>
          <w:insideH w:val="single" w:sz="4" w:space="0" w:color="AFC6E9"/>
          <w:insideV w:val="single" w:sz="4" w:space="0" w:color="AFC6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324F"/>
                <w:sz w:val="22"/>
              </w:rPr>
              <w:t xml:space="preserve">生产要求  </w:t>
            </w:r>
            <w:r>
              <w:rPr>
                <w:rFonts w:ascii="Microsoft YaHei" w:hAnsi="Microsoft YaHei" w:eastAsia="Microsoft YaHei"/>
                <w:color w:val="172B4D"/>
                <w:sz w:val="22"/>
              </w:rPr>
              <w:t>支付私钥只保存为服务器文件，配置项传文件路径；不得进入前端、数据库或 Git。回调必须使用 HTTPS，并验证签名、商户身份、金额、订单号和重复通知。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67085"/>
        <w:sz w:val="18"/>
      </w:rPr>
      <w:t>网管通 | API 接口设计说明书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