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10223500</wp:posOffset>
            </wp:positionV>
            <wp:extent cx="330200" cy="317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548"/>
        <w:ind w:left="0" w:right="58" w:firstLine="0"/>
        <w:jc w:val="right"/>
      </w:pPr>
      <w:r>
        <w:rPr>
          <w:rFonts w:ascii="Trebuchet MS" w:hAnsi="Trebuchet MS" w:eastAsia="Trebuchet MS"/>
          <w:b w:val="0"/>
          <w:i w:val="0"/>
          <w:color w:val="262525"/>
          <w:sz w:val="18"/>
        </w:rPr>
        <w:t>Annual Report 2009-10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05"/>
        <w:gridCol w:w="4905"/>
      </w:tblGrid>
      <w:tr>
        <w:trPr>
          <w:trHeight w:hRule="exact" w:val="4484"/>
        </w:trPr>
        <w:tc>
          <w:tcPr>
            <w:tcW w:type="dxa" w:w="5780"/>
            <w:tcBorders/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8" w:after="0"/>
              <w:ind w:left="180" w:right="36" w:firstLine="0"/>
              <w:jc w:val="both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The Red Ribbon Express (RRE) is the world’s largest mass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mobilisation drive on HIV/AIDS. The train will travel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through 22 states, during its one year long journey, halting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at</w:t>
            </w:r>
            <w:r>
              <w:rPr>
                <w:shd w:val="clear" w:color="auto" w:fill="66ba6a"/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 152 stations. Through the RRE, NACO, intends to break </w:t>
            </w:r>
            <w:r>
              <w:rPr>
                <w:shd w:val="clear" w:color="auto" w:fill="66ba6a"/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the silence surrounding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the issue of HIV/AIDS, by taking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the messages on prevention, care and support to people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living in small towns and villages across the country. The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aim is also to create an environment, free from stigma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and discrimination faced by people living with HIV, so they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can access the services, without fear and prejudice, and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live a life of dignity. </w:t>
            </w:r>
            <w:r>
              <w:rPr>
                <w:rFonts w:ascii="Malgun Gothic" w:hAnsi="Malgun Gothic" w:eastAsia="Trebuchet MS"/>
                <w:b w:val="0"/>
                <w:i w:val="0"/>
                <w:strike/>
                <w:color w:val="262525"/>
                <w:sz w:val="16"/>
              </w:rPr>
              <w:t xml:space="preserve">It has proved to be a successful multi- </w:t>
            </w:r>
            <w:r>
              <w:rPr>
                <w:rFonts w:ascii="Malgun Gothic" w:hAnsi="Malgun Gothic" w:eastAsia="Trebuchet MS"/>
                <w:b w:val="0"/>
                <w:i w:val="0"/>
                <w:strike/>
                <w:color w:val="262525"/>
                <w:sz w:val="16"/>
              </w:rPr>
              <w:t>sectoral initiative, of the NACO and a po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werful advocacy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tool, both at the state and district level, besides enhancing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local capacity to deal with HIV prevention.</w:t>
            </w:r>
          </w:p>
        </w:tc>
        <w:tc>
          <w:tcPr>
            <w:tcW w:type="dxa" w:w="3940"/>
            <w:tcBorders/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60" w:right="0" w:firstLine="0"/>
              <w:jc w:val="left"/>
            </w:pPr>
            <w:r>
              <w:rPr>
                <w:rFonts w:ascii="Malgun Gothic" w:hAnsi="Malgun Gothic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2307590" cy="26923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90" cy="26923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20" w:after="34"/>
        <w:ind w:left="4" w:right="0" w:firstLine="0"/>
        <w:jc w:val="left"/>
      </w:pPr>
      <w:r>
        <w:rPr>
          <w:rFonts w:ascii="Trebuchet MS" w:hAnsi="Trebuchet MS" w:eastAsia="Trebuchet MS"/>
          <w:b w:val="0"/>
          <w:i w:val="0"/>
          <w:color w:val="CC2129"/>
          <w:sz w:val="21"/>
        </w:rPr>
        <w:t xml:space="preserve">Table 6.1: The highlights of RRE–II coverage (till 11 March, 2010)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226"/>
        <w:gridCol w:w="1226"/>
        <w:gridCol w:w="1226"/>
        <w:gridCol w:w="1226"/>
        <w:gridCol w:w="1226"/>
        <w:gridCol w:w="1226"/>
        <w:gridCol w:w="1226"/>
        <w:gridCol w:w="1226"/>
      </w:tblGrid>
      <w:tr>
        <w:trPr>
          <w:trHeight w:hRule="exact" w:val="1048"/>
        </w:trPr>
        <w:tc>
          <w:tcPr>
            <w:tcW w:type="dxa" w:w="154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State </w:t>
            </w:r>
          </w:p>
        </w:tc>
        <w:tc>
          <w:tcPr>
            <w:tcW w:type="dxa" w:w="171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Date </w:t>
            </w:r>
          </w:p>
        </w:tc>
        <w:tc>
          <w:tcPr>
            <w:tcW w:type="dxa" w:w="107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Halt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stations </w:t>
            </w:r>
          </w:p>
        </w:tc>
        <w:tc>
          <w:tcPr>
            <w:tcW w:type="dxa" w:w="72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Halt </w:t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>days</w:t>
            </w:r>
          </w:p>
        </w:tc>
        <w:tc>
          <w:tcPr>
            <w:tcW w:type="dxa" w:w="107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Persons </w:t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directly </w:t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reached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>(in lakh)</w:t>
            </w:r>
          </w:p>
        </w:tc>
        <w:tc>
          <w:tcPr>
            <w:tcW w:type="dxa" w:w="116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Persons </w:t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>trained</w:t>
            </w:r>
          </w:p>
        </w:tc>
        <w:tc>
          <w:tcPr>
            <w:tcW w:type="dxa" w:w="13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Persons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>counseled</w:t>
            </w:r>
          </w:p>
        </w:tc>
        <w:tc>
          <w:tcPr>
            <w:tcW w:type="dxa" w:w="111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c21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Persons </w:t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 xml:space="preserve">tested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Trebuchet MS"/>
                <w:b/>
                <w:i w:val="0"/>
                <w:color w:val="FFFFFF"/>
                <w:sz w:val="16"/>
              </w:rPr>
              <w:t>for HIV</w:t>
            </w:r>
          </w:p>
        </w:tc>
      </w:tr>
      <w:tr>
        <w:trPr>
          <w:trHeight w:hRule="exact" w:val="326"/>
        </w:trPr>
        <w:tc>
          <w:tcPr>
            <w:tcW w:type="dxa" w:w="154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86" w:right="0" w:firstLine="0"/>
              <w:jc w:val="left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Delhi</w:t>
            </w:r>
          </w:p>
        </w:tc>
        <w:tc>
          <w:tcPr>
            <w:tcW w:type="dxa" w:w="171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1.12.2009</w:t>
            </w:r>
          </w:p>
        </w:tc>
        <w:tc>
          <w:tcPr>
            <w:tcW w:type="dxa" w:w="1072"/>
            <w:vMerge w:val="restart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8</w:t>
            </w:r>
          </w:p>
        </w:tc>
        <w:tc>
          <w:tcPr>
            <w:tcW w:type="dxa" w:w="728"/>
            <w:vMerge w:val="restart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17</w:t>
            </w:r>
          </w:p>
        </w:tc>
        <w:tc>
          <w:tcPr>
            <w:tcW w:type="dxa" w:w="1078"/>
            <w:vMerge w:val="restart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1.29</w:t>
            </w:r>
          </w:p>
        </w:tc>
        <w:tc>
          <w:tcPr>
            <w:tcW w:type="dxa" w:w="1164"/>
            <w:vMerge w:val="restart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3,665</w:t>
            </w:r>
          </w:p>
        </w:tc>
        <w:tc>
          <w:tcPr>
            <w:tcW w:type="dxa" w:w="1326"/>
            <w:vMerge w:val="restart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2,409</w:t>
            </w:r>
          </w:p>
        </w:tc>
        <w:tc>
          <w:tcPr>
            <w:tcW w:type="dxa" w:w="1114"/>
            <w:vMerge w:val="restart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1,000</w:t>
            </w:r>
          </w:p>
        </w:tc>
      </w:tr>
      <w:tr>
        <w:trPr>
          <w:trHeight w:hRule="exact" w:val="568"/>
        </w:trPr>
        <w:tc>
          <w:tcPr>
            <w:tcW w:type="dxa" w:w="154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6" w:right="0" w:firstLine="0"/>
              <w:jc w:val="left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Rajasthan</w:t>
            </w:r>
          </w:p>
        </w:tc>
        <w:tc>
          <w:tcPr>
            <w:tcW w:type="dxa" w:w="171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2.12.2009 to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19.12.2009</w:t>
            </w:r>
          </w:p>
        </w:tc>
        <w:tc>
          <w:tcPr>
            <w:tcW w:type="dxa" w:w="1226"/>
            <w:vMerge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</w:tcPr>
          <w:p/>
        </w:tc>
        <w:tc>
          <w:tcPr>
            <w:tcW w:type="dxa" w:w="1226"/>
            <w:vMerge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</w:tcPr>
          <w:p/>
        </w:tc>
        <w:tc>
          <w:tcPr>
            <w:tcW w:type="dxa" w:w="1226"/>
            <w:vMerge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</w:tcPr>
          <w:p/>
        </w:tc>
        <w:tc>
          <w:tcPr>
            <w:tcW w:type="dxa" w:w="1226"/>
            <w:vMerge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</w:tcPr>
          <w:p/>
        </w:tc>
        <w:tc>
          <w:tcPr>
            <w:tcW w:type="dxa" w:w="1226"/>
            <w:vMerge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</w:tcPr>
          <w:p/>
        </w:tc>
        <w:tc>
          <w:tcPr>
            <w:tcW w:type="dxa" w:w="1226"/>
            <w:vMerge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</w:tcPr>
          <w:p/>
        </w:tc>
      </w:tr>
      <w:tr>
        <w:trPr>
          <w:trHeight w:hRule="exact" w:val="568"/>
        </w:trPr>
        <w:tc>
          <w:tcPr>
            <w:tcW w:type="dxa" w:w="154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6" w:right="0" w:firstLine="0"/>
              <w:jc w:val="left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Gujarat</w:t>
            </w:r>
          </w:p>
        </w:tc>
        <w:tc>
          <w:tcPr>
            <w:tcW w:type="dxa" w:w="171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20.12.2009 to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3.1.2010</w:t>
            </w:r>
          </w:p>
        </w:tc>
        <w:tc>
          <w:tcPr>
            <w:tcW w:type="dxa" w:w="107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6</w:t>
            </w:r>
          </w:p>
        </w:tc>
        <w:tc>
          <w:tcPr>
            <w:tcW w:type="dxa" w:w="72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13</w:t>
            </w:r>
          </w:p>
        </w:tc>
        <w:tc>
          <w:tcPr>
            <w:tcW w:type="dxa" w:w="107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6.03</w:t>
            </w:r>
          </w:p>
        </w:tc>
        <w:tc>
          <w:tcPr>
            <w:tcW w:type="dxa" w:w="116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3,810</w:t>
            </w:r>
          </w:p>
        </w:tc>
        <w:tc>
          <w:tcPr>
            <w:tcW w:type="dxa" w:w="13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2,317</w:t>
            </w:r>
          </w:p>
        </w:tc>
        <w:tc>
          <w:tcPr>
            <w:tcW w:type="dxa" w:w="111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1,453</w:t>
            </w:r>
          </w:p>
        </w:tc>
      </w:tr>
      <w:tr>
        <w:trPr>
          <w:trHeight w:hRule="exact" w:val="568"/>
        </w:trPr>
        <w:tc>
          <w:tcPr>
            <w:tcW w:type="dxa" w:w="154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86" w:right="0" w:firstLine="0"/>
              <w:jc w:val="left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Maharashtra</w:t>
            </w:r>
          </w:p>
        </w:tc>
        <w:tc>
          <w:tcPr>
            <w:tcW w:type="dxa" w:w="171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4.01.2010 to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1.2.2010</w:t>
            </w:r>
          </w:p>
        </w:tc>
        <w:tc>
          <w:tcPr>
            <w:tcW w:type="dxa" w:w="107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13</w:t>
            </w:r>
          </w:p>
        </w:tc>
        <w:tc>
          <w:tcPr>
            <w:tcW w:type="dxa" w:w="72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26</w:t>
            </w:r>
          </w:p>
        </w:tc>
        <w:tc>
          <w:tcPr>
            <w:tcW w:type="dxa" w:w="107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1.27</w:t>
            </w:r>
          </w:p>
        </w:tc>
        <w:tc>
          <w:tcPr>
            <w:tcW w:type="dxa" w:w="116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5,680</w:t>
            </w:r>
          </w:p>
        </w:tc>
        <w:tc>
          <w:tcPr>
            <w:tcW w:type="dxa" w:w="13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9,027</w:t>
            </w:r>
          </w:p>
        </w:tc>
        <w:tc>
          <w:tcPr>
            <w:tcW w:type="dxa" w:w="111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4,153</w:t>
            </w:r>
          </w:p>
        </w:tc>
      </w:tr>
      <w:tr>
        <w:trPr>
          <w:trHeight w:hRule="exact" w:val="566"/>
        </w:trPr>
        <w:tc>
          <w:tcPr>
            <w:tcW w:type="dxa" w:w="154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86" w:right="0" w:firstLine="0"/>
              <w:jc w:val="left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Karnataka </w:t>
            </w:r>
          </w:p>
        </w:tc>
        <w:tc>
          <w:tcPr>
            <w:tcW w:type="dxa" w:w="171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2.2.2010 to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22.2.2010</w:t>
            </w:r>
          </w:p>
        </w:tc>
        <w:tc>
          <w:tcPr>
            <w:tcW w:type="dxa" w:w="107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11</w:t>
            </w:r>
          </w:p>
        </w:tc>
        <w:tc>
          <w:tcPr>
            <w:tcW w:type="dxa" w:w="72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19</w:t>
            </w:r>
          </w:p>
        </w:tc>
        <w:tc>
          <w:tcPr>
            <w:tcW w:type="dxa" w:w="107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1.80</w:t>
            </w:r>
          </w:p>
        </w:tc>
        <w:tc>
          <w:tcPr>
            <w:tcW w:type="dxa" w:w="116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5,741</w:t>
            </w:r>
          </w:p>
        </w:tc>
        <w:tc>
          <w:tcPr>
            <w:tcW w:type="dxa" w:w="13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3,658</w:t>
            </w:r>
          </w:p>
        </w:tc>
        <w:tc>
          <w:tcPr>
            <w:tcW w:type="dxa" w:w="111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3,183</w:t>
            </w:r>
          </w:p>
        </w:tc>
      </w:tr>
      <w:tr>
        <w:trPr>
          <w:trHeight w:hRule="exact" w:val="568"/>
        </w:trPr>
        <w:tc>
          <w:tcPr>
            <w:tcW w:type="dxa" w:w="154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84" w:right="0" w:firstLine="0"/>
              <w:jc w:val="left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Kerala</w:t>
            </w:r>
          </w:p>
        </w:tc>
        <w:tc>
          <w:tcPr>
            <w:tcW w:type="dxa" w:w="171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 xml:space="preserve">23.2.2010 to </w:t>
            </w: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11.3.2010</w:t>
            </w:r>
          </w:p>
        </w:tc>
        <w:tc>
          <w:tcPr>
            <w:tcW w:type="dxa" w:w="107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9</w:t>
            </w:r>
          </w:p>
        </w:tc>
        <w:tc>
          <w:tcPr>
            <w:tcW w:type="dxa" w:w="72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17</w:t>
            </w:r>
          </w:p>
        </w:tc>
        <w:tc>
          <w:tcPr>
            <w:tcW w:type="dxa" w:w="107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1.42</w:t>
            </w:r>
          </w:p>
        </w:tc>
        <w:tc>
          <w:tcPr>
            <w:tcW w:type="dxa" w:w="116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3,559</w:t>
            </w:r>
          </w:p>
        </w:tc>
        <w:tc>
          <w:tcPr>
            <w:tcW w:type="dxa" w:w="13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2,173</w:t>
            </w:r>
          </w:p>
        </w:tc>
        <w:tc>
          <w:tcPr>
            <w:tcW w:type="dxa" w:w="111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6e6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 w:val="0"/>
                <w:i w:val="0"/>
                <w:color w:val="262525"/>
                <w:sz w:val="16"/>
              </w:rPr>
              <w:t>855</w:t>
            </w:r>
          </w:p>
        </w:tc>
      </w:tr>
      <w:tr>
        <w:trPr>
          <w:trHeight w:hRule="exact" w:val="328"/>
        </w:trPr>
        <w:tc>
          <w:tcPr>
            <w:tcW w:type="dxa" w:w="3258"/>
            <w:gridSpan w:val="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4" w:right="0" w:firstLine="0"/>
              <w:jc w:val="left"/>
            </w:pPr>
            <w:r>
              <w:rPr>
                <w:rFonts w:ascii="Malgun Gothic" w:hAnsi="Malgun Gothic" w:eastAsia="Trebuchet MS"/>
                <w:b/>
                <w:i w:val="0"/>
                <w:color w:val="262525"/>
                <w:sz w:val="16"/>
              </w:rPr>
              <w:t>Total</w:t>
            </w:r>
          </w:p>
        </w:tc>
        <w:tc>
          <w:tcPr>
            <w:tcW w:type="dxa" w:w="107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262525"/>
                <w:sz w:val="16"/>
              </w:rPr>
              <w:t>47</w:t>
            </w:r>
          </w:p>
        </w:tc>
        <w:tc>
          <w:tcPr>
            <w:tcW w:type="dxa" w:w="72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262525"/>
                <w:sz w:val="16"/>
              </w:rPr>
              <w:t>92</w:t>
            </w:r>
          </w:p>
        </w:tc>
        <w:tc>
          <w:tcPr>
            <w:tcW w:type="dxa" w:w="107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262525"/>
                <w:sz w:val="16"/>
              </w:rPr>
              <w:t>11.81</w:t>
            </w:r>
          </w:p>
        </w:tc>
        <w:tc>
          <w:tcPr>
            <w:tcW w:type="dxa" w:w="116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262525"/>
                <w:sz w:val="16"/>
              </w:rPr>
              <w:t>22,455</w:t>
            </w:r>
          </w:p>
        </w:tc>
        <w:tc>
          <w:tcPr>
            <w:tcW w:type="dxa" w:w="13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262525"/>
                <w:sz w:val="16"/>
              </w:rPr>
              <w:t>19,584</w:t>
            </w:r>
          </w:p>
        </w:tc>
        <w:tc>
          <w:tcPr>
            <w:tcW w:type="dxa" w:w="1114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f1d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Trebuchet MS"/>
                <w:b/>
                <w:i w:val="0"/>
                <w:color w:val="262525"/>
                <w:sz w:val="16"/>
              </w:rPr>
              <w:t>10,644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16"/>
        <w:ind w:left="34" w:right="0" w:firstLine="0"/>
        <w:jc w:val="left"/>
      </w:pPr>
      <w:r>
        <w:rPr>
          <w:rFonts w:ascii="Trebuchet MS" w:hAnsi="Trebuchet MS" w:eastAsia="Trebuchet MS"/>
          <w:b w:val="0"/>
          <w:i w:val="0"/>
          <w:color w:val="262525"/>
          <w:sz w:val="14"/>
        </w:rPr>
        <w:t>It includes visitors to train exhibition and those reached through outreach activities</w:t>
      </w:r>
    </w:p>
    <w:p>
      <w:pPr>
        <w:sectPr>
          <w:pgSz w:w="11880" w:h="16920"/>
          <w:pgMar w:top="162" w:right="994" w:bottom="230" w:left="1076" w:header="720" w:footer="720" w:gutter="0"/>
          <w:cols w:space="720" w:num="1" w:equalWidth="0">
            <w:col w:w="9809" w:space="0"/>
          </w:cols>
          <w:docGrid w:linePitch="360"/>
        </w:sectPr>
      </w:pPr>
    </w:p>
    <w:p>
      <w:pPr>
        <w:autoSpaceDN w:val="0"/>
        <w:autoSpaceDE w:val="0"/>
        <w:widowControl/>
        <w:spacing w:line="271" w:lineRule="auto" w:before="0" w:after="0"/>
        <w:ind w:left="4" w:right="148" w:firstLine="0"/>
        <w:jc w:val="both"/>
      </w:pP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about injecting drug use and unprotected sex,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reducing stigma and discrimination associated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attached to HIV/AIDS and promoting HIV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related services. The music competitions and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football tournaments organised at district level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culminated in the state level mega events, which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>saw huge youth participation.</w:t>
      </w:r>
    </w:p>
    <w:p>
      <w:pPr>
        <w:autoSpaceDN w:val="0"/>
        <w:autoSpaceDE w:val="0"/>
        <w:widowControl/>
        <w:spacing w:line="271" w:lineRule="auto" w:before="316" w:after="0"/>
        <w:ind w:left="4" w:right="148" w:firstLine="0"/>
        <w:jc w:val="both"/>
      </w:pP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Faith based organisations were also sensitised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and involved in the campaign. A special effort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was made to reach out to the out-of-school youth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in the states through training of youth clubs at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district, block and village levels. The winners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of the music competitions positioned as "youth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icons" are further reaching out with messages on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HIV/AIDS to the community through road shows at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village/block level in their respective districts. </w:t>
      </w:r>
    </w:p>
    <w:p>
      <w:pPr>
        <w:sectPr>
          <w:type w:val="continuous"/>
          <w:pgSz w:w="11880" w:h="16920"/>
          <w:pgMar w:top="162" w:right="994" w:bottom="230" w:left="1076" w:header="720" w:footer="720" w:gutter="0"/>
          <w:cols w:space="720" w:num="2" w:equalWidth="0">
            <w:col w:w="4896" w:space="0"/>
            <w:col w:w="4913" w:space="0"/>
            <w:col w:w="9809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auto" w:before="0" w:after="408"/>
        <w:ind w:left="148" w:right="20" w:firstLine="0"/>
        <w:jc w:val="both"/>
      </w:pPr>
      <w:r>
        <w:rPr>
          <w:rFonts w:ascii="Trebuchet MS" w:hAnsi="Trebuchet MS" w:eastAsia="Trebuchet MS"/>
          <w:b/>
          <w:i w:val="0"/>
          <w:color w:val="262525"/>
          <w:sz w:val="21"/>
        </w:rPr>
        <w:t xml:space="preserve">Radio programmes: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Three radio programmes in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>Hindi – “</w:t>
      </w:r>
      <w:r>
        <w:rPr>
          <w:rFonts w:ascii="Trebuchet MS" w:hAnsi="Trebuchet MS" w:eastAsia="Trebuchet MS"/>
          <w:b w:val="0"/>
          <w:i/>
          <w:color w:val="262525"/>
          <w:sz w:val="21"/>
        </w:rPr>
        <w:t>Babli Boli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>”, “</w:t>
      </w:r>
      <w:r>
        <w:rPr>
          <w:rFonts w:ascii="Trebuchet MS" w:hAnsi="Trebuchet MS" w:eastAsia="Trebuchet MS"/>
          <w:b w:val="0"/>
          <w:i/>
          <w:color w:val="262525"/>
          <w:sz w:val="21"/>
        </w:rPr>
        <w:t>5 Down Mohabbat Express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”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>and “</w:t>
      </w:r>
      <w:r>
        <w:rPr>
          <w:rFonts w:ascii="Trebuchet MS" w:hAnsi="Trebuchet MS" w:eastAsia="Trebuchet MS"/>
          <w:b w:val="0"/>
          <w:i/>
          <w:color w:val="262525"/>
          <w:sz w:val="21"/>
        </w:rPr>
        <w:t>Kitne Door, Kitne Pass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” were launched by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NACO, targeting rural women, rural youth and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urban migrants respectively. The programmes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were aired for six months from September,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2009 to March, 2010. The duration of the each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episode was half an hour and two episodes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of each programme were aired every week.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The programmes were linked to the ground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mobilisation in 21 vulnerable districts, in the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states of UP, Bihar, Rajasthan, MP and Delhi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through 100 Radio Listener Clubs formed in each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of these districts. The radio clubs promoted not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only listenership of the programmes, but also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helped in further dissemination of messages in </w:t>
      </w:r>
      <w:r>
        <w:rPr>
          <w:rFonts w:ascii="Trebuchet MS" w:hAnsi="Trebuchet MS" w:eastAsia="Trebuchet MS"/>
          <w:b w:val="0"/>
          <w:i w:val="0"/>
          <w:color w:val="262525"/>
          <w:sz w:val="21"/>
        </w:rPr>
        <w:t xml:space="preserve">the communities. The SACS also produce and air </w:t>
      </w:r>
    </w:p>
    <w:p>
      <w:pPr>
        <w:sectPr>
          <w:type w:val="nextColumn"/>
          <w:pgSz w:w="11880" w:h="16920"/>
          <w:pgMar w:top="162" w:right="994" w:bottom="230" w:left="1076" w:header="720" w:footer="720" w:gutter="0"/>
          <w:cols w:space="720" w:num="2" w:equalWidth="0">
            <w:col w:w="4896" w:space="0"/>
            <w:col w:w="4913" w:space="0"/>
            <w:col w:w="980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4880" w:firstLine="0"/>
        <w:jc w:val="right"/>
      </w:pPr>
      <w:r>
        <w:rPr>
          <w:rFonts w:ascii="Trebuchet MS" w:hAnsi="Trebuchet MS" w:eastAsia="Trebuchet MS"/>
          <w:b w:val="0"/>
          <w:i w:val="0"/>
          <w:color w:val="FFFFFF"/>
          <w:sz w:val="18"/>
        </w:rPr>
        <w:t>29</w:t>
      </w:r>
    </w:p>
    <w:sectPr w:rsidR="00FC693F" w:rsidRPr="0006063C" w:rsidSect="00034616">
      <w:type w:val="continuous"/>
      <w:pgSz w:w="11880" w:h="16920"/>
      <w:pgMar w:top="162" w:right="994" w:bottom="230" w:left="1076" w:header="720" w:footer="720" w:gutter="0"/>
      <w:cols w:space="720" w:num="1" w:equalWidth="0">
        <w:col w:w="9809" w:space="0"/>
        <w:col w:w="4896" w:space="0"/>
        <w:col w:w="4913" w:space="0"/>
        <w:col w:w="980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