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2"/>
        <w:ind w:left="0" w:right="0"/>
      </w:pPr>
    </w:p>
    <w:p>
      <w:pPr>
        <w:autoSpaceDN w:val="0"/>
        <w:autoSpaceDE w:val="0"/>
        <w:widowControl/>
        <w:spacing w:line="558" w:lineRule="exact" w:before="18" w:after="640"/>
        <w:ind w:left="432" w:right="432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48"/>
        </w:rPr>
        <w:t xml:space="preserve">Automated Data Extraction from Scholarly Line </w:t>
      </w:r>
      <w:r>
        <w:rPr>
          <w:rFonts w:ascii="NimbusRomNo9L" w:hAnsi="NimbusRomNo9L" w:eastAsia="NimbusRomNo9L"/>
          <w:b w:val="0"/>
          <w:i w:val="0"/>
          <w:color w:val="000000"/>
          <w:sz w:val="48"/>
        </w:rPr>
        <w:t>Graphs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489"/>
        <w:gridCol w:w="3489"/>
        <w:gridCol w:w="3489"/>
      </w:tblGrid>
      <w:tr>
        <w:trPr>
          <w:trHeight w:hRule="exact" w:val="322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Sagnik Ray Choudhury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Shuting Wang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Prasenjit Mitra, C. Lee Giles</w:t>
            </w:r>
          </w:p>
        </w:tc>
      </w:tr>
      <w:tr>
        <w:trPr>
          <w:trHeight w:hRule="exact" w:val="2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Information Sciences and Technology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Computer Science and Engineering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Information Sciences and Technology</w:t>
            </w:r>
          </w:p>
        </w:tc>
      </w:tr>
      <w:tr>
        <w:trPr>
          <w:trHeight w:hRule="exact" w:val="2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Pennsylvania State University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Pennsylvania State University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Pennsylvania State University</w:t>
            </w:r>
          </w:p>
        </w:tc>
      </w:tr>
      <w:tr>
        <w:trPr>
          <w:trHeight w:hRule="exact" w:val="238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sagnik@psu.edu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sxw327@psu.edu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pmitra@ist.psu.edu, giles@ist.psu.edu</w:t>
            </w:r>
          </w:p>
        </w:tc>
      </w:tr>
    </w:tbl>
    <w:p>
      <w:pPr>
        <w:autoSpaceDN w:val="0"/>
        <w:autoSpaceDE w:val="0"/>
        <w:widowControl/>
        <w:spacing w:line="14" w:lineRule="exact" w:before="0" w:after="444"/>
        <w:ind w:left="0" w:right="0"/>
      </w:pPr>
    </w:p>
    <w:p>
      <w:pPr>
        <w:sectPr>
          <w:pgSz w:w="12240" w:h="15840"/>
          <w:pgMar w:top="502" w:right="798" w:bottom="558" w:left="974" w:header="720" w:footer="720" w:gutter="0"/>
          <w:cols w:space="720" w:num="1" w:equalWidth="0"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34" w:after="0"/>
        <w:ind w:left="6" w:right="182" w:firstLine="268"/>
        <w:jc w:val="both"/>
      </w:pPr>
      <w:r>
        <w:rPr>
          <w:rFonts w:ascii="NimbusRomNo9L" w:hAnsi="NimbusRomNo9L" w:eastAsia="NimbusRomNo9L"/>
          <w:b/>
          <w:i/>
          <w:color w:val="000000"/>
          <w:sz w:val="18"/>
        </w:rPr>
        <w:t>Abstract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—Line graphs are ubiquitous in scholarly papers.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They are usually generated from a data table and often used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to compare performances of various methods. The data in these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figures can not be accessed. Manual extraction of this data is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hard and not scalable. On the other hand, automated systems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for such data extraction task is not yet available. We report an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analysis of line graphs to explain the challenges of building a fully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automated data extraction system. Next, we describe a system for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automated data extraction from color line graphs. Our system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has multiple components: image classification for identifying line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graphs; text extraction from the figures and curve extraction.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For the classification, we show that unsupervised feature learning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outperforms traditional low-level image descriptors by 10%. For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the text extraction, our heuristics outperforms the accuracy of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the previous method by 29%. We also propose a novel curve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extraction method that has an average accuracy of 82%. A large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>partially annotated dataset for future research is described.</w:t>
      </w:r>
    </w:p>
    <w:p>
      <w:pPr>
        <w:autoSpaceDN w:val="0"/>
        <w:tabs>
          <w:tab w:pos="2034" w:val="left"/>
        </w:tabs>
        <w:autoSpaceDE w:val="0"/>
        <w:widowControl/>
        <w:spacing w:line="240" w:lineRule="exact" w:before="232" w:after="0"/>
        <w:ind w:left="169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20" w:lineRule="exact" w:before="120" w:after="0"/>
        <w:ind w:left="6" w:right="182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Scholarly papers usually contain many figures and tables.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example, among 10,000 randomly selected articles pub-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lished in top 50 computer science conferences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between 2004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2014, more than 70% contained at least one figure, more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than 43% contained at least one table, and more than 36%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contained at least one figure and one table. While there have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been many works about extraction and understanding of tables,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figures have received less attention [2].</w:t>
      </w:r>
    </w:p>
    <w:p>
      <w:pPr>
        <w:autoSpaceDN w:val="0"/>
        <w:autoSpaceDE w:val="0"/>
        <w:widowControl/>
        <w:spacing w:line="220" w:lineRule="exact" w:before="120" w:after="0"/>
        <w:ind w:left="6" w:right="182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Previously, Ray Chaudhury et al. [3] explored figure meta-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 (caption/mention) extraction. A recent paper by Clark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et al. [4] has proposed methods for automated extraction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figures from scholarly PDF documents. Using their method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extracted more than 40,000 figures from scholarly papers.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paper focuses on line graphs that are a subset of these figures.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Preliminary analysis of the dataset is presented in section IV.</w:t>
      </w:r>
    </w:p>
    <w:p>
      <w:pPr>
        <w:autoSpaceDN w:val="0"/>
        <w:autoSpaceDE w:val="0"/>
        <w:widowControl/>
        <w:spacing w:line="220" w:lineRule="exact" w:before="120" w:after="0"/>
        <w:ind w:left="6" w:right="182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graphs are plots with single or multiple curves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plotting region. These figures are used to compare multiple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methods and are generated from data tables. For example, see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 1, a line graph that was generated from a data table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can not be accessed from the paper. It is extremely beneficial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regenerate that table, but manual methods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tedious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not scalable. A fully automated system doesn’t exist till date,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this work aims to bridge that gap.</w:t>
      </w:r>
    </w:p>
    <w:p>
      <w:pPr>
        <w:autoSpaceDN w:val="0"/>
        <w:autoSpaceDE w:val="0"/>
        <w:widowControl/>
        <w:spacing w:line="220" w:lineRule="exact" w:before="120" w:after="0"/>
        <w:ind w:left="6" w:right="144" w:firstLine="28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analyzed more than hundred randomly selected line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graphs from our dataset to understand the specific challenges</w:t>
      </w:r>
    </w:p>
    <w:p>
      <w:pPr>
        <w:autoSpaceDN w:val="0"/>
        <w:autoSpaceDE w:val="0"/>
        <w:widowControl/>
        <w:spacing w:line="198" w:lineRule="exact" w:before="180" w:after="0"/>
        <w:ind w:left="164" w:right="230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2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http://academic.research.microsoft.com/ </w:t>
      </w:r>
      <w:r>
        <w:rPr>
          <w:rFonts w:ascii="NimbusRomNo9L" w:hAnsi="NimbusRomNo9L" w:eastAsia="NimbusRomNo9L"/>
          <w:b w:val="0"/>
          <w:i w:val="0"/>
          <w:color w:val="000000"/>
          <w:sz w:val="12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http://arohatgi.info/WebPlotDigitizer/app/</w:t>
      </w:r>
    </w:p>
    <w:p>
      <w:pPr>
        <w:sectPr>
          <w:type w:val="continuous"/>
          <w:pgSz w:w="12240" w:h="15840"/>
          <w:pgMar w:top="502" w:right="798" w:bottom="558" w:left="974" w:header="720" w:footer="720" w:gutter="0"/>
          <w:cols w:space="720" w:num="2" w:equalWidth="0"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76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building a fully automated data extraction system. From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analysis (section III), we were able to identify easy and hard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cases for data extraction. Our current system focuses on easy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cases: line graphs where the curves or data points are drawn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separate colors.</w:t>
      </w:r>
    </w:p>
    <w:p>
      <w:pPr>
        <w:autoSpaceDN w:val="0"/>
        <w:autoSpaceDE w:val="0"/>
        <w:widowControl/>
        <w:spacing w:line="220" w:lineRule="exact" w:before="116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first module in our system is a classifier that classifies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input image as a positive (color line graph) or negative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(bar graphs, pie chart, photograph) instance. While multiple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features for this problem has been proposed, we are the first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show that unsupervised feature learning outperforms traditional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feature descriptors such as SIFT or HoG.</w:t>
      </w:r>
    </w:p>
    <w:p>
      <w:pPr>
        <w:autoSpaceDN w:val="0"/>
        <w:tabs>
          <w:tab w:pos="464" w:val="left"/>
        </w:tabs>
        <w:autoSpaceDE w:val="0"/>
        <w:widowControl/>
        <w:spacing w:line="220" w:lineRule="exact" w:before="114" w:after="0"/>
        <w:ind w:left="176" w:right="0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color line graphs, the generic algorithm for data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extraction is:</w:t>
      </w:r>
    </w:p>
    <w:p>
      <w:pPr>
        <w:autoSpaceDN w:val="0"/>
        <w:autoSpaceDE w:val="0"/>
        <w:widowControl/>
        <w:spacing w:line="242" w:lineRule="exact" w:before="130" w:after="0"/>
        <w:ind w:left="30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1) Extract text “words” from the figure.</w:t>
      </w:r>
    </w:p>
    <w:p>
      <w:pPr>
        <w:autoSpaceDN w:val="0"/>
        <w:autoSpaceDE w:val="0"/>
        <w:widowControl/>
        <w:spacing w:line="218" w:lineRule="exact" w:before="22" w:after="0"/>
        <w:ind w:left="574" w:right="20" w:hanging="2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2) Classify the words as X-axis/Y-axis value/labels or leg-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ends. For the data extraction, every point in the plot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region needs to be mapped into a (X-value,Y-value) pair.</w:t>
      </w:r>
    </w:p>
    <w:p>
      <w:pPr>
        <w:autoSpaceDN w:val="0"/>
        <w:autoSpaceDE w:val="0"/>
        <w:widowControl/>
        <w:spacing w:line="218" w:lineRule="exact" w:before="22" w:after="0"/>
        <w:ind w:left="57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Assuming the plot scales are linear, two pairs of X-axis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values and Y-axis values are necessary and sufficient.</w:t>
      </w:r>
    </w:p>
    <w:p>
      <w:pPr>
        <w:autoSpaceDN w:val="0"/>
        <w:autoSpaceDE w:val="0"/>
        <w:widowControl/>
        <w:spacing w:line="240" w:lineRule="exact" w:before="0" w:after="0"/>
        <w:ind w:left="30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3) Extract the curves and associate them with the legends.</w:t>
      </w:r>
    </w:p>
    <w:p>
      <w:pPr>
        <w:autoSpaceDN w:val="0"/>
        <w:autoSpaceDE w:val="0"/>
        <w:widowControl/>
        <w:spacing w:line="218" w:lineRule="exact" w:before="154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Kataria et al. [9] proposed heuristics for text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plot images, but their method was not evaluated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metrics standardized by document analysis community [8]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recent times. Our system improves on their method.</w:t>
      </w:r>
    </w:p>
    <w:p>
      <w:pPr>
        <w:autoSpaceDN w:val="0"/>
        <w:autoSpaceDE w:val="0"/>
        <w:widowControl/>
        <w:spacing w:line="220" w:lineRule="exact" w:before="116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Next, extracted text is classified in seven classes such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axes value/labels (see section VI-C). It is easy to see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once two X-axis values and two Y-axis values are identified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properly, every pixel in the plot region can be mapped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“data point”. The next step is the curve segmentation i.e.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assigning each non-text pixel in the plot region to one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curves. As we consider color plots, it might appear that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process is trivial, and a color based segmentation would suffice.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While a color plot usually contains less than ten “visually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distinguishable” colors, it might have more than one thousand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distinct RGB color values due to anti-aliasing. Our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solves that problem.</w:t>
      </w:r>
    </w:p>
    <w:p>
      <w:pPr>
        <w:autoSpaceDN w:val="0"/>
        <w:tabs>
          <w:tab w:pos="2200" w:val="left"/>
        </w:tabs>
        <w:autoSpaceDE w:val="0"/>
        <w:widowControl/>
        <w:spacing w:line="240" w:lineRule="exact" w:before="222" w:after="0"/>
        <w:ind w:left="178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ELATED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20" w:lineRule="exact" w:before="116" w:after="0"/>
        <w:ind w:left="176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Classification of computer generated charts is a well-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studied problem, and multiple features have been proposed.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Shao et al. [15] and Huang et al. [7] used low-level graphemes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extracted from vector graphics. Prasad et al. [12] used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set of very complicated features, extracted through various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transformations on the image. Most recent work by Savva et al.</w:t>
      </w:r>
    </w:p>
    <w:p>
      <w:pPr>
        <w:sectPr>
          <w:type w:val="nextColumn"/>
          <w:pgSz w:w="12240" w:h="15840"/>
          <w:pgMar w:top="502" w:right="798" w:bottom="558" w:left="974" w:header="720" w:footer="720" w:gutter="0"/>
          <w:cols w:space="720" w:num="2" w:equalWidth="0"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685800</wp:posOffset>
            </wp:positionV>
            <wp:extent cx="3841750" cy="112430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1243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18" w:lineRule="exact" w:before="22" w:after="2438"/>
        <w:ind w:left="540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problem? To answer them, we analyzed more than hundred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line graphs sampled from a large collection (section IV).</w:t>
      </w:r>
    </w:p>
    <w:p>
      <w:pPr>
        <w:sectPr>
          <w:pgSz w:w="12240" w:h="15840"/>
          <w:pgMar w:top="558" w:right="798" w:bottom="558" w:left="980" w:header="720" w:footer="720" w:gutter="0"/>
          <w:cols w:space="720" w:num="1" w:equalWidth="0"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tabs>
          <w:tab w:pos="648" w:val="left"/>
        </w:tabs>
        <w:autoSpaceDE w:val="0"/>
        <w:widowControl/>
        <w:spacing w:line="180" w:lineRule="exact" w:before="12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Fig. 1.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An example 2D line graph and the data table from which it was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generated. It also shows the seven classes of text inside the figure. The mapping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between these classes and the data table is apparent.</w:t>
      </w:r>
    </w:p>
    <w:p>
      <w:pPr>
        <w:autoSpaceDN w:val="0"/>
        <w:autoSpaceDE w:val="0"/>
        <w:widowControl/>
        <w:spacing w:line="218" w:lineRule="exact" w:before="440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[13] showed unsupervised feature learning outperforms feature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engineering. Our work reinforces that finding (section V).</w:t>
      </w:r>
    </w:p>
    <w:p>
      <w:pPr>
        <w:autoSpaceDN w:val="0"/>
        <w:autoSpaceDE w:val="0"/>
        <w:widowControl/>
        <w:spacing w:line="220" w:lineRule="exact" w:before="136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Early papers by Futrelle [5] introduced the concept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“Generalized Equivalence Relations” (GER) between graphical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elements of a figure (symbols, lines, curves) and proposed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pyramidal spatial index for efficient computations of GERs.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Subsequent work proposed a more complete grammar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parsing the graphemes [6]. While these works have greatly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advanced the understanding of scholarly figures, they did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focus much on the automated data extraction problem itself.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example, they don’t clarify much how these graphemes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were extracted from the images, which would be the most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important step for the data extraction. In more recent works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Shao et al. [14], [15] these graphemes were extracted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vector graphics embedded in PDFs and not raster graphics.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Therefore, it would be hard to generalize their approaches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all figures. Kataria et al. [9] proposed an architecture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automated data extraction from 2D plots and their work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most relevant to ours. A more comprehensive version of their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architecture [11] reported curve extraction techniques for line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graphs, but only for continuous curves. We explore another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aspect of the problem.</w:t>
      </w:r>
    </w:p>
    <w:p>
      <w:pPr>
        <w:autoSpaceDN w:val="0"/>
        <w:tabs>
          <w:tab w:pos="526" w:val="left"/>
        </w:tabs>
        <w:autoSpaceDE w:val="0"/>
        <w:widowControl/>
        <w:spacing w:line="240" w:lineRule="exact" w:before="308" w:after="0"/>
        <w:ind w:left="3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III.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NALYSIS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INE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RAPHS FOR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ATA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XTRACTION</w:t>
      </w:r>
    </w:p>
    <w:p>
      <w:pPr>
        <w:autoSpaceDN w:val="0"/>
        <w:autoSpaceDE w:val="0"/>
        <w:widowControl/>
        <w:spacing w:line="220" w:lineRule="exact" w:before="136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line graph has curves and text words. A word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classified as one of the following: 1. X-axis value, 2. Y-axis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value 3. X-axis label, 4. Y-axis label, 5. Figure label, 6. Legend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7. Other text. The metadata structure for a line graph is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as shown in figure 1. Axes values are used to generate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“data value” for the curve pixels. The axes labels are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headers for the columns in the table. For one X-value, there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multiple Y-values, corresponding to multiple curves. Legend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texts are the column headers for these curves. The figure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label is also a metadata for the graph, along with captions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mentions. An automated system for data extraction would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need to extract all these information from the figure. While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previous work has explored parts of the problem, they are hard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integrate into an architecture due to the variability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data.</w:t>
      </w:r>
    </w:p>
    <w:p>
      <w:pPr>
        <w:autoSpaceDN w:val="0"/>
        <w:autoSpaceDE w:val="0"/>
        <w:widowControl/>
        <w:spacing w:line="220" w:lineRule="exact" w:before="136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research questions are: 1. What are the variations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plotting styles that make the text/graphics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difficult? And 2. Can we identify easy and hard instances of</w:t>
      </w:r>
    </w:p>
    <w:p>
      <w:pPr>
        <w:sectPr>
          <w:type w:val="continuous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problems arise from the variations in the plotting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styles. Previous work [11] assumes that a line graph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segmented into X-axis, Y-axis and plotting region. Another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assumption is that the plotting region is always “ideal”, i.e.,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contains only two components: 1. Curves and 2. A legend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region. We find that is often not the case. Only 58% of the plots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our dataset had such an ideal plotting region. We observed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there were four main reasons for plots being “nonideal”: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1. The plotting region had a grid structure (as in figure 2):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87%; 2. Legend region was not present (15%) or not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plotting region (13%); 3. There were text/ graphic elements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plotting region which were neither legend nor curve (15%)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4. Plotting region background was nonwhite (10%). Note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these characteristics were not exclusive, i.e. there were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nonideal plotting regions that had grid structures, as well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legend regions were not inside the plotting region.</w:t>
      </w:r>
    </w:p>
    <w:p>
      <w:pPr>
        <w:autoSpaceDN w:val="0"/>
        <w:autoSpaceDE w:val="0"/>
        <w:widowControl/>
        <w:spacing w:line="220" w:lineRule="exact" w:before="114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These statistics indicate two problems with existing meth-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ods: 1. The “grid” structure and non-white background needs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be removed from the plotting region before applying any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algorithm, and 2. The assumption of legend regions being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inside the plotting region is not valid.</w:t>
      </w:r>
    </w:p>
    <w:p>
      <w:pPr>
        <w:autoSpaceDN w:val="0"/>
        <w:autoSpaceDE w:val="0"/>
        <w:widowControl/>
        <w:spacing w:line="220" w:lineRule="exact" w:before="112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curve extraction, line graphs can broadly be classified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two classes: 1.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Binary/ grayscale plots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where curves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plotted with black/gray pixels and are distinguished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markers or other patterns. Liu et al. [11] proposed methods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this problem, but they assumed that the curves were always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connected. That assumption is not valid in most real graphs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(see figure 2). 2.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Color plots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where curves can be distinguished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their color. 42% of plots in our dataset are color plots.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Obviously, a color plot doesn’t automatically imply that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curve is plotted with a separate color. However, for most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plots (89%) that is the case. Naturally, curve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easier for these plots.</w:t>
      </w:r>
    </w:p>
    <w:p>
      <w:pPr>
        <w:autoSpaceDN w:val="0"/>
        <w:autoSpaceDE w:val="0"/>
        <w:widowControl/>
        <w:spacing w:line="240" w:lineRule="exact" w:before="92" w:after="0"/>
        <w:ind w:left="4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summarize:</w:t>
      </w:r>
    </w:p>
    <w:p>
      <w:pPr>
        <w:autoSpaceDN w:val="0"/>
        <w:autoSpaceDE w:val="0"/>
        <w:widowControl/>
        <w:spacing w:line="220" w:lineRule="exact" w:before="146" w:after="0"/>
        <w:ind w:left="576" w:right="20" w:hanging="2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1) The hardness of the problem lies in the variation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plotting styles, and that aspect has gone largely unnoticed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previous works.</w:t>
      </w:r>
    </w:p>
    <w:p>
      <w:pPr>
        <w:autoSpaceDN w:val="0"/>
        <w:autoSpaceDE w:val="0"/>
        <w:widowControl/>
        <w:spacing w:line="218" w:lineRule="exact" w:before="22" w:after="0"/>
        <w:ind w:left="576" w:right="20" w:hanging="2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2) There are quite a few “easy” instances of the problem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have not been explored properly. These plots are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focus of this paper.</w:t>
      </w:r>
    </w:p>
    <w:p>
      <w:pPr>
        <w:autoSpaceDN w:val="0"/>
        <w:autoSpaceDE w:val="0"/>
        <w:widowControl/>
        <w:spacing w:line="220" w:lineRule="exact" w:before="146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There are three challenges in curve extraction from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plots: 1. Removal of the grid structure and non-white back-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ground, 2. Identifying “visually distinguishable colors”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3. Overlapping curves. Section VI-C reports our methods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problems. Also, for the text extraction and classification,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do not make any assumption about the legend region being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inside the plot region as in the previous work.</w:t>
      </w:r>
    </w:p>
    <w:p>
      <w:pPr>
        <w:autoSpaceDN w:val="0"/>
        <w:tabs>
          <w:tab w:pos="2544" w:val="left"/>
        </w:tabs>
        <w:autoSpaceDE w:val="0"/>
        <w:widowControl/>
        <w:spacing w:line="240" w:lineRule="exact" w:before="214" w:after="0"/>
        <w:ind w:left="208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ATASET</w:t>
      </w:r>
    </w:p>
    <w:p>
      <w:pPr>
        <w:autoSpaceDN w:val="0"/>
        <w:autoSpaceDE w:val="0"/>
        <w:widowControl/>
        <w:spacing w:line="220" w:lineRule="exact" w:before="112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entire dataset consists of 40,000 figures extracted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10,000 articles published in top fifty computer science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ferences between 2004 and 2014. The figures were extracted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using a recently released system by Clark et al. known as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“pdffigures” [4]. Their system produces a grayscale image file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a JSON metadata file for each figure in the document.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metadata contains following information:</w:t>
      </w:r>
    </w:p>
    <w:p>
      <w:pPr>
        <w:sectPr>
          <w:type w:val="nextColumn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sectPr>
          <w:pgSz w:w="12240" w:h="15840"/>
          <w:pgMar w:top="540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1760" cy="17259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725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72" w:val="left"/>
        </w:tabs>
        <w:autoSpaceDE w:val="0"/>
        <w:widowControl/>
        <w:spacing w:line="180" w:lineRule="exact" w:before="226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Fig. 2.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 monochrome plot (extracted from [10]) where the curves can only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be separated by their patterns.</w:t>
      </w:r>
    </w:p>
    <w:p>
      <w:pPr>
        <w:autoSpaceDN w:val="0"/>
        <w:autoSpaceDE w:val="0"/>
        <w:widowControl/>
        <w:spacing w:line="376" w:lineRule="exact" w:before="378" w:after="0"/>
        <w:ind w:left="198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Page number for the page where the figure appears.</w:t>
      </w:r>
    </w:p>
    <w:p>
      <w:pPr>
        <w:autoSpaceDN w:val="0"/>
        <w:autoSpaceDE w:val="0"/>
        <w:widowControl/>
        <w:spacing w:line="220" w:lineRule="exact" w:before="154" w:after="0"/>
        <w:ind w:left="198" w:right="576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Location of the figure on the page (bounding box).</w:t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Caption of the figure.</w:t>
      </w:r>
    </w:p>
    <w:p>
      <w:pPr>
        <w:autoSpaceDN w:val="0"/>
        <w:autoSpaceDE w:val="0"/>
        <w:widowControl/>
        <w:spacing w:line="240" w:lineRule="exact" w:before="134" w:after="0"/>
        <w:ind w:left="398" w:right="180" w:hanging="200"/>
        <w:jc w:val="both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If the text inside the figure can be extracted from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PDF itself, then for each text word in the figure follow-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metadata is available: 1. The text of the word, 2.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bounding box of the word, and 3. The orientation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(horizontal/vertical). Typically, this happens when figures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embedded as vector graphics (eps/ps/PDF).</w:t>
      </w:r>
    </w:p>
    <w:p>
      <w:pPr>
        <w:autoSpaceDN w:val="0"/>
        <w:autoSpaceDE w:val="0"/>
        <w:widowControl/>
        <w:spacing w:line="220" w:lineRule="exact" w:before="150" w:after="0"/>
        <w:ind w:left="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made two modifications to the existing system: 1. From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metadata, we re-extracted the figure as a color image. However,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around 60% of these images were originally embedded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PDF as a grayscale image, therefore, were extracted as such.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2. We modified the metadata to include the paragraphs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document where the figure was mentioned [3].</w:t>
      </w:r>
    </w:p>
    <w:p>
      <w:pPr>
        <w:autoSpaceDN w:val="0"/>
        <w:autoSpaceDE w:val="0"/>
        <w:widowControl/>
        <w:spacing w:line="220" w:lineRule="exact" w:before="114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manually examined the images and found around 50%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these figures contained sub-figures: often a combination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graphs, bar charts, and pie charts. From a random selection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10,000 figures, we manually selected 2250 plots that were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either a line graph or contained at least one line graph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sub-figure. Among them, 882 were color plots. These 882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 were subsequently sampled for various experiments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paper except for the figure classification experiment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(to maintain consistency with previous work). A hundred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figures were manually tagged with word class labels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discussed in section VI-B). To avoid bias in the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design, a completely separate sample of 120 figures were used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problem analysis (section III). This dataset will be made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publicly available.</w:t>
      </w:r>
    </w:p>
    <w:p>
      <w:pPr>
        <w:autoSpaceDN w:val="0"/>
        <w:tabs>
          <w:tab w:pos="1464" w:val="left"/>
        </w:tabs>
        <w:autoSpaceDE w:val="0"/>
        <w:widowControl/>
        <w:spacing w:line="240" w:lineRule="exact" w:before="218" w:after="0"/>
        <w:ind w:left="107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LASSIFICATION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IGURES</w:t>
      </w:r>
    </w:p>
    <w:p>
      <w:pPr>
        <w:autoSpaceDN w:val="0"/>
        <w:autoSpaceDE w:val="0"/>
        <w:widowControl/>
        <w:spacing w:line="220" w:lineRule="exact" w:before="114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first step in our architecture is a classification problem: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input image is classified as a line graph or not. Previous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works have explored a similar multiclass classification prob-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lem, where images are classified as a line graph, a bar graph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 a pie chart, etc. Surprisingly, none of the previous methods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has used common low-level image descriptors such as SIFT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HoG. We used these descriptors in a bag of words (BoG)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model.</w:t>
      </w:r>
    </w:p>
    <w:p>
      <w:pPr>
        <w:autoSpaceDN w:val="0"/>
        <w:autoSpaceDE w:val="0"/>
        <w:widowControl/>
        <w:spacing w:line="220" w:lineRule="exact" w:before="114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SIFT feature descriptor tries to find key points in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using scale-space extrema in a difference-of-Gaussians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(DoG) pyramid. A Gaussian pyramid is created by repeated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smoothing and subsampling of an image by a Gaussian kernel,</w:t>
      </w:r>
    </w:p>
    <w:p>
      <w:pPr>
        <w:sectPr>
          <w:type w:val="continuous"/>
          <w:pgSz w:w="12240" w:h="15840"/>
          <w:pgMar w:top="540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78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the DoG pyramid is created by computing the differ-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ence between the adjacent levels in the Gaussian pyramid.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Histogram of Oriented Gradients (HOG) algorithm counts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occurrences of gradient orientation in localized portions of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and combines them to produce a final feature descriptor.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Both HoG and SIFT have been extensively used in object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detection and image classification. Our motivation for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them was to represent specific structures such as bars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bar graphs and curves in the line graphs in the feature space.</w:t>
      </w:r>
    </w:p>
    <w:p>
      <w:pPr>
        <w:autoSpaceDN w:val="0"/>
        <w:autoSpaceDE w:val="0"/>
        <w:widowControl/>
        <w:spacing w:line="220" w:lineRule="exact" w:before="134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BoG method in our case works in two steps. First,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interest points and descriptors for these points are extracted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from the image and then clustered to create a “visual words”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dictionary or codebook. Then, each image is represented as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frequency distribution over these visual words. This distribu-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is used as a feature vector.</w:t>
      </w:r>
    </w:p>
    <w:p>
      <w:pPr>
        <w:autoSpaceDN w:val="0"/>
        <w:autoSpaceDE w:val="0"/>
        <w:widowControl/>
        <w:spacing w:line="220" w:lineRule="exact" w:before="134" w:after="164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same classification problem, Savva et al. [13] used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random patches of pixels in a BoG model instead of image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descriptors. Their method is motivated by recent advances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unsupervised feature learning that has shown excellent promise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natural image classification. We used their dataset for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sake of comparison. In summary, we had 1130 images divided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eight categories: bar charts (215, 19%), line graphs (147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13%), maps (200 17.7%), Pareto charts (117, 10.3%), pie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charts (118 10.4%), radar plots (86 7.6%), scatter plots (159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14.2%) and Venn diagrams (88 7.8%). We used stratified k-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fold cross validation and compared the accuracies on the test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data. The results are shown in table I. In terms of average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accuracy (mean of class specific accuracies), HoG descriptor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(68%) performed better than the SIFT descriptor (40%) but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neither of them outperformed the random patches method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(80%). This indicates that the scholarly charts usually do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contain complex structures and randomly selected patches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sufficiently good representations.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55" w:type="dxa"/>
      </w:tblPr>
      <w:tblGrid>
        <w:gridCol w:w="5231"/>
        <w:gridCol w:w="5231"/>
      </w:tblGrid>
      <w:tr>
        <w:trPr>
          <w:trHeight w:hRule="exact" w:val="2838"/>
        </w:trPr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2.0000000000005" w:type="dxa"/>
            </w:tblPr>
            <w:tblGrid>
              <w:gridCol w:w="1275"/>
              <w:gridCol w:w="1275"/>
              <w:gridCol w:w="1275"/>
              <w:gridCol w:w="1275"/>
            </w:tblGrid>
            <w:tr>
              <w:trPr>
                <w:trHeight w:hRule="exact" w:val="164"/>
              </w:trPr>
              <w:tc>
                <w:tcPr>
                  <w:tcW w:type="dxa" w:w="900"/>
                  <w:tcBorders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2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Random (Savva et al. [13])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HoG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SIFT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Curve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73%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64%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48%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Maps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84%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68%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52%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Pareto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85%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67%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51%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Pie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79%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71%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42%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Radar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88%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70%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44%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Scatter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79%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63%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40%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Bar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78%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66%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39%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Table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86%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72%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46%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Venn Plot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75%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68%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42%</w:t>
                  </w:r>
                </w:p>
              </w:tc>
            </w:tr>
            <w:tr>
              <w:trPr>
                <w:trHeight w:hRule="exact" w:val="162"/>
              </w:trPr>
              <w:tc>
                <w:tcPr>
                  <w:tcW w:type="dxa" w:w="900"/>
                  <w:tcBorders>
                    <w:top w:sz="3.184000015258789" w:val="single" w:color="#000000"/>
                    <w:end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Average</w:t>
                  </w:r>
                </w:p>
              </w:tc>
              <w:tc>
                <w:tcPr>
                  <w:tcW w:type="dxa" w:w="1802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80%</w:t>
                  </w:r>
                </w:p>
              </w:tc>
              <w:tc>
                <w:tcPr>
                  <w:tcW w:type="dxa" w:w="51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68%</w:t>
                  </w:r>
                </w:p>
              </w:tc>
              <w:tc>
                <w:tcPr>
                  <w:tcW w:type="dxa" w:w="526"/>
                  <w:tcBorders>
                    <w:start w:sz="3.184000015258789" w:val="single" w:color="#000000"/>
                    <w:top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40%</w:t>
                  </w:r>
                </w:p>
              </w:tc>
            </w:tr>
          </w:tbl>
          <w:p>
            <w:pPr>
              <w:autoSpaceDN w:val="0"/>
              <w:tabs>
                <w:tab w:pos="250" w:val="left"/>
                <w:tab w:pos="342" w:val="left"/>
                <w:tab w:pos="1102" w:val="left"/>
                <w:tab w:pos="2044" w:val="left"/>
              </w:tabs>
              <w:autoSpaceDE w:val="0"/>
              <w:widowControl/>
              <w:spacing w:line="180" w:lineRule="exact" w:before="12" w:after="0"/>
              <w:ind w:left="132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TABLE I.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CCURACY RESULTS FOR COMPUTER GENERATED CHARTS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CLASSIFICATION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: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RANDOM PATCH BASED UNSUPERVISED FEATURE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LEARNING OUTPERFORMS LOW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-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LEVEL IMAGE DESCRIPTORS SUCH AS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H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G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AND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SIFT.</w:t>
            </w:r>
          </w:p>
        </w:tc>
      </w:tr>
      <w:tr>
        <w:trPr>
          <w:trHeight w:hRule="exact" w:val="58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10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VI.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106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W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ORD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E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XTRACTION AND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C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LASSIFICATION</w:t>
            </w:r>
          </w:p>
        </w:tc>
      </w:tr>
    </w:tbl>
    <w:p>
      <w:pPr>
        <w:autoSpaceDN w:val="0"/>
        <w:autoSpaceDE w:val="0"/>
        <w:widowControl/>
        <w:spacing w:line="218" w:lineRule="exact" w:before="76" w:after="0"/>
        <w:ind w:left="178" w:right="0" w:firstLine="28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goal of this module is to extract the text words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image and classify them to aid the data extraction process.</w:t>
      </w:r>
    </w:p>
    <w:p>
      <w:pPr>
        <w:autoSpaceDN w:val="0"/>
        <w:autoSpaceDE w:val="0"/>
        <w:widowControl/>
        <w:spacing w:line="236" w:lineRule="exact" w:before="302" w:after="0"/>
        <w:ind w:left="17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A. Word Extraction</w:t>
      </w:r>
    </w:p>
    <w:p>
      <w:pPr>
        <w:autoSpaceDN w:val="0"/>
        <w:autoSpaceDE w:val="0"/>
        <w:widowControl/>
        <w:spacing w:line="220" w:lineRule="exact" w:before="13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extraction in our case is easier than natural scene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images. One choice is to use off-the-shelf OCR systems such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Tesseract, but they have less accuracy on these images because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the text sparsity [9], [17]. Zhu et al. [17] used a convolu-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tional K-means approach to extract text regions from patent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images. While their method achieved good accuracy (71%), it</w:t>
      </w:r>
    </w:p>
    <w:p>
      <w:pPr>
        <w:sectPr>
          <w:type w:val="nextColumn"/>
          <w:pgSz w:w="12240" w:h="15840"/>
          <w:pgMar w:top="540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sectPr>
          <w:pgSz w:w="12240" w:h="15840"/>
          <w:pgMar w:top="558" w:right="798" w:bottom="558" w:left="7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18" w:after="0"/>
        <w:ind w:left="20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was computationally very expensive because they used multi-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scale sliding windows. Kataria et al. [9] used a much simpler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approach based on connected components. In their method,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first an edge map of the image is created and connected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component (CC)s are extracted. These CCs are the candidates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text characters. Therefore, the ones with an area greater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than 20% of the image are discarded because rarely characters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scholarly figures are larger than that. The rest of the CCs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merged to form “words” if they are “close” to each other. 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CCs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considered “close”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,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&gt;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05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,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MI5" w:hAnsi="CMMI5" w:eastAsia="CMMI5"/>
          <w:b w:val="0"/>
          <w:i/>
          <w:color w:val="000000"/>
          <w:sz w:val="10"/>
        </w:rPr>
        <w:t xml:space="preserve">y </w:t>
      </w:r>
      <w:r>
        <w:rPr>
          <w:rFonts w:ascii="CMMI5" w:hAnsi="CMMI5" w:eastAsia="CMMI5"/>
          <w:b w:val="0"/>
          <w:i/>
          <w:color w:val="000000"/>
          <w:sz w:val="10"/>
        </w:rPr>
        <w:t>ij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MI7" w:hAnsi="CMMI7" w:eastAsia="CMMI7"/>
          <w:b w:val="0"/>
          <w:i/>
          <w:color w:val="000000"/>
          <w:sz w:val="14"/>
        </w:rPr>
        <w:t>/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2 </w:t>
      </w:r>
      <w:r>
        <w:rPr>
          <w:rFonts w:ascii="CMR5" w:hAnsi="CMR5" w:eastAsia="CMR5"/>
          <w:b w:val="0"/>
          <w:i w:val="0"/>
          <w:color w:val="000000"/>
          <w:sz w:val="10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.e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MI5" w:hAnsi="CMMI5" w:eastAsia="CMMI5"/>
          <w:b w:val="0"/>
          <w:i/>
          <w:color w:val="000000"/>
          <w:sz w:val="10"/>
        </w:rPr>
        <w:t xml:space="preserve">x </w:t>
      </w:r>
      <w:r>
        <w:rPr>
          <w:rFonts w:ascii="CMMI5" w:hAnsi="CMMI5" w:eastAsia="CMMI5"/>
          <w:b w:val="0"/>
          <w:i/>
          <w:color w:val="000000"/>
          <w:sz w:val="10"/>
        </w:rPr>
        <w:t>ij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MI7" w:hAnsi="CMMI7" w:eastAsia="CMMI7"/>
          <w:b w:val="0"/>
          <w:i/>
          <w:color w:val="000000"/>
          <w:sz w:val="14"/>
        </w:rPr>
        <w:t>/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5" w:hAnsi="CMR5" w:eastAsia="CMR5"/>
          <w:b w:val="0"/>
          <w:i w:val="0"/>
          <w:color w:val="000000"/>
          <w:sz w:val="10"/>
        </w:rPr>
        <w:t xml:space="preserve">2 </w:t>
      </w:r>
      <w:r>
        <w:rPr>
          <w:rFonts w:ascii="CMR5" w:hAnsi="CMR5" w:eastAsia="CMR5"/>
          <w:b w:val="0"/>
          <w:i w:val="0"/>
          <w:color w:val="000000"/>
          <w:sz w:val="10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y </w:t>
      </w:r>
      <w:r>
        <w:rPr>
          <w:rFonts w:ascii="CMMI7" w:hAnsi="CMMI7" w:eastAsia="CMMI7"/>
          <w:b w:val="0"/>
          <w:i/>
          <w:color w:val="000000"/>
          <w:sz w:val="14"/>
        </w:rPr>
        <w:t>ij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x 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ij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the vertical and horizontal distances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respectively. The parameters a,b,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the mean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standard deviations of vertical and horizontal distances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training data.</w:t>
      </w:r>
    </w:p>
    <w:p>
      <w:pPr>
        <w:autoSpaceDN w:val="0"/>
        <w:autoSpaceDE w:val="0"/>
        <w:widowControl/>
        <w:spacing w:line="220" w:lineRule="exact" w:before="128" w:after="0"/>
        <w:ind w:left="20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While the CC approach was computationally efficient,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found several problems with it. Most text characters had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area smaller than 1% of the image area. Also, all CCs having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area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1% were not text characters. Therefore, a filtering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step was needed to remove noise. The merging heuristic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generated large text regions often containing multiple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needed further segmentation. Also, the proposed merging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algorithm was non-iterative and depended on the order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inputs. In recent times, the document analysis community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proposed standardized evaluation metrics for text extraction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images. The previous algorithm was not evaluated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them.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made following changes to the existing algorithm:</w:t>
      </w:r>
    </w:p>
    <w:p>
      <w:pPr>
        <w:autoSpaceDN w:val="0"/>
        <w:autoSpaceDE w:val="0"/>
        <w:widowControl/>
        <w:spacing w:line="460" w:lineRule="exact" w:before="68" w:after="0"/>
        <w:ind w:left="0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CCs having area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% of the image area were considered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candidates for the text characters.</w:t>
      </w:r>
    </w:p>
    <w:p>
      <w:pPr>
        <w:autoSpaceDN w:val="0"/>
        <w:autoSpaceDE w:val="0"/>
        <w:widowControl/>
        <w:spacing w:line="236" w:lineRule="exact" w:before="140" w:after="0"/>
        <w:ind w:left="0" w:right="180" w:firstLine="0"/>
        <w:jc w:val="right"/>
      </w:pP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Candidate CCs were filtered to remove noise. We found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in the color line graphs is almost always written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black pixels. Therefore, color based filter sufficed. However,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 is hard to identify black, gray or white pixels from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 because of anti-aliasing. In section VI-C we propose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algorithm for that. In future, trained classifiers can be used.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output from this step was a set of CCs that are the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characters. In the next step, they were merged to form words.</w:t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We observed that most texts in these figures were horizontal,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except for Y-axis labels. Therefore, it was beneficial to 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two distances separately rather than combining them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previous work. CCs that are within 10% of the image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width from left are the candidates for Y-axis labels and merged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vertically if the vertical distances between them are less than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threshold. Other CCs are merged horizontally using a separate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distance threshold. We experimented with several distance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thresholds such as minimum, second minimum, median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mean of the horizontal/vertical distances. The second minimum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heuristic worked best among them. The merging process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run iteratively until there is no merge. The process is usually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terminated in two or three iterations.</w:t>
      </w:r>
    </w:p>
    <w:p>
      <w:pPr>
        <w:autoSpaceDN w:val="0"/>
        <w:autoSpaceDE w:val="0"/>
        <w:widowControl/>
        <w:spacing w:line="220" w:lineRule="exact" w:before="172" w:after="0"/>
        <w:ind w:left="200" w:right="180" w:firstLine="288"/>
        <w:jc w:val="both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1) Experiments and Results: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From our dataset (see section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IV) of extracted figures, we selected 200 color line graphs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were originally embedded as vector graphics.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figures being vector graphics, bounding boxes of the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were available, and we used them as the gold standard. 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evaluation protocol is adopted from Wolf et al. [16] that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been used extensively in other works and competitions [8]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text extraction from images. For each image, ground truth G</w:t>
      </w:r>
    </w:p>
    <w:p>
      <w:pPr>
        <w:sectPr>
          <w:type w:val="continuous"/>
          <w:pgSz w:w="12240" w:h="15840"/>
          <w:pgMar w:top="558" w:right="798" w:bottom="558" w:left="780" w:header="720" w:footer="720" w:gutter="0"/>
          <w:cols w:space="720" w:num="2" w:equalWidth="0"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84"/>
        <w:ind w:left="178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contains coordinates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bounding boxes for the words.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predicted result P contains coordinates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bounding boxes.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each box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G, the box in P (</w:t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) having maximum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overlap is defined as the equivalence. This is defined as one-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to-one matching. Note that Wolf et al. allows for other types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matching such as many-to-one (multiple boxes predicted for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single box) and one-to-many matching (one box predicted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multiple boxes in the gold standard). These other matchings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not helpful for us. For a pair (P,G), the precision 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recall (</w:t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scores are calculated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55" w:type="dxa"/>
      </w:tblPr>
      <w:tblGrid>
        <w:gridCol w:w="5331"/>
        <w:gridCol w:w="5331"/>
      </w:tblGrid>
      <w:tr>
        <w:trPr>
          <w:trHeight w:hRule="exact" w:val="1818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60" w:after="0"/>
              <w:ind w:left="200" w:right="0" w:firstLine="0"/>
              <w:jc w:val="left"/>
            </w:pPr>
            <w:r>
              <w:rPr>
                <w:rFonts w:ascii="Malgun Gothic" w:hAnsi="Malgun Gothic" w:eastAsia="CMSY10"/>
                <w:b w:val="0"/>
                <w:i/>
                <w:color w:val="000000"/>
                <w:sz w:val="16"/>
              </w:rPr>
              <w:t>•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for all pairs (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>P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,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 xml:space="preserve"> b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tabs>
                <w:tab w:pos="598" w:val="left"/>
                <w:tab w:pos="970" w:val="left"/>
                <w:tab w:pos="3036" w:val="left"/>
                <w:tab w:pos="3554" w:val="left"/>
                <w:tab w:pos="4050" w:val="left"/>
              </w:tabs>
              <w:autoSpaceDE w:val="0"/>
              <w:widowControl/>
              <w:spacing w:line="376" w:lineRule="exact" w:before="0" w:after="0"/>
              <w:ind w:left="398" w:right="0" w:firstLine="0"/>
              <w:jc w:val="left"/>
            </w:pPr>
            <w:r>
              <w:rPr>
                <w:rFonts w:ascii="Malgun Gothic" w:hAnsi="Malgun Gothic" w:eastAsia="CMSY10"/>
                <w:b w:val="0"/>
                <w:i/>
                <w:color w:val="000000"/>
                <w:sz w:val="16"/>
              </w:rPr>
              <w:t>◦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if 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Recall(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>P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,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)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 xml:space="preserve"> &gt;</w:t>
            </w:r>
            <w:r>
              <w:rPr>
                <w:rFonts w:ascii="Malgun Gothic" w:hAnsi="Malgun Gothic" w:eastAsia="CMR10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 xml:space="preserve"> σ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 xml:space="preserve">R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Area-Precision(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>P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,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>G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>&gt;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=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>σ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 xml:space="preserve">P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and</w:t>
            </w:r>
          </w:p>
          <w:p>
            <w:pPr>
              <w:autoSpaceDN w:val="0"/>
              <w:autoSpaceDE w:val="0"/>
              <w:widowControl/>
              <w:spacing w:line="334" w:lineRule="exact" w:before="40" w:after="0"/>
              <w:ind w:left="144" w:right="288" w:firstLine="0"/>
              <w:jc w:val="center"/>
            </w:pPr>
            <w:r>
              <w:rPr>
                <w:rFonts w:ascii="Malgun Gothic" w:hAnsi="Malgun Gothic" w:eastAsia="CMSY10"/>
                <w:b w:val="0"/>
                <w:i/>
                <w:color w:val="000000"/>
                <w:sz w:val="16"/>
              </w:rPr>
              <w:t>◦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no. of correctly identified rectangles+=1</w:t>
            </w:r>
            <w:r>
              <w:rPr>
                <w:rFonts w:ascii="Malgun Gothic" w:hAnsi="Malgun Gothic" w:eastAsia="CMSY10"/>
                <w:b w:val="0"/>
                <w:i/>
                <w:color w:val="000000"/>
                <w:sz w:val="16"/>
              </w:rPr>
              <w:t>•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 xml:space="preserve"> P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>OB</w:t>
            </w:r>
            <w:r>
              <w:rPr>
                <w:rFonts w:ascii="Malgun Gothic" w:hAnsi="Malgun Gothic" w:eastAsia="CMR10"/>
                <w:b w:val="0"/>
                <w:i w:val="0"/>
                <w:color w:val="000000"/>
                <w:sz w:val="16"/>
              </w:rPr>
              <w:t xml:space="preserve"> =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  <w:u w:val="single"/>
              </w:rPr>
              <w:t>no. of correctly identified rectangle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Malgun Gothic" w:hAnsi="Malgun Gothic" w:eastAsia="CMSY10"/>
                <w:b w:val="0"/>
                <w:i/>
                <w:color w:val="000000"/>
                <w:sz w:val="16"/>
              </w:rPr>
              <w:t>•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 xml:space="preserve"> R</w:t>
            </w:r>
            <w:r>
              <w:rPr>
                <w:rFonts w:ascii="Malgun Gothic" w:hAnsi="Malgun Gothic" w:eastAsia="CMMI7"/>
                <w:b w:val="0"/>
                <w:i/>
                <w:color w:val="000000"/>
                <w:sz w:val="16"/>
              </w:rPr>
              <w:t>OB</w:t>
            </w:r>
            <w:r>
              <w:rPr>
                <w:rFonts w:ascii="Malgun Gothic" w:hAnsi="Malgun Gothic" w:eastAsia="CMR10"/>
                <w:b w:val="0"/>
                <w:i w:val="0"/>
                <w:color w:val="000000"/>
                <w:sz w:val="16"/>
              </w:rPr>
              <w:t xml:space="preserve"> =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  <w:u w:val="single"/>
              </w:rPr>
              <w:t>no. of correctly identified rectangle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8" w:after="0"/>
              <w:ind w:left="128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Area-</w:t>
            </w:r>
          </w:p>
        </w:tc>
      </w:tr>
    </w:tbl>
    <w:p>
      <w:pPr>
        <w:autoSpaceDN w:val="0"/>
        <w:autoSpaceDE w:val="0"/>
        <w:widowControl/>
        <w:spacing w:line="220" w:lineRule="exact" w:before="40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Area-Precision is defined as the ratio of the overlap be-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the area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. Area-Recall is defined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ratio of the overlap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the area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thresholds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σ</w:t>
      </w:r>
      <w:r>
        <w:rPr>
          <w:rFonts w:ascii="CMMI7" w:hAnsi="CMMI7" w:eastAsia="CMMI7"/>
          <w:b w:val="0"/>
          <w:i/>
          <w:color w:val="000000"/>
          <w:sz w:val="14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σ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both set to 0.4. The standard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practice for these values are 0.4 and 0.8 [8] respectively, but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many-to-one and one-to-many matchings are also valid in those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cases.</w:t>
      </w:r>
    </w:p>
    <w:p>
      <w:pPr>
        <w:autoSpaceDN w:val="0"/>
        <w:autoSpaceDE w:val="0"/>
        <w:widowControl/>
        <w:spacing w:line="220" w:lineRule="exact" w:before="12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Figures 3a, 3b and 3c show the comparative histograms of 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MI7" w:hAnsi="CMMI7" w:eastAsia="CMMI7"/>
          <w:b w:val="0"/>
          <w:i/>
          <w:color w:val="000000"/>
          <w:sz w:val="14"/>
        </w:rPr>
        <w:t>OB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>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values for the text extraction from 200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images, with our method and Kataria et al. [9] as baseline.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baseline method segments the image into X-axis region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(area below X-axis), Y-axis region and plot region. The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extraction depends on this step, but the segmentation is heuris-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tic, i.e. the longest pair of intersecting vertical and horizontal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lines are considered as axes lines. We found that assumption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be wrong for most of our images. We believe that attributed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the poor result. Our average precision, recall, and F1 values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63%, 75%, and 67% respectively, which is better than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baseline by 32%, 18%, and 29%.</w:t>
      </w:r>
    </w:p>
    <w:p>
      <w:pPr>
        <w:autoSpaceDN w:val="0"/>
        <w:autoSpaceDE w:val="0"/>
        <w:widowControl/>
        <w:spacing w:line="238" w:lineRule="exact" w:before="272" w:after="0"/>
        <w:ind w:left="17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B. Word Classification</w:t>
      </w:r>
    </w:p>
    <w:p>
      <w:pPr>
        <w:autoSpaceDN w:val="0"/>
        <w:autoSpaceDE w:val="0"/>
        <w:widowControl/>
        <w:spacing w:line="220" w:lineRule="exact" w:before="130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Extracted words need to be classified in one of the fol-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lowing seven classes: 1. X-axis value, 2. Y-axis value 3. 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axis label, 4. Y-axis label, 5. Figure label, 6. Legend and 7.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 text. While most of the words can be classified as 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 first six classes, sometimes line graphs contain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are used to show specific points of interest. These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classified as “other text”. For the data extraction, we need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map each point in the plotting region to a data value.Two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X-axis values and two Y-axis values suffice for that step. Also,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 words can be mapped to the metadata structure for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 graph as shown in figure 1. While this classification step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essential in an automated data extraction process, it has gone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largely unnoticed in the previous works.</w:t>
      </w:r>
    </w:p>
    <w:p>
      <w:pPr>
        <w:autoSpaceDN w:val="0"/>
        <w:autoSpaceDE w:val="0"/>
        <w:widowControl/>
        <w:spacing w:line="220" w:lineRule="exact" w:before="12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only have two features for each word: 1. The text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word and 2. The location of the word on the image. Therefore,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 is hard to train a classifier. However, the probability of a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having a particular class label is dependent on the labels of its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neighbors. For example, if a word is classified as an “X-axis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label”, nearby words have a higher probability of being an 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axis label. This is similar to pixel labeling problems in image</w:t>
      </w:r>
    </w:p>
    <w:p>
      <w:pPr>
        <w:sectPr>
          <w:type w:val="nextColumn"/>
          <w:pgSz w:w="12240" w:h="15840"/>
          <w:pgMar w:top="558" w:right="798" w:bottom="558" w:left="780" w:header="720" w:footer="720" w:gutter="0"/>
          <w:cols w:space="720" w:num="2" w:equalWidth="0"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0"/>
        <w:ind w:left="0" w:right="0"/>
      </w:pPr>
    </w:p>
    <w:p>
      <w:pPr>
        <w:autoSpaceDN w:val="0"/>
        <w:tabs>
          <w:tab w:pos="3854" w:val="left"/>
          <w:tab w:pos="7126" w:val="left"/>
        </w:tabs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90090" cy="17259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725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988820" cy="17259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725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988819" cy="17259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1725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326" w:val="left"/>
          <w:tab w:pos="8604" w:val="left"/>
        </w:tabs>
        <w:autoSpaceDE w:val="0"/>
        <w:widowControl/>
        <w:spacing w:line="194" w:lineRule="exact" w:before="56" w:after="0"/>
        <w:ind w:left="166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(a)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(b)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(c)</w:t>
      </w:r>
    </w:p>
    <w:p>
      <w:pPr>
        <w:autoSpaceDN w:val="0"/>
        <w:tabs>
          <w:tab w:pos="594" w:val="left"/>
        </w:tabs>
        <w:autoSpaceDE w:val="0"/>
        <w:widowControl/>
        <w:spacing w:line="192" w:lineRule="exact" w:before="112" w:after="398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Fig. 3.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Comprative results for text extraction: our method and Kataria et al. [9]</w:t>
      </w:r>
    </w:p>
    <w:p>
      <w:pPr>
        <w:sectPr>
          <w:pgSz w:w="12240" w:h="15840"/>
          <w:pgMar w:top="640" w:right="798" w:bottom="558" w:left="980" w:header="720" w:footer="720" w:gutter="0"/>
          <w:cols w:space="720" w:num="1" w:equalWidth="0"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22" w:after="0"/>
        <w:ind w:left="0" w:right="144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processing [1], where an energy equation such as equation 1)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minimized:</w:t>
      </w:r>
    </w:p>
    <w:p>
      <w:pPr>
        <w:autoSpaceDN w:val="0"/>
        <w:autoSpaceDE w:val="0"/>
        <w:widowControl/>
        <w:spacing w:line="198" w:lineRule="exact" w:before="0" w:after="0"/>
        <w:ind w:left="762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EX10" w:hAnsi="CMEX10" w:eastAsia="CMEX10"/>
          <w:b w:val="0"/>
          <w:i w:val="0"/>
          <w:color w:val="000000"/>
          <w:sz w:val="20"/>
        </w:rPr>
        <w:t>�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) +</w:t>
      </w:r>
    </w:p>
    <w:p>
      <w:pPr>
        <w:autoSpaceDN w:val="0"/>
        <w:tabs>
          <w:tab w:pos="2790" w:val="left"/>
          <w:tab w:pos="3194" w:val="left"/>
          <w:tab w:pos="4808" w:val="left"/>
        </w:tabs>
        <w:autoSpaceDE w:val="0"/>
        <w:widowControl/>
        <w:spacing w:line="242" w:lineRule="exact" w:before="0" w:after="0"/>
        <w:ind w:left="2706" w:right="0" w:firstLine="0"/>
        <w:jc w:val="left"/>
      </w:pPr>
      <w:r>
        <w:rPr>
          <w:rFonts w:ascii="CMMI7" w:hAnsi="CMMI7" w:eastAsia="CMMI7"/>
          <w:b w:val="0"/>
          <w:i/>
          <w:color w:val="000000"/>
          <w:sz w:val="14"/>
        </w:rPr>
        <w:t>p,q</w:t>
      </w:r>
      <w:r>
        <w:rPr>
          <w:rFonts w:ascii="CMSY7" w:hAnsi="CMSY7" w:eastAsia="CMSY7"/>
          <w:b w:val="0"/>
          <w:i/>
          <w:color w:val="000000"/>
          <w:sz w:val="14"/>
        </w:rPr>
        <w:t>∈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EX10" w:hAnsi="CMEX10" w:eastAsia="CMEX10"/>
          <w:b w:val="0"/>
          <w:i w:val="0"/>
          <w:color w:val="000000"/>
          <w:sz w:val="20"/>
        </w:rPr>
        <w:t>�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V</w:t>
      </w:r>
      <w:r>
        <w:rPr>
          <w:rFonts w:ascii="CMMI7" w:hAnsi="CMMI7" w:eastAsia="CMMI7"/>
          <w:b w:val="0"/>
          <w:i/>
          <w:color w:val="000000"/>
          <w:sz w:val="14"/>
        </w:rPr>
        <w:t>p,q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MI10" w:hAnsi="CMMI10" w:eastAsia="CMMI10"/>
          <w:b w:val="0"/>
          <w:i/>
          <w:color w:val="000000"/>
          <w:sz w:val="20"/>
        </w:rPr>
        <w:t>, 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40" w:lineRule="exact" w:before="136" w:after="0"/>
        <w:ind w:left="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 labeling of the image P,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cost function for the pixel p having the label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(also known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a “data penalty function”),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CMMI7" w:hAnsi="CMMI7" w:eastAsia="CMMI7"/>
          <w:b w:val="0"/>
          <w:i/>
          <w:color w:val="000000"/>
          <w:sz w:val="14"/>
        </w:rPr>
        <w:t>p,q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models the interaction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between two neighboring pixels p and q having labels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q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(also known as “n interaction potential”). N is the set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all pairs of neighboring pixels.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are trying to predict the class label for the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instead of pixels. The minimization problem is NP-hard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more than two labels, and we have seven labels. Efficient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approximations based on max-flow/min-cut techniques exist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[1], but we developed a much simpler algorithm to model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interaction between neighboring words. The key observation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is that the labels can change iteratively depending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neighboring labels.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designed heuristics for the class prediction problem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summarized in table II. Each heuristics in the table II can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 considered as a confidence point. While it is easy to design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heuristics for classes such as axes values and axes labels,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classes such as legend or “other text” don’t have intuitive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heuristics.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first step, each text is classified as one of the classes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table II or “other text”. We observed that the heuristics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were very accurate for the following three classes: X-axis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value, Y-axis value and Y-axis label (see table III).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seconds step, each word that was not classified as one of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classes was relabeled as “other text”, if a word of class “other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text” was close to it. A word is considered to be “close”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another, if the horizontal or vertical distance between them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less than 5% of the image width or image height, respectively.</w:t>
      </w:r>
    </w:p>
    <w:p>
      <w:pPr>
        <w:autoSpaceDN w:val="0"/>
        <w:autoSpaceDE w:val="0"/>
        <w:widowControl/>
        <w:spacing w:line="220" w:lineRule="exact" w:before="122" w:after="0"/>
        <w:ind w:left="0" w:right="18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Usually, the legend region is the most textually dense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region of the figure. That motivated our third step, where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employed a region growing algorithm to label some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“other text” words as legends. A region is defined as the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“legend box” which is initially empty. Iteratively the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labeled as “other text” are selected. If they are close to each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other, they are merged, and the bounding box is updated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merged region. This process is continued until there is no</w:t>
      </w:r>
    </w:p>
    <w:p>
      <w:pPr>
        <w:sectPr>
          <w:type w:val="continuous"/>
          <w:pgSz w:w="12240" w:h="15840"/>
          <w:pgMar w:top="640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22" w:after="0"/>
        <w:ind w:left="178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merge possible. Finally, the words inside the “legend box”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classified as legends and rest of the words are classified as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“other text”.</w:t>
      </w:r>
    </w:p>
    <w:p>
      <w:pPr>
        <w:autoSpaceDN w:val="0"/>
        <w:autoSpaceDE w:val="0"/>
        <w:widowControl/>
        <w:spacing w:line="220" w:lineRule="exact" w:before="116" w:after="142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experiment, we manually tagged the 2000 words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100 figures in the aforementioned seven classes. 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versus all precision, recall and f1 scores are reported in table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III. It is important to note that we predicted the class labels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two classes “legends” and “other text” with 91% and 57%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accuracy, without desigining any heuristic. Most words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classified correctly, except for the class “other text”. We believe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is because they are randomly spread over the images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do not follow a logical layout structure.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55" w:type="dxa"/>
      </w:tblPr>
      <w:tblGrid>
        <w:gridCol w:w="10462"/>
      </w:tblGrid>
      <w:tr>
        <w:trPr>
          <w:trHeight w:hRule="exact" w:val="435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7.99999999999955" w:type="dxa"/>
            </w:tblPr>
            <w:tblGrid>
              <w:gridCol w:w="2420"/>
              <w:gridCol w:w="2420"/>
            </w:tblGrid>
            <w:tr>
              <w:trPr>
                <w:trHeight w:hRule="exact" w:val="162"/>
              </w:trPr>
              <w:tc>
                <w:tcPr>
                  <w:tcW w:type="dxa" w:w="806"/>
                  <w:tcBorders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Class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Heuristics for classification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10" w:after="0"/>
                    <w:ind w:left="0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X-axis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value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10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Text is a number, 2. Within 10% of image height from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the bottom of the image.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X-axis la-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bel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2. Text is not a number, 2. There’s nothing below the text.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0" w:right="288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Y-axis </w:t>
                  </w:r>
                  <w:r>
                    <w:br/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value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Text is a number, 2. Within 10% from image width from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the left of the image.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Y-axis la-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bel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Text is vertical, 2. Not a number, 3. There’s nothing to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the left of the text.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06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Figure la-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bel</w:t>
                  </w:r>
                </w:p>
              </w:tc>
              <w:tc>
                <w:tcPr>
                  <w:tcW w:type="dxa" w:w="3640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" w:after="0"/>
                    <w:ind w:left="116" w:right="0" w:firstLine="0"/>
                    <w:jc w:val="left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 xml:space="preserve">1. Within 10% of the image height from the top, 2. There’s </w:t>
                  </w: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nothing above the text.</w:t>
                  </w:r>
                </w:p>
              </w:tc>
            </w:tr>
          </w:tbl>
          <w:p>
            <w:pPr>
              <w:autoSpaceDN w:val="0"/>
              <w:tabs>
                <w:tab w:pos="942" w:val="left"/>
                <w:tab w:pos="1386" w:val="left"/>
              </w:tabs>
              <w:autoSpaceDE w:val="0"/>
              <w:widowControl/>
              <w:spacing w:line="178" w:lineRule="exact" w:before="14" w:after="434"/>
              <w:ind w:left="364" w:right="144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TABLE II.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RECISION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, R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ECALL AND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F1-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SCORES FOR THE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CLASSIFICATION OF WORDS IN THE FIGURES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83.9999999999998" w:type="dxa"/>
            </w:tblPr>
            <w:tblGrid>
              <w:gridCol w:w="1210"/>
              <w:gridCol w:w="1210"/>
              <w:gridCol w:w="1210"/>
              <w:gridCol w:w="1210"/>
            </w:tblGrid>
            <w:tr>
              <w:trPr>
                <w:trHeight w:hRule="exact" w:val="164"/>
              </w:trPr>
              <w:tc>
                <w:tcPr>
                  <w:tcW w:type="dxa" w:w="958"/>
                  <w:tcBorders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0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precision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recall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f1-score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X-axis value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99%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90%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X-axis label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82%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88%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Y-axis value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97%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Y-axis label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95%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97%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96%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Figure label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83%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73%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78%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Legend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90%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93%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91%</w:t>
                  </w:r>
                </w:p>
              </w:tc>
            </w:tr>
            <w:tr>
              <w:trPr>
                <w:trHeight w:hRule="exact" w:val="166"/>
              </w:trPr>
              <w:tc>
                <w:tcPr>
                  <w:tcW w:type="dxa" w:w="958"/>
                  <w:tcBorders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Other text</w:t>
                  </w:r>
                </w:p>
              </w:tc>
              <w:tc>
                <w:tcPr>
                  <w:tcW w:type="dxa" w:w="7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48%</w:t>
                  </w:r>
                </w:p>
              </w:tc>
              <w:tc>
                <w:tcPr>
                  <w:tcW w:type="dxa" w:w="550"/>
                  <w:tcBorders>
                    <w:start w:sz="3.184000015258789" w:val="single" w:color="#000000"/>
                    <w:top w:sz="3.184000015258789" w:val="single" w:color="#000000"/>
                    <w:end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71%</w:t>
                  </w:r>
                </w:p>
              </w:tc>
              <w:tc>
                <w:tcPr>
                  <w:tcW w:type="dxa" w:w="696"/>
                  <w:tcBorders>
                    <w:start w:sz="3.184000015258789" w:val="single" w:color="#000000"/>
                    <w:top w:sz="3.184000015258789" w:val="single" w:color="#000000"/>
                    <w:bottom w:sz="3.18400001525878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4"/>
                    </w:rPr>
                    <w:t>57%</w:t>
                  </w:r>
                </w:p>
              </w:tc>
            </w:tr>
          </w:tbl>
          <w:p>
            <w:pPr>
              <w:autoSpaceDN w:val="0"/>
              <w:tabs>
                <w:tab w:pos="942" w:val="left"/>
                <w:tab w:pos="1414" w:val="left"/>
              </w:tabs>
              <w:autoSpaceDE w:val="0"/>
              <w:widowControl/>
              <w:spacing w:line="178" w:lineRule="exact" w:before="14" w:after="0"/>
              <w:ind w:left="336" w:right="144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TABLE III.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RECISION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, R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ECALL AND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F1-</w:t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SCORES FOR THE </w:t>
            </w:r>
            <w:r>
              <w:rPr>
                <w:rFonts w:ascii="Malgun Gothic" w:hAnsi="Malgun Gothic"/>
                <w:sz w:val="16"/>
              </w:rPr>
              <w:tab/>
            </w:r>
            <w:r>
              <w:rPr>
                <w:w w:val="98.09384712806116"/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CLASSIFICATION OF WORDS IN THE FIGURES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38" w:lineRule="exact" w:before="398" w:after="0"/>
        <w:ind w:left="17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C. Curve Segmentation and Assignment</w:t>
      </w:r>
    </w:p>
    <w:p>
      <w:pPr>
        <w:autoSpaceDN w:val="0"/>
        <w:autoSpaceDE w:val="0"/>
        <w:widowControl/>
        <w:spacing w:line="220" w:lineRule="exact" w:before="118" w:after="0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final module in our system is a heuristic algorithm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that separates out the curves in the plots and matches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plots with the legend text. While a color plot usually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very few “visually distinguishable” colors, it has more than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thousand distinct RGB values due to “anti-aliasing”, as these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plots are extracted from PDFs. RGB space is not a “natural”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representation of colors as a small Euclidean distance between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two RGB values doesn’t imply that the colors are visually</w:t>
      </w:r>
    </w:p>
    <w:p>
      <w:pPr>
        <w:sectPr>
          <w:type w:val="nextColumn"/>
          <w:pgSz w:w="12240" w:h="15840"/>
          <w:pgMar w:top="640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sectPr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0" w:right="18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close. Therefore, we converted the images into HSV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space. In HSV, the hue component determines the color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saturation and value components determine the shade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color. Therefore, we first quantized the pixels in 36 color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bins based on their hue value (bin size=10, min hue value 0,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max 360).</w:t>
      </w:r>
    </w:p>
    <w:p>
      <w:pPr>
        <w:sectPr>
          <w:type w:val="continuous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p>
      <w:pPr>
        <w:autoSpaceDN w:val="0"/>
        <w:tabs>
          <w:tab w:pos="2102" w:val="left"/>
        </w:tabs>
        <w:autoSpaceDE w:val="0"/>
        <w:widowControl/>
        <w:spacing w:line="240" w:lineRule="exact" w:before="0" w:after="0"/>
        <w:ind w:left="146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VIII.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CKNOWLEDGMENTS</w:t>
      </w:r>
    </w:p>
    <w:p>
      <w:pPr>
        <w:autoSpaceDN w:val="0"/>
        <w:autoSpaceDE w:val="0"/>
        <w:widowControl/>
        <w:spacing w:line="220" w:lineRule="exact" w:before="118" w:after="232"/>
        <w:ind w:left="178" w:right="20" w:firstLine="28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gratefully acknowledge partial support from the Na-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tional Science Foundation and NPRP grant # 4-029-1-007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the Qatar National Research Fund (a member of Qatar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Foundation).</w:t>
      </w:r>
    </w:p>
    <w:p>
      <w:pPr>
        <w:sectPr>
          <w:type w:val="nextColumn"/>
          <w:pgSz w:w="12240" w:h="15840"/>
          <w:pgMar w:top="558" w:right="798" w:bottom="558" w:left="980" w:header="720" w:footer="720" w:gutter="0"/>
          <w:cols w:space="720" w:num="2" w:equalWidth="0">
            <w:col w:w="5222" w:space="0"/>
            <w:col w:w="5240" w:space="0"/>
            <w:col w:w="5222" w:space="0"/>
            <w:col w:w="5240" w:space="0"/>
            <w:col w:w="10462" w:space="0"/>
            <w:col w:w="5422" w:space="0"/>
            <w:col w:w="5240" w:space="0"/>
            <w:col w:w="5222" w:space="0"/>
            <w:col w:w="5240" w:space="0"/>
            <w:col w:w="5222" w:space="0"/>
            <w:col w:w="5240" w:space="0"/>
            <w:col w:w="10462" w:space="0"/>
            <w:col w:w="5230" w:space="0"/>
            <w:col w:w="5238" w:space="0"/>
            <w:col w:w="104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>
        <w:trPr>
          <w:trHeight w:hRule="exact" w:val="23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88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Three important observations are: 1. Text in the plots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36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[1]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60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EFERENCES</w:t>
            </w:r>
          </w:p>
        </w:tc>
      </w:tr>
      <w:tr>
        <w:trPr>
          <w:trHeight w:hRule="exact" w:val="22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are almost always written in black colors, 2. White and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Y. Boykov and V. Kolmogorov, “An experimental comparison of min-</w:t>
            </w:r>
          </w:p>
        </w:tc>
      </w:tr>
      <w:tr>
        <w:trPr>
          <w:trHeight w:hRule="exact" w:val="66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gray pixels are almost always background values and 3. In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cut/max-flow algorithms for energy minimization in vision,”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Pattern</w:t>
            </w:r>
          </w:p>
        </w:tc>
      </w:tr>
      <w:tr>
        <w:trPr>
          <w:trHeight w:hRule="exact" w:val="199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color plots very rarely curves are drawn with black pixels.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Analysis and Machine Intelligence, IEEE Transactions 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, vol. 26, no. 9,</w:t>
            </w:r>
          </w:p>
        </w:tc>
      </w:tr>
      <w:tr>
        <w:trPr>
          <w:trHeight w:hRule="exact" w:val="225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Therefore, it was evident that white, gray and black pixels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pp. 1124–1137, 2004.</w:t>
            </w:r>
          </w:p>
        </w:tc>
      </w:tr>
      <w:tr>
        <w:trPr>
          <w:trHeight w:hRule="exact" w:val="16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can be removed. These pixels have low saturation or value.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[2]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S. Carberry, S. Elzer, and S. Demir, “Information graphics: an untapped</w:t>
            </w:r>
          </w:p>
        </w:tc>
      </w:tr>
      <w:tr>
        <w:trPr>
          <w:trHeight w:hRule="exact" w:val="6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4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[3]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resource for digital libraries,” 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Proceedings of the 29th annual</w:t>
            </w:r>
          </w:p>
        </w:tc>
      </w:tr>
      <w:tr>
        <w:trPr>
          <w:trHeight w:hRule="exact" w:val="12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However, determining such threshold is hard. Our experiments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international ACM SIGIR conference on Research and development in</w:t>
            </w:r>
          </w:p>
        </w:tc>
      </w:tr>
      <w:tr>
        <w:trPr>
          <w:trHeight w:hRule="exact" w:val="8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suggested that if the “value” parameter is less than six and the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1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information retrieval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1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9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ACM, 2006, pp. 581–588.</w:t>
            </w:r>
          </w:p>
        </w:tc>
      </w:tr>
      <w:tr>
        <w:trPr>
          <w:trHeight w:hRule="exact" w:val="7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saturation parameter is less than eleven, that pixel could be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2853"/>
            <w:gridSpan w:val="3"/>
            <w:vMerge/>
            <w:tcBorders/>
          </w:tcPr>
          <w:p/>
        </w:tc>
        <w:tc>
          <w:tcPr>
            <w:tcW w:type="dxa" w:w="4755"/>
            <w:gridSpan w:val="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S. R. Choudhury, P. Mitra, A. Kirk, S. Szep, D. Pellegrino, S. Jones,</w:t>
            </w:r>
          </w:p>
        </w:tc>
      </w:tr>
      <w:tr>
        <w:trPr>
          <w:trHeight w:hRule="exact" w:val="6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classified as white,black or gray, and hence removed. Note that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and C. L. Giles, “Figure metadata extraction from digital documents,” in</w:t>
            </w:r>
          </w:p>
        </w:tc>
      </w:tr>
      <w:tr>
        <w:trPr>
          <w:trHeight w:hRule="exact" w:val="198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in section III we mentioned that one problem with color graphs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Document Analysis and Recognition (ICDAR), 2013 12th International</w:t>
            </w:r>
          </w:p>
        </w:tc>
      </w:tr>
      <w:tr>
        <w:trPr>
          <w:trHeight w:hRule="exact" w:val="231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is the presence of the grid structure in the plotting region.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Conference 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68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IEEE, 2013, pp. 135–139.</w:t>
            </w:r>
          </w:p>
        </w:tc>
      </w:tr>
      <w:tr>
        <w:trPr>
          <w:trHeight w:hRule="exact" w:val="16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This approach solved that problem. Indeed, some curves are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[4]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C. Clark and S. Divvala, “Looking beyond text: Extracting figures,</w:t>
            </w:r>
          </w:p>
        </w:tc>
      </w:tr>
      <w:tr>
        <w:trPr>
          <w:trHeight w:hRule="exact" w:val="5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0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[5]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tables, and captions from computer science paper,” 2015.</w:t>
            </w:r>
          </w:p>
        </w:tc>
      </w:tr>
      <w:tr>
        <w:trPr>
          <w:trHeight w:hRule="exact" w:val="15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drawn with black pixels, and hence would be removed by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R. P. Futrelle, “Strategies for diagram understanding: Object/spatial data</w:t>
            </w:r>
          </w:p>
        </w:tc>
      </w:tr>
      <w:tr>
        <w:trPr>
          <w:trHeight w:hRule="exact" w:val="13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our algorithm. We sacrifice the recall in favor of precision.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structures, animate vision, and generalized equivalence,” 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Proceedings</w:t>
            </w:r>
          </w:p>
        </w:tc>
      </w:tr>
      <w:tr>
        <w:trPr>
          <w:trHeight w:hRule="exact" w:val="9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In future, we plan to investigate this problem further.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of the 10th ICPR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, 1990, pp. 403–408.</w:t>
            </w:r>
          </w:p>
        </w:tc>
      </w:tr>
      <w:tr>
        <w:trPr>
          <w:trHeight w:hRule="exact" w:val="22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2" w:after="0"/>
              <w:ind w:left="288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Given a set of quantized “color” pixels, the problem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[6]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R. P. Futrelle and N. Nikolakis, “Efficient analysis of complex diagrams</w:t>
            </w:r>
          </w:p>
        </w:tc>
      </w:tr>
      <w:tr>
        <w:trPr>
          <w:trHeight w:hRule="exact" w:val="10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using constraint-based parsing,” 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Document Analysis and Recognition,</w:t>
            </w:r>
          </w:p>
        </w:tc>
      </w:tr>
      <w:tr>
        <w:trPr>
          <w:trHeight w:hRule="exact" w:val="7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reduces to determining the actual number of colors. We sorted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1995., Proceedings of the Third International Conference 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, vol. 2.</w:t>
            </w:r>
          </w:p>
        </w:tc>
      </w:tr>
      <w:tr>
        <w:trPr>
          <w:trHeight w:hRule="exact" w:val="197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the color bins based on their frequency (number of pixels in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IEEE, 1995, pp. 782–790.</w:t>
            </w:r>
          </w:p>
        </w:tc>
      </w:tr>
      <w:tr>
        <w:trPr>
          <w:trHeight w:hRule="exact" w:val="22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each bin). The bins with high-frequency values correspond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[7]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W. Huang, C. L. Tan, and W. K. Leow, “Model-based chart image</w:t>
            </w:r>
          </w:p>
        </w:tc>
      </w:tr>
      <w:tr>
        <w:trPr>
          <w:trHeight w:hRule="exact" w:val="20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to the curves. Bins are selected iteratively from higher to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recognition,” 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Graphics Recognition. Recent Advances and Perspec-</w:t>
            </w:r>
          </w:p>
        </w:tc>
      </w:tr>
      <w:tr>
        <w:trPr>
          <w:trHeight w:hRule="exact" w:val="181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lower frequency: from 1 to i such that frequency of bin (i-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0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[8]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tives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96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Springer, 2004, pp. 87–99.</w:t>
            </w:r>
          </w:p>
        </w:tc>
      </w:tr>
      <w:tr>
        <w:trPr>
          <w:trHeight w:hRule="exact" w:val="4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D. Karatzas, F. Shafait, S. Uchida, M. Iwamura, L. Gomez i Bigorda,</w:t>
            </w:r>
          </w:p>
        </w:tc>
      </w:tr>
      <w:tr>
        <w:trPr>
          <w:trHeight w:hRule="exact" w:val="15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1) - frequency of bin (i)</w:t>
            </w:r>
            <w:r>
              <w:rPr>
                <w:rFonts w:ascii="Malgun Gothic" w:hAnsi="Malgun Gothic" w:eastAsia="CMMI10"/>
                <w:b w:val="0"/>
                <w:i/>
                <w:color w:val="000000"/>
                <w:sz w:val="16"/>
              </w:rPr>
              <w:t xml:space="preserve"> &gt;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 xml:space="preserve"> 0.5* frequency of bin (i-1). This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S. Robles Mestre, J. Mas, D. Fernandez Mota, J. Almazan Almazan,</w:t>
            </w:r>
          </w:p>
        </w:tc>
      </w:tr>
      <w:tr>
        <w:trPr>
          <w:trHeight w:hRule="exact" w:val="11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heuristic is motivated by the idea of the rate of change in a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and L.-P. de las Heras, “Icdar 2013 robust reading competition,” in</w:t>
            </w:r>
          </w:p>
        </w:tc>
      </w:tr>
      <w:tr>
        <w:trPr>
          <w:trHeight w:hRule="exact" w:val="8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variable.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Document Analysis and Recognition (ICDAR), 2013 12th International</w:t>
            </w:r>
          </w:p>
        </w:tc>
      </w:tr>
      <w:tr>
        <w:trPr>
          <w:trHeight w:hRule="exact" w:val="21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" w:after="0"/>
              <w:ind w:left="288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Overlapping curves pose a challenge when the curves are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2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[9]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Conference 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168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IEEE, 2013, pp. 1484–1493.</w:t>
            </w:r>
          </w:p>
        </w:tc>
      </w:tr>
      <w:tr>
        <w:trPr>
          <w:trHeight w:hRule="exact" w:val="13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S. Kataria, W. Browuer, P. Mitra, and C. Giles, “Automatic extraction</w:t>
            </w:r>
          </w:p>
        </w:tc>
      </w:tr>
      <w:tr>
        <w:trPr>
          <w:trHeight w:hRule="exact" w:val="6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drawn by solid bold lines. But for curves with dotted lines,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of data points and text blocks from 2-dimensional plots in digital</w:t>
            </w:r>
          </w:p>
        </w:tc>
      </w:tr>
      <w:tr>
        <w:trPr>
          <w:trHeight w:hRule="exact" w:val="20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even overlapping ones can be extracted easily. In future, a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documents,” 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Proceedings of the 23rd national conference on Artificial</w:t>
            </w:r>
          </w:p>
        </w:tc>
      </w:tr>
      <w:tr>
        <w:trPr>
          <w:trHeight w:hRule="exact" w:val="226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sequential error correction model common in OCR can be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intelligence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, vol. 2, 2008, pp. 1169–1174.</w:t>
            </w:r>
          </w:p>
        </w:tc>
      </w:tr>
      <w:tr>
        <w:trPr>
          <w:trHeight w:hRule="exact" w:val="172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used.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[10]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J. Ledlie, P. Gardner, and M. Seltzer, “Network coordinates in the wild,”</w:t>
            </w:r>
          </w:p>
        </w:tc>
      </w:tr>
      <w:tr>
        <w:trPr>
          <w:trHeight w:hRule="exact" w:val="16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Proceedings of the 4th USENIX conference on Networked systems</w:t>
            </w:r>
          </w:p>
        </w:tc>
      </w:tr>
      <w:tr>
        <w:trPr>
          <w:trHeight w:hRule="exact" w:val="216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288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For evaluation, we manually examined the original image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8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[11]</w:t>
            </w:r>
          </w:p>
        </w:tc>
        <w:tc>
          <w:tcPr>
            <w:tcW w:type="dxa" w:w="1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design &amp; implementation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USENIX Association, 2007, pp. 22–22.</w:t>
            </w:r>
          </w:p>
        </w:tc>
      </w:tr>
      <w:tr>
        <w:trPr>
          <w:trHeight w:hRule="exact" w:val="5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X. Lu, S. Kataria, W. J. Brouwer, J. Z. Wang, P. Mitra, and C. L. Giles,</w:t>
            </w:r>
          </w:p>
        </w:tc>
      </w:tr>
      <w:tr>
        <w:trPr>
          <w:trHeight w:hRule="exact" w:val="14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and the reconstructed curves and predicted the number of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2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[12]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“Automated analysis of images in documents for intelligent document</w:t>
            </w:r>
          </w:p>
        </w:tc>
      </w:tr>
      <w:tr>
        <w:trPr>
          <w:trHeight w:hRule="exact" w:val="10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colors. On a random sample of 165 images, our algorithm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search,”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IJDAR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, vol. 12, no. 2, pp. 65–81, 2009.</w:t>
            </w:r>
          </w:p>
        </w:tc>
      </w:tr>
      <w:tr>
        <w:trPr>
          <w:trHeight w:hRule="exact" w:val="9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correctly predicted the number of colors in 82% of cases.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V. Prasad, B. Siddiquie, J. Golbeck, and L. Davis, “Classifying com-</w:t>
            </w:r>
          </w:p>
        </w:tc>
      </w:tr>
      <w:tr>
        <w:trPr>
          <w:trHeight w:hRule="exact" w:val="8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Once the curves are segmented and the text from the figure is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puter generated charts,” 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Content-Based Multimedia Indexing, 2007.</w:t>
            </w:r>
          </w:p>
        </w:tc>
      </w:tr>
      <w:tr>
        <w:trPr>
          <w:trHeight w:hRule="exact" w:val="192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classified, the curve-legend assignment is easy for color curves.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26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CBMI’07. International Workshop 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6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IEEE, 2007, pp. 85–92.</w:t>
            </w:r>
          </w:p>
        </w:tc>
      </w:tr>
      <w:tr>
        <w:trPr>
          <w:trHeight w:hRule="exact" w:val="228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We observed that for almost all plots, the color symbol appears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[13]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M. Savva, N. Kong, A. Chhajta, L. Fei-Fei, M. Agrawala, and J. Heer,</w:t>
            </w:r>
          </w:p>
        </w:tc>
      </w:tr>
      <w:tr>
        <w:trPr>
          <w:trHeight w:hRule="exact" w:val="188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left or right to the legend text.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“Revision: Automated classification, analysis and redesign of chart</w:t>
            </w:r>
          </w:p>
        </w:tc>
      </w:tr>
      <w:tr>
        <w:trPr>
          <w:trHeight w:hRule="exact" w:val="11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images,” 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Proceedings of the 24th annual ACM symposium on User</w:t>
            </w:r>
          </w:p>
        </w:tc>
      </w:tr>
      <w:tr>
        <w:trPr>
          <w:trHeight w:hRule="exact" w:val="6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6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[14]</w:t>
            </w:r>
          </w:p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2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interface software and technology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96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ACM, 2011, pp. 393–402.</w:t>
            </w:r>
          </w:p>
        </w:tc>
      </w:tr>
      <w:tr>
        <w:trPr>
          <w:trHeight w:hRule="exact" w:val="6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M. Shao and R. Futrelle, “Graphics recognition in pdf documents,” in</w:t>
            </w:r>
          </w:p>
        </w:tc>
      </w:tr>
      <w:tr>
        <w:trPr>
          <w:trHeight w:hRule="exact" w:val="142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98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VII.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12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ONCLUSION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Proc. of GREC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, 2005.</w:t>
            </w:r>
          </w:p>
        </w:tc>
      </w:tr>
      <w:tr>
        <w:trPr>
          <w:trHeight w:hRule="exact" w:val="20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88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Line graphs are abundant in scholarly papers. These figures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[15]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M. Shao and R. P. Futrelle, “Recognition and classification of figures in</w:t>
            </w:r>
          </w:p>
        </w:tc>
      </w:tr>
      <w:tr>
        <w:trPr>
          <w:trHeight w:hRule="exact" w:val="12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14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[16]</w:t>
            </w:r>
          </w:p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pdf documents,” 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Graphics Recognition. Ten Years Review and Future</w:t>
            </w:r>
          </w:p>
        </w:tc>
      </w:tr>
      <w:tr>
        <w:trPr>
          <w:trHeight w:hRule="exact" w:val="66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are generated from tabular data and that data, while very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Perspectives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3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6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Springer, 2006, pp. 231–242.</w:t>
            </w:r>
          </w:p>
        </w:tc>
      </w:tr>
      <w:tr>
        <w:trPr>
          <w:trHeight w:hRule="exact" w:val="5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important, can not be accessed or searched on. We report an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5706"/>
            <w:gridSpan w:val="6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C. Wolf and J.-M. Jolion, “Object count/area graphs for the evaluation</w:t>
            </w:r>
          </w:p>
        </w:tc>
      </w:tr>
      <w:tr>
        <w:trPr>
          <w:trHeight w:hRule="exact" w:val="194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architecture for automated data extraction for such line graphs.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of object detection and segmentation algorithms,”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International Journal</w:t>
            </w:r>
          </w:p>
        </w:tc>
      </w:tr>
      <w:tr>
        <w:trPr>
          <w:trHeight w:hRule="exact" w:val="183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We present an analysis of line graphs to identify easy and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6" w:after="0"/>
              <w:ind w:left="0" w:right="74" w:firstLine="0"/>
              <w:jc w:val="righ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[17]</w:t>
            </w:r>
          </w:p>
        </w:tc>
        <w:tc>
          <w:tcPr>
            <w:tcW w:type="dxa" w:w="4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of Document Analysis and Recognition (IJDAR)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, vol. 8, no. 4, pp. 280–</w:t>
            </w:r>
          </w:p>
        </w:tc>
      </w:tr>
      <w:tr>
        <w:trPr>
          <w:trHeight w:hRule="exact" w:val="42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296, 2006.</w:t>
            </w:r>
          </w:p>
        </w:tc>
      </w:tr>
      <w:tr>
        <w:trPr>
          <w:trHeight w:hRule="exact" w:val="162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hard cases. Next, we present algorithms for text extraction,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S. Zhu and R. Zanibbi, “Label detection and recognition for uspto</w:t>
            </w:r>
          </w:p>
        </w:tc>
      </w:tr>
      <w:tr>
        <w:trPr>
          <w:trHeight w:hRule="exact" w:val="140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classification and curve extraction from line graphs. We also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images using convolutional k-means feature quantization and ada-</w:t>
            </w:r>
          </w:p>
        </w:tc>
      </w:tr>
      <w:tr>
        <w:trPr>
          <w:trHeight w:hRule="exact" w:val="102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briefly discuss our dataset of figures extracted from scholarly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470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84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boost,” in</w:t>
            </w: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 xml:space="preserve"> Document Analysis and Recognition (ICDAR), 2013 12th</w:t>
            </w:r>
          </w:p>
        </w:tc>
      </w:tr>
      <w:tr>
        <w:trPr>
          <w:trHeight w:hRule="exact" w:val="64"/>
        </w:trPr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papers. In future, we plan to improve the text extraction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7608"/>
            <w:gridSpan w:val="8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204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NimbusRomNo9L"/>
                <w:b w:val="0"/>
                <w:i/>
                <w:color w:val="000000"/>
                <w:sz w:val="16"/>
              </w:rPr>
              <w:t>International Conference on</w:t>
            </w: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65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8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IEEE, 2013, pp. 633–637.</w:t>
            </w:r>
          </w:p>
        </w:tc>
      </w:tr>
      <w:tr>
        <w:trPr>
          <w:trHeight w:hRule="exact" w:val="22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accuracy and consider curve extraction from BW/grayscale line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55"/>
            <w:gridSpan w:val="5"/>
            <w:vMerge/>
            <w:tcBorders/>
          </w:tcPr>
          <w:p/>
        </w:tc>
        <w:tc>
          <w:tcPr>
            <w:tcW w:type="dxa" w:w="2853"/>
            <w:gridSpan w:val="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left"/>
            </w:pPr>
            <w:r>
              <w:rPr>
                <w:rFonts w:ascii="Malgun Gothic" w:hAnsi="Malgun Gothic" w:eastAsia="NimbusRomNo9L"/>
                <w:b w:val="0"/>
                <w:i w:val="0"/>
                <w:color w:val="000000"/>
                <w:sz w:val="16"/>
              </w:rPr>
              <w:t>graphs.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4755"/>
            <w:gridSpan w:val="5"/>
            <w:vMerge/>
            <w:tcBorders/>
          </w:tcPr>
          <w:p/>
        </w:tc>
        <w:tc>
          <w:tcPr>
            <w:tcW w:type="dxa" w:w="2853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558" w:right="798" w:bottom="558" w:left="980" w:header="720" w:footer="720" w:gutter="0"/>
      <w:cols w:space="720" w:num="1" w:equalWidth="0">
        <w:col w:w="10462" w:space="0"/>
        <w:col w:w="5222" w:space="0"/>
        <w:col w:w="5240" w:space="0"/>
        <w:col w:w="5222" w:space="0"/>
        <w:col w:w="5240" w:space="0"/>
        <w:col w:w="10462" w:space="0"/>
        <w:col w:w="5422" w:space="0"/>
        <w:col w:w="5240" w:space="0"/>
        <w:col w:w="5222" w:space="0"/>
        <w:col w:w="5240" w:space="0"/>
        <w:col w:w="5222" w:space="0"/>
        <w:col w:w="5240" w:space="0"/>
        <w:col w:w="10462" w:space="0"/>
        <w:col w:w="5230" w:space="0"/>
        <w:col w:w="5238" w:space="0"/>
        <w:col w:w="104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