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60"/>
        <w:ind w:firstLine="0"/>
        <w:jc w:val="left"/>
      </w:pPr>
      <w:r>
        <w:rPr>
          <w:rFonts w:ascii="Times New Roman" w:cs="Times New Roman" w:eastAsia="Times New Roman" w:hAnsi="Times New Roman"/>
          <w:b/>
          <w:bCs/>
          <w:sz w:val="28"/>
          <w:szCs w:val="28"/>
        </w:rPr>
        <w:t xml:space="preserve">Adaptive Imaginary Gabor Wavelet: Per-Pixel Kernel Modulation via Local Gradient Activity for Edge-Based Boundary Detection</w:t>
      </w:r>
    </w:p>
    <w:p>
      <w:pPr>
        <w:spacing w:after="200" w:line="240"/>
        <w:ind w:firstLine="0"/>
      </w:pPr>
      <w:r>
        <w:rPr>
          <w:rFonts w:ascii="Times New Roman" w:cs="Times New Roman" w:eastAsia="Times New Roman" w:hAnsi="Times New Roman"/>
          <w:sz w:val="20"/>
          <w:szCs w:val="20"/>
        </w:rPr>
        <w:t xml:space="preserve">Kukuh Yudhistiro</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Ruri S. Basuki</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Nova Rijati</w:t>
      </w:r>
      <w:r>
        <w:rPr>
          <w:rFonts w:ascii="Times New Roman" w:cs="Times New Roman" w:eastAsia="Times New Roman" w:hAnsi="Times New Roman"/>
          <w:sz w:val="20"/>
          <w:szCs w:val="20"/>
          <w:vertAlign w:val="superscript"/>
        </w:rPr>
        <w:t xml:space="preserve">3</w:t>
      </w:r>
    </w:p>
    <w:p>
      <w:pPr>
        <w:spacing w:after="120" w:line="240"/>
        <w:ind w:firstLine="0"/>
      </w:pPr>
      <w:r>
        <w:rPr>
          <w:rFonts w:ascii="Times New Roman" w:cs="Times New Roman" w:eastAsia="Times New Roman" w:hAnsi="Times New Roman"/>
          <w:sz w:val="18"/>
          <w:szCs w:val="18"/>
          <w:vertAlign w:val="superscript"/>
        </w:rPr>
        <w:t xml:space="preserve">1,2,3</w:t>
      </w:r>
      <w:r>
        <w:rPr>
          <w:rFonts w:ascii="Times New Roman" w:cs="Times New Roman" w:eastAsia="Times New Roman" w:hAnsi="Times New Roman"/>
          <w:sz w:val="18"/>
          <w:szCs w:val="18"/>
        </w:rPr>
        <w:t xml:space="preserve"> Faculty of Computer Science, Universitas Dian Nuswantoro, Semarang 50131, Jawa Tengah, Indonesia</w:t>
      </w:r>
    </w:p>
    <w:p>
      <w:pPr>
        <w:spacing w:after="120" w:line="240"/>
        <w:ind w:firstLine="0"/>
      </w:pPr>
      <w:r>
        <w:rPr>
          <w:rFonts w:ascii="Times New Roman" w:cs="Times New Roman" w:eastAsia="Times New Roman" w:hAnsi="Times New Roman"/>
          <w:sz w:val="18"/>
          <w:szCs w:val="18"/>
        </w:rPr>
        <w:t xml:space="preserve">Corresponding Author Email: kukuh.yudhistiro@unmer.ac.id</w:t>
      </w:r>
    </w:p>
    <w:p>
      <w:pPr>
        <w:spacing w:after="240" w:line="240"/>
        <w:ind w:firstLine="0"/>
      </w:pPr>
      <w:r>
        <w:rPr>
          <w:rFonts w:ascii="Times New Roman" w:cs="Times New Roman" w:eastAsia="Times New Roman" w:hAnsi="Times New Roman"/>
          <w:sz w:val="16"/>
          <w:szCs w:val="16"/>
        </w:rPr>
        <w:t xml:space="preserve">Copyright: ©2026 The authors. This article is published by IIETA and is licensed under the CC BY 4.0 license (http://creativecommons.org/licenses/by/4.0/).</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200"/>
        <w:gridCol w:w="6552"/>
      </w:tblGrid>
      <w:tr>
        <w:tc>
          <w:tcPr>
            <w:tcW w:type="dxa" w:w="3200"/>
            <w:tcBorders>
              <w:top w:val="single" w:color="000000" w:sz="6"/>
              <w:left w:val="none" w:color="FFFFFF" w:sz="0"/>
              <w:bottom w:val="none" w:color="FFFFFF" w:sz="0"/>
              <w:right w:val="none" w:color="FFFFFF" w:sz="0"/>
            </w:tcBorders>
            <w:tcMar>
              <w:top w:type="dxa" w:w="100"/>
              <w:left w:type="dxa" w:w="0"/>
              <w:bottom w:type="dxa" w:w="100"/>
              <w:right w:type="dxa" w:w="200"/>
            </w:tcMar>
          </w:tcPr>
          <w:p>
            <w:pPr>
              <w:spacing w:after="200"/>
              <w:ind w:firstLine="0"/>
            </w:pPr>
            <w:r>
              <w:rPr>
                <w:rFonts w:ascii="Times New Roman" w:cs="Times New Roman" w:eastAsia="Times New Roman" w:hAnsi="Times New Roman"/>
                <w:sz w:val="18"/>
                <w:szCs w:val="18"/>
              </w:rPr>
              <w:t xml:space="preserve">https://doi.org/10.18280/jesa.xxxxxx</w:t>
            </w:r>
          </w:p>
          <w:p>
            <w:pPr>
              <w:ind w:firstLine="0"/>
            </w:pPr>
            <w:r>
              <w:rPr>
                <w:rFonts w:ascii="Times New Roman" w:cs="Times New Roman" w:eastAsia="Times New Roman" w:hAnsi="Times New Roman"/>
                <w:sz w:val="18"/>
                <w:szCs w:val="18"/>
              </w:rPr>
              <w:t xml:space="preserve">Received:</w:t>
            </w:r>
          </w:p>
          <w:p>
            <w:pPr>
              <w:ind w:firstLine="0"/>
            </w:pPr>
            <w:r>
              <w:rPr>
                <w:rFonts w:ascii="Times New Roman" w:cs="Times New Roman" w:eastAsia="Times New Roman" w:hAnsi="Times New Roman"/>
                <w:sz w:val="18"/>
                <w:szCs w:val="18"/>
              </w:rPr>
              <w:t xml:space="preserve">Revised:</w:t>
            </w:r>
          </w:p>
          <w:p>
            <w:pPr>
              <w:ind w:firstLine="0"/>
            </w:pPr>
            <w:r>
              <w:rPr>
                <w:rFonts w:ascii="Times New Roman" w:cs="Times New Roman" w:eastAsia="Times New Roman" w:hAnsi="Times New Roman"/>
                <w:sz w:val="18"/>
                <w:szCs w:val="18"/>
              </w:rPr>
              <w:t xml:space="preserve">Accepted:</w:t>
            </w:r>
          </w:p>
          <w:p>
            <w:pPr>
              <w:spacing w:after="300"/>
              <w:ind w:firstLine="0"/>
            </w:pPr>
            <w:r>
              <w:rPr>
                <w:rFonts w:ascii="Times New Roman" w:cs="Times New Roman" w:eastAsia="Times New Roman" w:hAnsi="Times New Roman"/>
                <w:sz w:val="18"/>
                <w:szCs w:val="18"/>
              </w:rPr>
              <w:t xml:space="preserve">Available online:</w:t>
            </w:r>
          </w:p>
          <w:p>
            <w:pPr>
              <w:spacing w:after="100"/>
              <w:ind w:firstLine="0"/>
            </w:pPr>
            <w:r>
              <w:rPr>
                <w:rFonts w:ascii="Times New Roman" w:cs="Times New Roman" w:eastAsia="Times New Roman" w:hAnsi="Times New Roman"/>
                <w:b/>
                <w:bCs/>
                <w:sz w:val="18"/>
                <w:szCs w:val="18"/>
              </w:rPr>
              <w:t xml:space="preserve">Keywords:</w:t>
            </w:r>
          </w:p>
          <w:p>
            <w:pPr>
              <w:ind w:firstLine="0"/>
            </w:pPr>
            <w:r>
              <w:rPr>
                <w:rFonts w:ascii="Times New Roman" w:cs="Times New Roman" w:eastAsia="Times New Roman" w:hAnsi="Times New Roman"/>
                <w:i/>
                <w:iCs/>
                <w:sz w:val="18"/>
                <w:szCs w:val="18"/>
              </w:rPr>
              <w:t xml:space="preserve">adaptive edge detection, edge-based boundary detection, Gabor wavelet, imaginary-only filtering, local gradient activity, spatially varying convolution</w:t>
            </w:r>
          </w:p>
        </w:tc>
        <w:tc>
          <w:tcPr>
            <w:tcW w:type="dxa" w:w="6552"/>
            <w:tcBorders>
              <w:top w:val="single" w:color="000000" w:sz="6"/>
              <w:left w:val="none" w:color="FFFFFF" w:sz="0"/>
              <w:bottom w:val="none" w:color="FFFFFF" w:sz="0"/>
              <w:right w:val="none" w:color="FFFFFF" w:sz="0"/>
            </w:tcBorders>
            <w:tcMar>
              <w:top w:type="dxa" w:w="100"/>
              <w:left w:type="dxa" w:w="200"/>
              <w:bottom w:type="dxa" w:w="100"/>
              <w:right w:type="dxa" w:w="0"/>
            </w:tcMar>
          </w:tcPr>
          <w:p>
            <w:pPr>
              <w:spacing w:after="200"/>
              <w:ind w:firstLine="0"/>
            </w:pPr>
            <w:r>
              <w:rPr>
                <w:rFonts w:ascii="Times New Roman" w:cs="Times New Roman" w:eastAsia="Times New Roman" w:hAnsi="Times New Roman"/>
                <w:b/>
                <w:bCs/>
                <w:sz w:val="18"/>
                <w:szCs w:val="18"/>
              </w:rPr>
              <w:t xml:space="preserve">ABSTRACT</w:t>
            </w:r>
          </w:p>
          <w:p>
            <w:pPr>
              <w:spacing w:line="240"/>
              <w:ind w:firstLine="0"/>
              <w:jc w:val="both"/>
            </w:pPr>
            <w:r>
              <w:rPr>
                <w:rFonts w:ascii="Times New Roman" w:cs="Times New Roman" w:eastAsia="Times New Roman" w:hAnsi="Times New Roman"/>
                <w:sz w:val="18"/>
                <w:szCs w:val="18"/>
              </w:rPr>
              <w:t xml:space="preserve">The Gabor wavelet provides multi-orientation filtering for edge-based boundary detection, but its kernel parameters are normally fixed across an entire image. This paper presents the Adaptive Imaginary Gabor Wavelet (A-GWi), a handcrafted method that sets the centre frequency and scale of an imaginary-only Gabor kernel at every pixel from a closed-form mapping of a local gradient activity estimate, without training and without a graphics processing unit. Evaluation follows the Berkeley protocol on the Berkeley Segmentation Dataset 500 (BSDS500) and the Unified Dataset for Edge Detection (UDED). A-GWi reaches an optimal dataset scale F-measure (ODS) of 0.534 on BSDS500 and 0.668 on UDED, against 0.417 and 0.580 for the static imaginary Gabor wavelet and 0.397 and 0.507 for the complex Gabor wavelet. The margin over both static baselines is significant on both datasets, while the difference against a gradient-magnitude Canny baseline is not. An ablation shows that a static kernel at the lower frequency bound reaches the same accuracy, so the per-pixel mechanism selects an effective operating point without manual tuning rather than improving on the best static configuration. The method runs on a single processor thread at 604 ms per image.</w:t>
            </w:r>
          </w:p>
        </w:tc>
      </w:tr>
    </w:tbl>
    <w:p>
      <w:pPr>
        <w:pBdr>
          <w:top w:val="single" w:color="000000" w:sz="6"/>
        </w:pBdr>
        <w:spacing w:after="120"/>
        <w:ind w:firstLine="0"/>
      </w:pPr>
      <w:r>
        <w:rPr>
          <w:rFonts w:ascii="Times New Roman" w:cs="Times New Roman" w:eastAsia="Times New Roman" w:hAnsi="Times New Roman"/>
          <w:sz w:val="12"/>
          <w:szCs w:val="12"/>
        </w:rPr>
        <w:t xml:space="preserve"/>
      </w:r>
    </w:p>
    <w:p>
      <w:pPr>
        <w:sectPr>
          <w:pgSz w:w="11906" w:h="16838" w:orient="portrait"/>
          <w:pgMar w:top="1077" w:right="1077" w:bottom="1077" w:left="1077" w:header="708" w:footer="708" w:gutter="0"/>
          <w:pgNumType/>
          <w:cols w:num="1"/>
          <w:docGrid w:linePitch="360"/>
        </w:sectPr>
      </w:pPr>
    </w:p>
    <w:p>
      <w:pPr>
        <w:spacing w:after="200" w:before="400" w:line="240"/>
        <w:ind w:firstLine="0"/>
      </w:pPr>
      <w:r>
        <w:rPr>
          <w:rFonts w:ascii="Times New Roman" w:cs="Times New Roman" w:eastAsia="Times New Roman" w:hAnsi="Times New Roman"/>
          <w:b/>
          <w:bCs/>
          <w:sz w:val="20"/>
          <w:szCs w:val="20"/>
        </w:rPr>
        <w:t xml:space="preserve">1. INTRODUCTION</w:t>
      </w:r>
    </w:p>
    <w:p>
      <w:pPr>
        <w:spacing w:after="0" w:before="0" w:line="240"/>
        <w:ind w:firstLine="0"/>
        <w:jc w:val="both"/>
      </w:pPr>
      <w:r>
        <w:rPr>
          <w:rFonts w:ascii="Times New Roman" w:cs="Times New Roman" w:eastAsia="Times New Roman" w:hAnsi="Times New Roman"/>
          <w:sz w:val="20"/>
          <w:szCs w:val="20"/>
        </w:rPr>
        <w:t xml:space="preserve">Edge-based boundary detection locates pixels where image intensity changes abruptly, and it supports medical image inspection, industrial material classification, and agricultural image analysis in which objects appear at varying local densities [3]. Classical detectors such as Canny [4], Sobel [5], and the Laplacian of Gaussian [6], together with standard Gabor wavelets [7, 8], apply fixed-parameter filters uniformly across an image. Recent work extends these detectors with adaptive thresholding [1, 9] or multi-scale selection [2, 10], but the underlying convolution kernel remains spatially invariant. A single kernel cannot resolve fine boundaries in cluttered regions and capture broad contours in homogeneous regions at the same time, which produces spatially non-uniform responses that lower precision, recall, and the F-measure.</w:t>
      </w:r>
    </w:p>
    <w:p>
      <w:pPr>
        <w:spacing w:after="0" w:before="0" w:line="240"/>
        <w:ind w:firstLine="227"/>
        <w:jc w:val="both"/>
      </w:pPr>
      <w:r>
        <w:rPr>
          <w:rFonts w:ascii="Times New Roman" w:cs="Times New Roman" w:eastAsia="Times New Roman" w:hAnsi="Times New Roman"/>
          <w:sz w:val="20"/>
          <w:szCs w:val="20"/>
        </w:rPr>
        <w:t xml:space="preserve">Adaptive approaches fall into three groups. Threshold-based methods [1, 9, 11] adjust the binarization threshold to local statistics but keep the filter kernel fixed. Scale-based methods [2, 10] select a filter scale from the local neighbourhood but adapt at the block level rather than per pixel. Parameter-learning methods embed adaptive Gabor kernels inside convolutional neural networks, including learnable Gabor edge layers [12], deformable Gabor feature networks [13], adaptive Gabor convolutional networks [14], and earlier Gabor convolutional networks [15, 16]. A parallel line of work integrates Gabor filters into deep networks as learnable or fixed front ends for classification and detection [17-21]. These learnable formulations confirm that Gabor parameterization carries useful structure, but they require labelled data, backpropagation, and a graphics processing unit (GPU), and they do not condition the kernel on a local estimate of image activity. The closest handcrafted precedent is fingerprint enhancement [38], where Gabor frequency and orientation are modulated from a local ridge-frequency estimate, but the adaptation is per block and the task is enhancement rather than boundary detection.</w:t>
      </w:r>
    </w:p>
    <w:p>
      <w:pPr>
        <w:spacing w:after="0" w:before="0" w:line="240"/>
        <w:ind w:firstLine="227"/>
        <w:jc w:val="both"/>
      </w:pPr>
      <w:r>
        <w:rPr>
          <w:rFonts w:ascii="Times New Roman" w:cs="Times New Roman" w:eastAsia="Times New Roman" w:hAnsi="Times New Roman"/>
          <w:sz w:val="20"/>
          <w:szCs w:val="20"/>
        </w:rPr>
        <w:t xml:space="preserve">The imaginary-only Gabor wavelet halves the convolution count of the complex Gabor wavelet while preserving the edge-sensitive antisymmetric response, and it inherits the same spatial-invariance limitation. This paper asks whether the kernel parameters of that formulation can be set per pixel in closed form, and what such a mechanism contributes once its effect is separated from the effect of the operating point it selects. The proposed method, the Adaptive Imaginary Gabor Wavelet (A-GWi), modulates the centre frequency and the Gaussian scale at each pixel through a sigmoid mapping of a Sobel-derived local gradient activity estimate. Table 1 places the mechanism against prior adaptation strategies along four dimensions.</w:t>
      </w:r>
    </w:p>
    <w:p>
      <w:pPr>
        <w:spacing w:after="0" w:before="0" w:line="240"/>
        <w:ind w:firstLine="227"/>
        <w:jc w:val="both"/>
      </w:pPr>
      <w:r>
        <w:rPr>
          <w:rFonts w:ascii="Times New Roman" w:cs="Times New Roman" w:eastAsia="Times New Roman" w:hAnsi="Times New Roman"/>
          <w:sz w:val="20"/>
          <w:szCs w:val="20"/>
        </w:rPr>
        <w:t xml:space="preserve">This work makes three contributions. First, it proposes a handcrafted spatially varying Gabor formulation in which the kernel frequency and scale are computed at each pixel in closed form, without training. Second, it reports an ablation that separates the contribution of the per-pixel mechanism from the contribution of the operating point, together with two negative controls on the driving signal. Third, it reports an evaluation under the Berkeley protocol on two datasets against five handcrafted baselines, with bootstrap confidence intervals and paired significance tests for every comparison.</w:t>
      </w:r>
    </w:p>
    <w:p>
      <w:pPr>
        <w:spacing w:after="0" w:before="0" w:line="240"/>
        <w:ind w:firstLine="227"/>
        <w:jc w:val="both"/>
      </w:pPr>
      <w:r>
        <w:rPr>
          <w:rFonts w:ascii="Times New Roman" w:cs="Times New Roman" w:eastAsia="Times New Roman" w:hAnsi="Times New Roman"/>
          <w:sz w:val="20"/>
          <w:szCs w:val="20"/>
        </w:rPr>
        <w:t xml:space="preserve">The remainder of the paper is organised as follows. Section 2 reviews imaginary-only Gabor filtering, adaptation in handcrafted detectors, and spatially varying filtering. Section 3 describes the six-stage method. Section 4 details the experimental setup. Section 5 reports the results. Section 6 concludes.</w:t>
      </w:r>
    </w:p>
    <w:p>
      <w:pPr>
        <w:sectPr>
          <w:type w:val="continuous"/>
          <w:pgSz w:w="11906" w:h="16838" w:orient="portrait"/>
          <w:pgMar w:top="1077" w:right="1077" w:bottom="1077" w:left="1077" w:header="708" w:footer="708" w:gutter="0"/>
          <w:pgNumType/>
          <w:cols w:space="397" w:num="2" w:equalWidth="true"/>
          <w:docGrid w:linePitch="360"/>
        </w:sectPr>
      </w:pPr>
    </w:p>
    <w:p>
      <w:pPr>
        <w:spacing w:after="120" w:before="240" w:line="240"/>
        <w:ind w:firstLine="0"/>
        <w:jc w:val="center"/>
      </w:pPr>
      <w:r>
        <w:rPr>
          <w:rFonts w:ascii="Times New Roman" w:cs="Times New Roman" w:eastAsia="Times New Roman" w:hAnsi="Times New Roman"/>
          <w:b/>
          <w:bCs/>
          <w:sz w:val="18"/>
          <w:szCs w:val="18"/>
        </w:rPr>
        <w:t xml:space="preserve">Table 1.</w:t>
      </w:r>
      <w:r>
        <w:rPr>
          <w:rFonts w:ascii="Times New Roman" w:cs="Times New Roman" w:eastAsia="Times New Roman" w:hAnsi="Times New Roman"/>
          <w:sz w:val="18"/>
          <w:szCs w:val="18"/>
        </w:rPr>
        <w:t xml:space="preserve"> Adaptation strategies in prior edge detectors and in the proposed method, positioned along four dimensions</w:t>
      </w:r>
    </w:p>
    <w:tbl>
      <w:tblPr>
        <w:tblW w:type="dxa" w:w="9752"/>
        <w:tblBorders>
          <w:top w:val="none" w:color="FFFFFF" w:sz="0"/>
          <w:left w:val="none" w:color="FFFFFF" w:sz="0"/>
          <w:bottom w:val="none" w:color="FFFFFF" w:sz="0"/>
          <w:right w:val="none" w:color="FFFFFF" w:sz="0"/>
          <w:insideH w:val="none" w:color="FFFFFF" w:sz="0"/>
          <w:insideV w:val="none" w:color="FFFFFF" w:sz="0"/>
        </w:tblBorders>
      </w:tblPr>
      <w:tblGrid>
        <w:gridCol w:w="2900"/>
        <w:gridCol w:w="2400"/>
        <w:gridCol w:w="1500"/>
        <w:gridCol w:w="1500"/>
        <w:gridCol w:w="1452"/>
      </w:tblGrid>
      <w:tr>
        <w:trPr>
          <w:tblHeader/>
        </w:trPr>
        <w:tc>
          <w:tcPr>
            <w:tcW w:type="dxa" w:w="29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Method family</w:t>
            </w:r>
          </w:p>
        </w:tc>
        <w:tc>
          <w:tcPr>
            <w:tcW w:type="dxa" w:w="24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What is adapted</w:t>
            </w:r>
          </w:p>
        </w:tc>
        <w:tc>
          <w:tcPr>
            <w:tcW w:type="dxa" w:w="15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Granularity</w:t>
            </w:r>
          </w:p>
        </w:tc>
        <w:tc>
          <w:tcPr>
            <w:tcW w:type="dxa" w:w="15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Training required</w:t>
            </w:r>
          </w:p>
        </w:tc>
        <w:tc>
          <w:tcPr>
            <w:tcW w:type="dxa" w:w="145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Closed form</w:t>
            </w:r>
          </w:p>
        </w:tc>
      </w:tr>
      <w:tr>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Threshold-based [1, 9, 11]</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Binarization threshold</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Image or block</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No</w:t>
            </w:r>
          </w:p>
        </w:tc>
        <w:tc>
          <w:tcPr>
            <w:tcW w:type="dxa" w:w="14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Yes</w:t>
            </w:r>
          </w:p>
        </w:tc>
      </w:tr>
      <w:tr>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Multi-scale selection [2, 10]</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Filter bank selection</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Image or block</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No</w:t>
            </w:r>
          </w:p>
        </w:tc>
        <w:tc>
          <w:tcPr>
            <w:tcW w:type="dxa" w:w="14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Yes</w:t>
            </w:r>
          </w:p>
        </w:tc>
      </w:tr>
      <w:tr>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Fingerprint enhancement [38]</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Gabor frequency and orientation</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Block</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No</w:t>
            </w:r>
          </w:p>
        </w:tc>
        <w:tc>
          <w:tcPr>
            <w:tcW w:type="dxa" w:w="14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Yes</w:t>
            </w:r>
          </w:p>
        </w:tc>
      </w:tr>
      <w:tr>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Gabor convolutional network [15, 16]</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Gabor parameters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Layer</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Yes</w:t>
            </w:r>
          </w:p>
        </w:tc>
        <w:tc>
          <w:tcPr>
            <w:tcW w:type="dxa" w:w="14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No</w:t>
            </w:r>
          </w:p>
        </w:tc>
      </w:tr>
      <w:tr>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Adaptive Gabor network [14]</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Gabor parameters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Channel</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Yes</w:t>
            </w:r>
          </w:p>
        </w:tc>
        <w:tc>
          <w:tcPr>
            <w:tcW w:type="dxa" w:w="14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No</w:t>
            </w:r>
          </w:p>
        </w:tc>
      </w:tr>
      <w:tr>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Learnable Gabor edge layer [12]</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Gabor parameters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Layer</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Yes</w:t>
            </w:r>
          </w:p>
        </w:tc>
        <w:tc>
          <w:tcPr>
            <w:tcW w:type="dxa" w:w="14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No</w:t>
            </w:r>
          </w:p>
        </w:tc>
      </w:tr>
      <w:tr>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Deformable Gabor network [13]</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Sampling locations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Pixel</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Yes</w:t>
            </w:r>
          </w:p>
        </w:tc>
        <w:tc>
          <w:tcPr>
            <w:tcW w:type="dxa" w:w="14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No</w:t>
            </w:r>
          </w:p>
        </w:tc>
      </w:tr>
      <w:tr>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Dynamic filter network [34]</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Whole kernel</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Pixel</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Yes</w:t>
            </w:r>
          </w:p>
        </w:tc>
        <w:tc>
          <w:tcPr>
            <w:tcW w:type="dxa" w:w="14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No</w:t>
            </w:r>
          </w:p>
        </w:tc>
      </w:tr>
      <w:tr>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Pixel-adaptive convolution [35]</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Kernel modulation</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Pixel</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Yes</w:t>
            </w:r>
          </w:p>
        </w:tc>
        <w:tc>
          <w:tcPr>
            <w:tcW w:type="dxa" w:w="14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No</w:t>
            </w:r>
          </w:p>
        </w:tc>
      </w:tr>
      <w:tr>
        <w:tc>
          <w:tcPr>
            <w:tcW w:type="dxa" w:w="29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bCs/>
                <w:sz w:val="18"/>
                <w:szCs w:val="18"/>
              </w:rPr>
              <w:t xml:space="preserve">This work</w:t>
            </w:r>
          </w:p>
        </w:tc>
        <w:tc>
          <w:tcPr>
            <w:tcW w:type="dxa" w:w="24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Gabor frequency and scale</w:t>
            </w:r>
          </w:p>
        </w:tc>
        <w:tc>
          <w:tcPr>
            <w:tcW w:type="dxa" w:w="15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Pixel</w:t>
            </w:r>
          </w:p>
        </w:tc>
        <w:tc>
          <w:tcPr>
            <w:tcW w:type="dxa" w:w="15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No</w:t>
            </w:r>
          </w:p>
        </w:tc>
        <w:tc>
          <w:tcPr>
            <w:tcW w:type="dxa" w:w="1452"/>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Yes</w:t>
            </w:r>
          </w:p>
        </w:tc>
      </w:tr>
    </w:tbl>
    <w:p>
      <w:pPr>
        <w:spacing w:after="200" w:before="0" w:line="240"/>
        <w:ind w:firstLine="0"/>
        <w:jc w:val="both"/>
      </w:pPr>
      <w:r>
        <w:rPr>
          <w:rFonts w:ascii="Times New Roman" w:cs="Times New Roman" w:eastAsia="Times New Roman" w:hAnsi="Times New Roman"/>
          <w:sz w:val="20"/>
          <w:szCs w:val="20"/>
        </w:rPr>
        <w:t xml:space="preserve"/>
      </w:r>
    </w:p>
    <w:p>
      <w:pPr>
        <w:sectPr>
          <w:type w:val="continuous"/>
          <w:pgSz w:w="11906" w:h="16838" w:orient="portrait"/>
          <w:pgMar w:top="1077" w:right="1077" w:bottom="1077" w:left="1077" w:header="708" w:footer="708" w:gutter="0"/>
          <w:pgNumType/>
          <w:cols w:num="1"/>
          <w:docGrid w:linePitch="360"/>
        </w:sectPr>
      </w:pPr>
    </w:p>
    <w:p>
      <w:pPr>
        <w:spacing w:after="200" w:before="400" w:line="240"/>
        <w:ind w:firstLine="0"/>
      </w:pPr>
      <w:r>
        <w:rPr>
          <w:rFonts w:ascii="Times New Roman" w:cs="Times New Roman" w:eastAsia="Times New Roman" w:hAnsi="Times New Roman"/>
          <w:b/>
          <w:bCs/>
          <w:sz w:val="20"/>
          <w:szCs w:val="20"/>
        </w:rPr>
        <w:t xml:space="preserve">2. RELATED WORK</w:t>
      </w:r>
    </w:p>
    <w:p>
      <w:pPr>
        <w:spacing w:after="200" w:before="200" w:line="240"/>
        <w:ind w:firstLine="0"/>
      </w:pPr>
      <w:r>
        <w:rPr>
          <w:rFonts w:ascii="Times New Roman" w:cs="Times New Roman" w:eastAsia="Times New Roman" w:hAnsi="Times New Roman"/>
          <w:b/>
          <w:bCs/>
          <w:sz w:val="20"/>
          <w:szCs w:val="20"/>
        </w:rPr>
        <w:t xml:space="preserve">2.1 Imaginary-only Gabor filtering</w:t>
      </w:r>
    </w:p>
    <w:p>
      <w:pPr>
        <w:spacing w:after="0" w:before="0" w:line="240"/>
        <w:ind w:firstLine="0"/>
        <w:jc w:val="both"/>
      </w:pPr>
      <w:r>
        <w:rPr>
          <w:rFonts w:ascii="Times New Roman" w:cs="Times New Roman" w:eastAsia="Times New Roman" w:hAnsi="Times New Roman"/>
          <w:sz w:val="20"/>
          <w:szCs w:val="20"/>
        </w:rPr>
        <w:t xml:space="preserve">The complex two-dimensional Gabor wavelet [8, 32] is a sinusoid modulated by a Gaussian envelope, following the cortical receptive-field model of Daugman [7]. Under a rotation of the coordinate axes it separates into a real cosine part, which is symmetric, and an imaginary sine part, which is antisymmetric. The antisymmetric part responds maximally to step edges, which makes it the natural choice for edge-based boundary detection. The imaginary-only Gabor wavelet (GWi) retains only that component and applies a bank of N orientations, taking the maximum absolute response, which halves the convolution count of the complex Gabor wavelet (GWC). Jiang et al. [33] reduce cost by a different route, through coefficient simplification of the kernel. Gabor structure is also embedded in learned networks for edge and texture tasks [12, 21], but those rely on training, whereas GWi and the present method use fixed or closed-form parameters. GWi still uses a single global parameter set, which motivates the per-pixel formulation introduced here.</w:t>
      </w:r>
    </w:p>
    <w:p>
      <w:pPr>
        <w:spacing w:after="200" w:before="200" w:line="240"/>
        <w:ind w:firstLine="0"/>
      </w:pPr>
      <w:r>
        <w:rPr>
          <w:rFonts w:ascii="Times New Roman" w:cs="Times New Roman" w:eastAsia="Times New Roman" w:hAnsi="Times New Roman"/>
          <w:b/>
          <w:bCs/>
          <w:sz w:val="20"/>
          <w:szCs w:val="20"/>
        </w:rPr>
        <w:t xml:space="preserve">2.2 Adaptation in handcrafted detectors</w:t>
      </w:r>
    </w:p>
    <w:p>
      <w:pPr>
        <w:spacing w:after="0" w:before="0" w:line="240"/>
        <w:ind w:firstLine="0"/>
        <w:jc w:val="both"/>
      </w:pPr>
      <w:r>
        <w:rPr>
          <w:rFonts w:ascii="Times New Roman" w:cs="Times New Roman" w:eastAsia="Times New Roman" w:hAnsi="Times New Roman"/>
          <w:sz w:val="20"/>
          <w:szCs w:val="20"/>
        </w:rPr>
        <w:t xml:space="preserve">Adaptive methods improve on fixed parameters in stages. Li and Xu [1] adapt the threshold through a modified Otsu procedure while the wavelet and Gaussian filters remain fixed. Kamanga [9] applies variable thresholding over a fixed-parameter Gabor and Gaussian convolution. Bradley and Roth [11] adapt the threshold using the integral image. The multi-scale multi-directional Gabor filter of Li et al. [2] adapts the filter bank by selecting among preset scales, and the anisotropic Gaussian filter of Sun and Sun [10] adapts directional weighting. In all of these, adaptation acts on the threshold, on the filter bank, or on directional weighting, and not on the convolution kernel at each pixel. Hong et al. [38] modulate Gabor frequency and orientation from a local ridge-frequency estimate for fingerprint enhancement, which is the closest handcrafted precedent, although the adaptation is computed per block and the target task differs. Deep detectors reach higher accuracy on natural-scene benchmarks [27, 28, 40] but require training data and a GPU, so they occupy a different regime from the training-free setting studied here.</w:t>
      </w:r>
    </w:p>
    <w:p>
      <w:pPr>
        <w:spacing w:after="200" w:before="200" w:line="240"/>
        <w:ind w:firstLine="0"/>
      </w:pPr>
      <w:r>
        <w:rPr>
          <w:rFonts w:ascii="Times New Roman" w:cs="Times New Roman" w:eastAsia="Times New Roman" w:hAnsi="Times New Roman"/>
          <w:b/>
          <w:bCs/>
          <w:sz w:val="20"/>
          <w:szCs w:val="20"/>
        </w:rPr>
        <w:t xml:space="preserve">2.3 Spatially varying filtering</w:t>
      </w:r>
    </w:p>
    <w:p>
      <w:pPr>
        <w:spacing w:after="0" w:before="0" w:line="240"/>
        <w:ind w:firstLine="0"/>
        <w:jc w:val="both"/>
      </w:pPr>
      <w:r>
        <w:rPr>
          <w:rFonts w:ascii="Times New Roman" w:cs="Times New Roman" w:eastAsia="Times New Roman" w:hAnsi="Times New Roman"/>
          <w:sz w:val="20"/>
          <w:szCs w:val="20"/>
        </w:rPr>
        <w:t xml:space="preserve">Spatially varying convolution applies a different kernel at each spatial location. Dynamic filter networks [34] generate position-specific filters from the input, pixel-adaptive convolution [35] modulates a shared kernel by a per-pixel feature, and deformable convolution [36] adapts the sampling locations. All three are learned inside convolutional networks. The crowd-counting literature uses density maps as explicit spatial priors for adaptive feature extraction [22-24], and the multi-column density map of Zhang et al. [22] uses geometry-adaptive Gaussian kernels based on adjacent head distance, which supports the principle that filter parameters can be conditioned on a local spatial statistic. That principle has not been transferred to handcrafted Gabor edge detectors. The present work realises spatially varying filtering with a closed-form Gabor kernel whose parameters are set by a local gradient activity estimate.</w:t>
      </w:r>
    </w:p>
    <w:p>
      <w:pPr>
        <w:sectPr>
          <w:type w:val="continuous"/>
          <w:pgSz w:w="11906" w:h="16838" w:orient="portrait"/>
          <w:pgMar w:top="1077" w:right="1077" w:bottom="1077" w:left="1077" w:header="708" w:footer="708" w:gutter="0"/>
          <w:pgNumType/>
          <w:cols w:space="397" w:num="2" w:equalWidth="true"/>
          <w:docGrid w:linePitch="360"/>
        </w:sectPr>
      </w:pPr>
    </w:p>
    <w:p>
      <w:pPr>
        <w:spacing w:after="200" w:before="400" w:line="240"/>
        <w:ind w:firstLine="0"/>
      </w:pPr>
      <w:r>
        <w:rPr>
          <w:rFonts w:ascii="Times New Roman" w:cs="Times New Roman" w:eastAsia="Times New Roman" w:hAnsi="Times New Roman"/>
          <w:b/>
          <w:bCs/>
          <w:sz w:val="20"/>
          <w:szCs w:val="20"/>
        </w:rPr>
        <w:t xml:space="preserve">3. METHOD</w:t>
      </w:r>
    </w:p>
    <w:p>
      <w:pPr>
        <w:spacing w:after="0" w:before="0" w:line="240"/>
        <w:ind w:firstLine="0"/>
        <w:jc w:val="both"/>
      </w:pPr>
      <w:r>
        <w:rPr>
          <w:rFonts w:ascii="Times New Roman" w:cs="Times New Roman" w:eastAsia="Times New Roman" w:hAnsi="Times New Roman"/>
          <w:sz w:val="20"/>
          <w:szCs w:val="20"/>
        </w:rPr>
        <w:t xml:space="preserve">A-GWi has six stages, shown in Figure 2. Figure 1 first compares the static complex Gabor wavelet (GWC) and imaginary-only Gabor wavelet (GWi) pipelines that motivate the imaginary-only design. GWC convolves each orientation with both the real cosine kernel and the imaginary sine kernel and combines them by energy, which requires 2N convolutions for N orientations. GWi convolves each orientation with the imaginary kernel only and takes the absolute magnitude, which requires N convolutions. By discarding the symmetric response, which mainly captures ridge-like features, GWi retains the antisymmetric response aligned with step edges at half the filtering cost [33]. The final cross-orientation maximum is identical in both pipelines, so the reduction is concentrated entirely in the per-orientation filtering stage.</w:t>
      </w:r>
    </w:p>
    <w:p>
      <w:pPr>
        <w:sectPr>
          <w:type w:val="continuous"/>
          <w:pgSz w:w="11906" w:h="16838" w:orient="portrait"/>
          <w:pgMar w:top="1077" w:right="1077" w:bottom="1077" w:left="1077" w:header="708" w:footer="708" w:gutter="0"/>
          <w:pgNumType/>
          <w:cols w:space="397" w:num="2" w:equalWidth="true"/>
          <w:docGrid w:linePitch="360"/>
        </w:sectPr>
      </w:pPr>
    </w:p>
    <w:tbl>
      <w:tblPr>
        <w:tblW w:type="auto" w:w="100"/>
        <w:tblBorders>
          <w:top w:val="dashed" w:color="808080" w:sz="6"/>
          <w:left w:val="dashed" w:color="808080" w:sz="6"/>
          <w:bottom w:val="dashed" w:color="808080" w:sz="6"/>
          <w:right w:val="dashed" w:color="808080" w:sz="6"/>
          <w:insideH w:val="none" w:color="FFFFFF" w:sz="0"/>
          <w:insideV w:val="none" w:color="FFFFFF" w:sz="0"/>
        </w:tblBorders>
      </w:tblPr>
      <w:tblGrid>
        <w:gridCol w:w="9752"/>
      </w:tblGrid>
      <w:tr>
        <w:tc>
          <w:tcPr>
            <w:tcW w:type="dxa" w:w="9752"/>
            <w:tcMar>
              <w:top w:type="dxa" w:w="400"/>
              <w:left w:type="dxa" w:w="100"/>
              <w:bottom w:type="dxa" w:w="400"/>
              <w:right w:type="dxa" w:w="100"/>
            </w:tcMar>
          </w:tcPr>
          <w:p>
            <w:pPr>
              <w:ind w:firstLine="0"/>
              <w:jc w:val="center"/>
            </w:pPr>
            <w:r>
              <w:rPr>
                <w:rFonts w:ascii="Times New Roman" w:cs="Times New Roman" w:eastAsia="Times New Roman" w:hAnsi="Times New Roman"/>
                <w:i/>
                <w:iCs/>
                <w:sz w:val="18"/>
                <w:szCs w:val="18"/>
              </w:rPr>
              <w:t xml:space="preserve">[ Figure 1 placeholder: pipeline comparison of the complex Gabor wavelet and the imaginary-only Gabor wavelet ]</w:t>
            </w:r>
          </w:p>
        </w:tc>
      </w:tr>
    </w:tbl>
    <w:p>
      <w:pPr>
        <w:spacing w:after="200" w:before="200" w:line="240"/>
        <w:ind w:firstLine="0"/>
        <w:jc w:val="center"/>
      </w:pPr>
      <w:r>
        <w:rPr>
          <w:rFonts w:ascii="Times New Roman" w:cs="Times New Roman" w:eastAsia="Times New Roman" w:hAnsi="Times New Roman"/>
          <w:b/>
          <w:bCs/>
          <w:sz w:val="18"/>
          <w:szCs w:val="18"/>
        </w:rPr>
        <w:t xml:space="preserve">Figure 1.</w:t>
      </w:r>
      <w:r>
        <w:rPr>
          <w:rFonts w:ascii="Times New Roman" w:cs="Times New Roman" w:eastAsia="Times New Roman" w:hAnsi="Times New Roman"/>
          <w:sz w:val="18"/>
          <w:szCs w:val="18"/>
        </w:rPr>
        <w:t xml:space="preserve"> Pipeline comparison of the complex Gabor wavelet (GWC) and the imaginary-only Gabor wavelet (GWi). GWC uses both real and imaginary kernels per orientation, which requires 2N convolutions; GWi uses the imaginary kernel only, which requires N convolutions</w:t>
      </w:r>
    </w:p>
    <w:p>
      <w:pPr>
        <w:sectPr>
          <w:type w:val="continuous"/>
          <w:pgSz w:w="11906" w:h="16838" w:orient="portrait"/>
          <w:pgMar w:top="1077" w:right="1077" w:bottom="1077" w:left="1077" w:header="708" w:footer="708" w:gutter="0"/>
          <w:pgNumType/>
          <w:cols w:num="1"/>
          <w:docGrid w:linePitch="360"/>
        </w:sectPr>
      </w:pPr>
    </w:p>
    <w:tbl>
      <w:tblPr>
        <w:tblW w:type="auto" w:w="100"/>
        <w:tblBorders>
          <w:top w:val="dashed" w:color="808080" w:sz="6"/>
          <w:left w:val="dashed" w:color="808080" w:sz="6"/>
          <w:bottom w:val="dashed" w:color="808080" w:sz="6"/>
          <w:right w:val="dashed" w:color="808080" w:sz="6"/>
          <w:insideH w:val="none" w:color="FFFFFF" w:sz="0"/>
          <w:insideV w:val="none" w:color="FFFFFF" w:sz="0"/>
        </w:tblBorders>
      </w:tblPr>
      <w:tblGrid>
        <w:gridCol w:w="9752"/>
      </w:tblGrid>
      <w:tr>
        <w:tc>
          <w:tcPr>
            <w:tcW w:type="dxa" w:w="9752"/>
            <w:tcMar>
              <w:top w:type="dxa" w:w="400"/>
              <w:left w:type="dxa" w:w="100"/>
              <w:bottom w:type="dxa" w:w="400"/>
              <w:right w:type="dxa" w:w="100"/>
            </w:tcMar>
          </w:tcPr>
          <w:p>
            <w:pPr>
              <w:ind w:firstLine="0"/>
              <w:jc w:val="center"/>
            </w:pPr>
            <w:r>
              <w:rPr>
                <w:rFonts w:ascii="Times New Roman" w:cs="Times New Roman" w:eastAsia="Times New Roman" w:hAnsi="Times New Roman"/>
                <w:i/>
                <w:iCs/>
                <w:sz w:val="18"/>
                <w:szCs w:val="18"/>
              </w:rPr>
              <w:t xml:space="preserve">[ Figure 2 placeholder: the six-stage A-GWi pipeline ]</w:t>
            </w:r>
          </w:p>
        </w:tc>
      </w:tr>
    </w:tbl>
    <w:p>
      <w:pPr>
        <w:spacing w:after="200" w:before="200" w:line="240"/>
        <w:ind w:firstLine="0"/>
        <w:jc w:val="center"/>
      </w:pPr>
      <w:r>
        <w:rPr>
          <w:rFonts w:ascii="Times New Roman" w:cs="Times New Roman" w:eastAsia="Times New Roman" w:hAnsi="Times New Roman"/>
          <w:b/>
          <w:bCs/>
          <w:sz w:val="18"/>
          <w:szCs w:val="18"/>
        </w:rPr>
        <w:t xml:space="preserve">Figure 2.</w:t>
      </w:r>
      <w:r>
        <w:rPr>
          <w:rFonts w:ascii="Times New Roman" w:cs="Times New Roman" w:eastAsia="Times New Roman" w:hAnsi="Times New Roman"/>
          <w:sz w:val="18"/>
          <w:szCs w:val="18"/>
        </w:rPr>
        <w:t xml:space="preserve"> The six-stage pipeline of the Adaptive Imaginary Gabor Wavelet (A-GWi). Stages 3 to 5 run per pixel, which turns the static filter bank into a spatially varying convolution driven by the local gradient activity estimate. The kernel size is fixed at 7 × 7 in all stages</w:t>
      </w:r>
    </w:p>
    <w:p>
      <w:pPr>
        <w:sectPr>
          <w:type w:val="continuous"/>
          <w:pgSz w:w="11906" w:h="16838" w:orient="portrait"/>
          <w:pgMar w:top="1077" w:right="1077" w:bottom="1077" w:left="1077" w:header="708" w:footer="708" w:gutter="0"/>
          <w:pgNumType/>
          <w:cols w:num="1"/>
          <w:docGrid w:linePitch="360"/>
        </w:sectPr>
      </w:pPr>
    </w:p>
    <w:p>
      <w:pPr>
        <w:spacing w:after="0" w:before="0" w:line="240"/>
        <w:ind w:firstLine="0"/>
        <w:jc w:val="both"/>
      </w:pPr>
      <w:r>
        <w:rPr>
          <w:rFonts w:ascii="Times New Roman" w:cs="Times New Roman" w:eastAsia="Times New Roman" w:hAnsi="Times New Roman"/>
          <w:sz w:val="20"/>
          <w:szCs w:val="20"/>
        </w:rPr>
        <w:t xml:space="preserve">Figure 2 shows the six processing stages: preprocessing; local gradient activity estimation; adaptive parameter computation; per-pixel imaginary kernel construction; spatially varying multi-orientation convolution; and magnitude extraction with cross-orientation maximum pooling. The adaptive parameters are computed before convolution and vary per pixel, which is the mechanism that turns a static filter bank into a spatially varying convolution. The stages are described next with their governing equations.</w:t>
      </w:r>
    </w:p>
    <w:p>
      <w:pPr>
        <w:spacing w:after="200" w:before="200" w:line="240"/>
        <w:ind w:firstLine="0"/>
      </w:pPr>
      <w:r>
        <w:rPr>
          <w:rFonts w:ascii="Times New Roman" w:cs="Times New Roman" w:eastAsia="Times New Roman" w:hAnsi="Times New Roman"/>
          <w:b/>
          <w:bCs/>
          <w:sz w:val="20"/>
          <w:szCs w:val="20"/>
        </w:rPr>
        <w:t xml:space="preserve">3.1 Stage 1: Preprocessing</w:t>
      </w:r>
    </w:p>
    <w:p>
      <w:pPr>
        <w:spacing w:after="0" w:before="0" w:line="240"/>
        <w:ind w:firstLine="0"/>
        <w:jc w:val="both"/>
      </w:pPr>
      <w:r>
        <w:rPr>
          <w:rFonts w:ascii="Times New Roman" w:cs="Times New Roman" w:eastAsia="Times New Roman" w:hAnsi="Times New Roman"/>
          <w:sz w:val="20"/>
          <w:szCs w:val="20"/>
        </w:rPr>
        <w:t xml:space="preserve">The colour input is converted to grayscale with ITU-R BT.601 coefficients, as given in Eq. (1), where R, G, and B denote the red, green, and blue channels.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I</w:t>
            </w:r>
            <w:r>
              <w:rPr>
                <w:rFonts w:ascii="Times New Roman" w:cs="Times New Roman" w:eastAsia="Times New Roman" w:hAnsi="Times New Roman"/>
                <w:sz w:val="20"/>
                <w:szCs w:val="20"/>
                <w:vertAlign w:val="subscript"/>
              </w:rPr>
              <w:t xml:space="preserve">gray</w:t>
            </w:r>
            <w:r>
              <w:rPr>
                <w:rFonts w:ascii="Times New Roman" w:cs="Times New Roman" w:eastAsia="Times New Roman" w:hAnsi="Times New Roman"/>
                <w:sz w:val="20"/>
                <w:szCs w:val="20"/>
              </w:rPr>
              <w:t xml:space="preserve">(u,v) = 0.299 R + 0.587 G + 0.114 B</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(1)</w:t>
            </w:r>
          </w:p>
        </w:tc>
      </w:tr>
    </w:tbl>
    <w:p>
      <w:pPr>
        <w:spacing w:after="0" w:before="0" w:line="240"/>
        <w:ind w:firstLine="0"/>
        <w:jc w:val="both"/>
      </w:pPr>
      <w:r>
        <w:rPr>
          <w:rFonts w:ascii="Times New Roman" w:cs="Times New Roman" w:eastAsia="Times New Roman" w:hAnsi="Times New Roman"/>
          <w:sz w:val="20"/>
          <w:szCs w:val="20"/>
        </w:rPr>
        <w:t xml:space="preserve">The grayscale image is then contrast-enhanced by histogram equalization and divided by 255, as in Eq. (2), which places the intensity values in the floating-point range from 0 to 1 and simplifies the subsequent computation.</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I</w:t>
            </w:r>
            <w:r>
              <w:rPr>
                <w:rFonts w:ascii="Times New Roman" w:cs="Times New Roman" w:eastAsia="Times New Roman" w:hAnsi="Times New Roman"/>
                <w:sz w:val="20"/>
                <w:szCs w:val="20"/>
                <w:vertAlign w:val="subscript"/>
              </w:rPr>
              <w:t xml:space="preserve">norm</w:t>
            </w:r>
            <w:r>
              <w:rPr>
                <w:rFonts w:ascii="Times New Roman" w:cs="Times New Roman" w:eastAsia="Times New Roman" w:hAnsi="Times New Roman"/>
                <w:sz w:val="20"/>
                <w:szCs w:val="20"/>
              </w:rPr>
              <w:t xml:space="preserve">(u,v) = HistEq(</w:t>
            </w:r>
            <w:r>
              <w:rPr>
                <w:rFonts w:ascii="Times New Roman" w:cs="Times New Roman" w:eastAsia="Times New Roman" w:hAnsi="Times New Roman"/>
                <w:i w:val="1"/>
                <w:iCs w:val="1"/>
                <w:sz w:val="20"/>
                <w:szCs w:val="20"/>
              </w:rPr>
              <w:t xml:space="preserve">I</w:t>
            </w:r>
            <w:r>
              <w:rPr>
                <w:rFonts w:ascii="Times New Roman" w:cs="Times New Roman" w:eastAsia="Times New Roman" w:hAnsi="Times New Roman"/>
                <w:sz w:val="20"/>
                <w:szCs w:val="20"/>
                <w:vertAlign w:val="subscript"/>
              </w:rPr>
              <w:t xml:space="preserve">gray</w:t>
            </w:r>
            <w:r>
              <w:rPr>
                <w:rFonts w:ascii="Times New Roman" w:cs="Times New Roman" w:eastAsia="Times New Roman" w:hAnsi="Times New Roman"/>
                <w:sz w:val="20"/>
                <w:szCs w:val="20"/>
              </w:rPr>
              <w:t xml:space="preserve">) / 255</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(2)</w:t>
            </w:r>
          </w:p>
        </w:tc>
      </w:tr>
    </w:tbl>
    <w:p>
      <w:pPr>
        <w:spacing w:after="0" w:before="0" w:line="240"/>
        <w:ind w:firstLine="227"/>
        <w:jc w:val="both"/>
      </w:pPr>
      <w:r>
        <w:rPr>
          <w:rFonts w:ascii="Times New Roman" w:cs="Times New Roman" w:eastAsia="Times New Roman" w:hAnsi="Times New Roman"/>
          <w:sz w:val="20"/>
          <w:szCs w:val="20"/>
        </w:rPr>
        <w:t xml:space="preserve">The same preprocessed image is supplied to every method compared in Section 5, so that the filtering stage is the only difference between conditions.</w:t>
      </w:r>
    </w:p>
    <w:p>
      <w:pPr>
        <w:spacing w:after="200" w:before="200" w:line="240"/>
        <w:ind w:firstLine="0"/>
      </w:pPr>
      <w:r>
        <w:rPr>
          <w:rFonts w:ascii="Times New Roman" w:cs="Times New Roman" w:eastAsia="Times New Roman" w:hAnsi="Times New Roman"/>
          <w:b/>
          <w:bCs/>
          <w:sz w:val="20"/>
          <w:szCs w:val="20"/>
        </w:rPr>
        <w:t xml:space="preserve">3.2 Stage 2: Local gradient activity estimation</w:t>
      </w:r>
    </w:p>
    <w:p>
      <w:pPr>
        <w:spacing w:after="0" w:before="0" w:line="240"/>
        <w:ind w:firstLine="0"/>
        <w:jc w:val="both"/>
      </w:pPr>
      <w:r>
        <w:rPr>
          <w:rFonts w:ascii="Times New Roman" w:cs="Times New Roman" w:eastAsia="Times New Roman" w:hAnsi="Times New Roman"/>
          <w:sz w:val="20"/>
          <w:szCs w:val="20"/>
        </w:rPr>
        <w:t xml:space="preserve">The local gradient activity is estimated from Sobel gradient energy and then smoothed. Eq. (3) computes the spatial derivative along the horizontal axis with a 5 × 5 Sobel aperture, and Eq. (4) computes the derivative along the vertical axis with the same aperture.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G</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 Sobel(</w:t>
            </w:r>
            <w:r>
              <w:rPr>
                <w:rFonts w:ascii="Times New Roman" w:cs="Times New Roman" w:eastAsia="Times New Roman" w:hAnsi="Times New Roman"/>
                <w:i w:val="1"/>
                <w:iCs w:val="1"/>
                <w:sz w:val="20"/>
                <w:szCs w:val="20"/>
              </w:rPr>
              <w:t xml:space="preserve">I</w:t>
            </w:r>
            <w:r>
              <w:rPr>
                <w:rFonts w:ascii="Times New Roman" w:cs="Times New Roman" w:eastAsia="Times New Roman" w:hAnsi="Times New Roman"/>
                <w:sz w:val="20"/>
                <w:szCs w:val="20"/>
                <w:vertAlign w:val="subscript"/>
              </w:rPr>
              <w:t xml:space="preserve">norm</w:t>
            </w:r>
            <w:r>
              <w:rPr>
                <w:rFonts w:ascii="Times New Roman" w:cs="Times New Roman" w:eastAsia="Times New Roman" w:hAnsi="Times New Roman"/>
                <w:sz w:val="20"/>
                <w:szCs w:val="20"/>
              </w:rPr>
              <w:t xml:space="preserve">, dx = 1, ksize = 5)</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(3)</w:t>
            </w:r>
          </w:p>
        </w:tc>
      </w:tr>
    </w:tbl>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G</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 Sobel(</w:t>
            </w:r>
            <w:r>
              <w:rPr>
                <w:rFonts w:ascii="Times New Roman" w:cs="Times New Roman" w:eastAsia="Times New Roman" w:hAnsi="Times New Roman"/>
                <w:i w:val="1"/>
                <w:iCs w:val="1"/>
                <w:sz w:val="20"/>
                <w:szCs w:val="20"/>
              </w:rPr>
              <w:t xml:space="preserve">I</w:t>
            </w:r>
            <w:r>
              <w:rPr>
                <w:rFonts w:ascii="Times New Roman" w:cs="Times New Roman" w:eastAsia="Times New Roman" w:hAnsi="Times New Roman"/>
                <w:sz w:val="20"/>
                <w:szCs w:val="20"/>
                <w:vertAlign w:val="subscript"/>
              </w:rPr>
              <w:t xml:space="preserve">norm</w:t>
            </w:r>
            <w:r>
              <w:rPr>
                <w:rFonts w:ascii="Times New Roman" w:cs="Times New Roman" w:eastAsia="Times New Roman" w:hAnsi="Times New Roman"/>
                <w:sz w:val="20"/>
                <w:szCs w:val="20"/>
              </w:rPr>
              <w:t xml:space="preserve">, dy = 1, ksize = 5)</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(4)</w:t>
            </w:r>
          </w:p>
        </w:tc>
      </w:tr>
    </w:tbl>
    <w:p>
      <w:pPr>
        <w:spacing w:after="0" w:before="0" w:line="240"/>
        <w:ind w:firstLine="0"/>
        <w:jc w:val="both"/>
      </w:pPr>
      <w:r>
        <w:rPr>
          <w:rFonts w:ascii="Times New Roman" w:cs="Times New Roman" w:eastAsia="Times New Roman" w:hAnsi="Times New Roman"/>
          <w:sz w:val="20"/>
          <w:szCs w:val="20"/>
        </w:rPr>
        <w:t xml:space="preserve">Eq. (5) gives the gradient energy at each pixel as the Euclidean norm of the two components, that is, the square root of the sum of their squares. Regions containing many objects or dense texture produce high energy values.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E</w:t>
            </w:r>
            <w:r>
              <w:rPr>
                <w:rFonts w:ascii="Times New Roman" w:cs="Times New Roman" w:eastAsia="Times New Roman" w:hAnsi="Times New Roman"/>
                <w:sz w:val="20"/>
                <w:szCs w:val="20"/>
                <w:vertAlign w:val="subscript"/>
              </w:rPr>
              <w:t xml:space="preserve">grad</w:t>
            </w:r>
            <w:r>
              <w:rPr>
                <w:rFonts w:ascii="Times New Roman" w:cs="Times New Roman" w:eastAsia="Times New Roman" w:hAnsi="Times New Roman"/>
                <w:sz w:val="20"/>
                <w:szCs w:val="20"/>
              </w:rPr>
              <w:t xml:space="preserve">(u,v) = √( </w:t>
            </w:r>
            <w:r>
              <w:rPr>
                <w:rFonts w:ascii="Times New Roman" w:cs="Times New Roman" w:eastAsia="Times New Roman" w:hAnsi="Times New Roman"/>
                <w:i w:val="1"/>
                <w:iCs w:val="1"/>
                <w:sz w:val="20"/>
                <w:szCs w:val="20"/>
              </w:rPr>
              <w:t xml:space="preserve">G</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G</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(5)</w:t>
            </w:r>
          </w:p>
        </w:tc>
      </w:tr>
    </w:tbl>
    <w:p>
      <w:pPr>
        <w:spacing w:after="0" w:before="0" w:line="240"/>
        <w:ind w:firstLine="0"/>
        <w:jc w:val="both"/>
      </w:pPr>
      <w:r>
        <w:rPr>
          <w:rFonts w:ascii="Times New Roman" w:cs="Times New Roman" w:eastAsia="Times New Roman" w:hAnsi="Times New Roman"/>
          <w:sz w:val="20"/>
          <w:szCs w:val="20"/>
        </w:rPr>
        <w:t xml:space="preserve">Eq. (6) gives the final estimate. The energy map is normalised by a minimum-maximum rescaling and then smoothed by a 5 × 5 Gaussian filter, so that the estimate is smooth and free of isolated gradient spikes.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ρ</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(u,v) = GaussianBlur( minmax(</w:t>
            </w:r>
            <w:r>
              <w:rPr>
                <w:rFonts w:ascii="Times New Roman" w:cs="Times New Roman" w:eastAsia="Times New Roman" w:hAnsi="Times New Roman"/>
                <w:i w:val="1"/>
                <w:iCs w:val="1"/>
                <w:sz w:val="20"/>
                <w:szCs w:val="20"/>
              </w:rPr>
              <w:t xml:space="preserve">E</w:t>
            </w:r>
            <w:r>
              <w:rPr>
                <w:rFonts w:ascii="Times New Roman" w:cs="Times New Roman" w:eastAsia="Times New Roman" w:hAnsi="Times New Roman"/>
                <w:sz w:val="20"/>
                <w:szCs w:val="20"/>
                <w:vertAlign w:val="subscript"/>
              </w:rPr>
              <w:t xml:space="preserve">grad</w:t>
            </w:r>
            <w:r>
              <w:rPr>
                <w:rFonts w:ascii="Times New Roman" w:cs="Times New Roman" w:eastAsia="Times New Roman" w:hAnsi="Times New Roman"/>
                <w:sz w:val="20"/>
                <w:szCs w:val="20"/>
              </w:rPr>
              <w:t xml:space="preserve">), 5 × 5 )</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(6)</w:t>
            </w:r>
          </w:p>
        </w:tc>
      </w:tr>
    </w:tbl>
    <w:p>
      <w:pPr>
        <w:spacing w:after="0" w:before="0" w:line="240"/>
        <w:ind w:firstLine="227"/>
        <w:jc w:val="both"/>
      </w:pPr>
      <w:r>
        <w:rPr>
          <w:rFonts w:ascii="Times New Roman" w:cs="Times New Roman" w:eastAsia="Times New Roman" w:hAnsi="Times New Roman"/>
          <w:sz w:val="20"/>
          <w:szCs w:val="20"/>
        </w:rPr>
        <w:t xml:space="preserve">High-activity regions map to a high value and homogeneous regions to a low value. Section 5.2 reports how closely the estimate tracks the ground-truth boundary density, and how closely it tracks local intensity contrast.</w:t>
      </w:r>
    </w:p>
    <w:p>
      <w:pPr>
        <w:spacing w:after="200" w:before="200" w:line="240"/>
        <w:ind w:firstLine="0"/>
      </w:pPr>
      <w:r>
        <w:rPr>
          <w:rFonts w:ascii="Times New Roman" w:cs="Times New Roman" w:eastAsia="Times New Roman" w:hAnsi="Times New Roman"/>
          <w:b/>
          <w:bCs/>
          <w:sz w:val="20"/>
          <w:szCs w:val="20"/>
        </w:rPr>
        <w:t xml:space="preserve">3.3 Stage 3: Adaptive kernel parameter computation</w:t>
      </w:r>
    </w:p>
    <w:p>
      <w:pPr>
        <w:spacing w:after="200" w:before="200" w:line="240"/>
        <w:ind w:firstLine="0"/>
      </w:pPr>
      <w:r>
        <w:rPr>
          <w:rFonts w:ascii="Times New Roman" w:cs="Times New Roman" w:eastAsia="Times New Roman" w:hAnsi="Times New Roman"/>
          <w:sz w:val="20"/>
          <w:szCs w:val="20"/>
        </w:rPr>
        <w:t xml:space="preserve">3.3.1 Adaptive frequency</w:t>
      </w:r>
    </w:p>
    <w:p>
      <w:pPr>
        <w:spacing w:after="0" w:before="0" w:line="240"/>
        <w:ind w:firstLine="0"/>
        <w:jc w:val="both"/>
      </w:pPr>
      <w:r>
        <w:rPr>
          <w:rFonts w:ascii="Times New Roman" w:cs="Times New Roman" w:eastAsia="Times New Roman" w:hAnsi="Times New Roman"/>
          <w:sz w:val="20"/>
          <w:szCs w:val="20"/>
        </w:rPr>
        <w:t xml:space="preserve">Eq. (7) maps the activity estimate to a centre frequency through a sigmoid function, which provides a smooth and bounded transition between the two frequency bounds.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f</w:t>
            </w:r>
            <w:r>
              <w:rPr>
                <w:rFonts w:ascii="Times New Roman" w:cs="Times New Roman" w:eastAsia="Times New Roman" w:hAnsi="Times New Roman"/>
                <w:sz w:val="20"/>
                <w:szCs w:val="20"/>
                <w:vertAlign w:val="subscript"/>
              </w:rPr>
              <w:t xml:space="preserve">0,adapt</w:t>
            </w:r>
            <w:r>
              <w:rPr>
                <w:rFonts w:ascii="Times New Roman" w:cs="Times New Roman" w:eastAsia="Times New Roman" w:hAnsi="Times New Roman"/>
                <w:sz w:val="20"/>
                <w:szCs w:val="20"/>
              </w:rPr>
              <w:t xml:space="preserve">(u,v) = </w:t>
            </w:r>
            <w:r>
              <w:rPr>
                <w:rFonts w:ascii="Times New Roman" w:cs="Times New Roman" w:eastAsia="Times New Roman" w:hAnsi="Times New Roman"/>
                <w:i w:val="1"/>
                <w:iCs w:val="1"/>
                <w:sz w:val="20"/>
                <w:szCs w:val="20"/>
              </w:rPr>
              <w:t xml:space="preserve">f</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f</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f</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S(</w:t>
            </w:r>
            <w:r>
              <w:rPr>
                <w:rFonts w:ascii="Times New Roman" w:cs="Times New Roman" w:eastAsia="Times New Roman" w:hAnsi="Times New Roman"/>
                <w:i w:val="1"/>
                <w:iCs w:val="1"/>
                <w:sz w:val="20"/>
                <w:szCs w:val="20"/>
              </w:rPr>
              <w:t xml:space="preserve">k</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val="1"/>
                <w:iCs w:val="1"/>
                <w:sz w:val="20"/>
                <w:szCs w:val="20"/>
              </w:rPr>
              <w:t xml:space="preserve">ρ</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(u,v) − </w:t>
            </w:r>
            <w:r>
              <w:rPr>
                <w:rFonts w:ascii="Times New Roman" w:cs="Times New Roman" w:eastAsia="Times New Roman" w:hAnsi="Times New Roman"/>
                <w:i w:val="1"/>
                <w:iCs w:val="1"/>
                <w:sz w:val="20"/>
                <w:szCs w:val="20"/>
              </w:rPr>
              <w:t xml:space="preserve">ρ</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(7)</w:t>
            </w:r>
          </w:p>
        </w:tc>
      </w:tr>
    </w:tbl>
    <w:p>
      <w:pPr>
        <w:spacing w:after="0" w:before="0" w:line="240"/>
        <w:ind w:firstLine="0"/>
        <w:jc w:val="both"/>
      </w:pPr>
      <w:r>
        <w:rPr>
          <w:rFonts w:ascii="Times New Roman" w:cs="Times New Roman" w:eastAsia="Times New Roman" w:hAnsi="Times New Roman"/>
          <w:sz w:val="20"/>
          <w:szCs w:val="20"/>
        </w:rPr>
        <w:t xml:space="preserve">Here S(z) = 1 / (1 + exp(−z)) is the logistic function, the steepness is ks = 25, and the transition is centred at ρc = 0.5. The bounds are fmin = 0.05 and fmax = 0.45 cycles per pixel. Under this mapping, high-activity regions acquire high frequencies to separate the edges of adjacent objects, and low-activity regions acquire low frequencies to capture large-scale contours. Because the median activity on the Berkeley Segmentation Dataset 500 (BSDS500) is 0.091, the sigmoid argument at the median is 25 × (0.091 − 0.5) = −10.2, so most pixels in practice receive a frequency close to fmin. Section 5.3 quantifies this and reports its consequence for accuracy.</w:t>
      </w:r>
    </w:p>
    <w:p>
      <w:pPr>
        <w:spacing w:after="200" w:before="200" w:line="240"/>
        <w:ind w:firstLine="0"/>
      </w:pPr>
      <w:r>
        <w:rPr>
          <w:rFonts w:ascii="Times New Roman" w:cs="Times New Roman" w:eastAsia="Times New Roman" w:hAnsi="Times New Roman"/>
          <w:sz w:val="20"/>
          <w:szCs w:val="20"/>
        </w:rPr>
        <w:t xml:space="preserve">3.3.2 Adaptive scale</w:t>
      </w:r>
    </w:p>
    <w:p>
      <w:pPr>
        <w:spacing w:after="0" w:before="0" w:line="240"/>
        <w:ind w:firstLine="0"/>
        <w:jc w:val="both"/>
      </w:pPr>
      <w:r>
        <w:rPr>
          <w:rFonts w:ascii="Times New Roman" w:cs="Times New Roman" w:eastAsia="Times New Roman" w:hAnsi="Times New Roman"/>
          <w:sz w:val="20"/>
          <w:szCs w:val="20"/>
        </w:rPr>
        <w:t xml:space="preserve">Eq. (8) couples the Gaussian scale to the adaptive frequency through an inverse relation, so that a high frequency gives a narrow envelope with sharp spatial localisation and a low frequency gives a wide envelope with broad coverage.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σ</w:t>
            </w:r>
            <w:r>
              <w:rPr>
                <w:rFonts w:ascii="Times New Roman" w:cs="Times New Roman" w:eastAsia="Times New Roman" w:hAnsi="Times New Roman"/>
                <w:sz w:val="20"/>
                <w:szCs w:val="20"/>
                <w:vertAlign w:val="subscript"/>
              </w:rPr>
              <w:t xml:space="preserve">adapt</w:t>
            </w:r>
            <w:r>
              <w:rPr>
                <w:rFonts w:ascii="Times New Roman" w:cs="Times New Roman" w:eastAsia="Times New Roman" w:hAnsi="Times New Roman"/>
                <w:sz w:val="20"/>
                <w:szCs w:val="20"/>
              </w:rPr>
              <w:t xml:space="preserve">(u,v) = </w:t>
            </w:r>
            <w:r>
              <w:rPr>
                <w:rFonts w:ascii="Times New Roman" w:cs="Times New Roman" w:eastAsia="Times New Roman" w:hAnsi="Times New Roman"/>
                <w:i w:val="1"/>
                <w:iCs w:val="1"/>
                <w:sz w:val="20"/>
                <w:szCs w:val="20"/>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f</w:t>
            </w:r>
            <w:r>
              <w:rPr>
                <w:rFonts w:ascii="Times New Roman" w:cs="Times New Roman" w:eastAsia="Times New Roman" w:hAnsi="Times New Roman"/>
                <w:sz w:val="20"/>
                <w:szCs w:val="20"/>
                <w:vertAlign w:val="subscript"/>
              </w:rPr>
              <w:t xml:space="preserve">0,adapt</w:t>
            </w:r>
            <w:r>
              <w:rPr>
                <w:rFonts w:ascii="Times New Roman" w:cs="Times New Roman" w:eastAsia="Times New Roman" w:hAnsi="Times New Roman"/>
                <w:sz w:val="20"/>
                <w:szCs w:val="20"/>
              </w:rPr>
              <w:t xml:space="preserve">(u,v),    </w:t>
            </w:r>
            <w:r>
              <w:rPr>
                <w:rFonts w:ascii="Times New Roman" w:cs="Times New Roman" w:eastAsia="Times New Roman" w:hAnsi="Times New Roman"/>
                <w:i w:val="1"/>
                <w:iCs w:val="1"/>
                <w:sz w:val="20"/>
                <w:szCs w:val="20"/>
              </w:rPr>
              <w:t xml:space="preserve">c</w:t>
            </w:r>
            <w:r>
              <w:rPr>
                <w:rFonts w:ascii="Times New Roman" w:cs="Times New Roman" w:eastAsia="Times New Roman" w:hAnsi="Times New Roman"/>
                <w:sz w:val="20"/>
                <w:szCs w:val="20"/>
              </w:rPr>
              <w:t xml:space="preserve"> = √(ln 2 / 2) / π</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(8)</w:t>
            </w:r>
          </w:p>
        </w:tc>
      </w:tr>
    </w:tbl>
    <w:p>
      <w:pPr>
        <w:spacing w:after="0" w:before="0" w:line="240"/>
        <w:ind w:firstLine="0"/>
        <w:jc w:val="both"/>
      </w:pPr>
      <w:r>
        <w:rPr>
          <w:rFonts w:ascii="Times New Roman" w:cs="Times New Roman" w:eastAsia="Times New Roman" w:hAnsi="Times New Roman"/>
          <w:sz w:val="20"/>
          <w:szCs w:val="20"/>
        </w:rPr>
        <w:t xml:space="preserve">The constant evaluates to c = 0.1874. This is proportional to, but not identical with, the standard Gabor bandwidth relation, which carries an additional factor (2b + 1) / (2b − 1) equal to 3 at a bandwidth of one octave. The kernel is also evaluated in a fixed 7 × 7 window, so the Gaussian envelope is truncated, and the fraction of envelope mass retained falls from 88% at fmax to 11% at fmin. The coupling is therefore used as a scale-frequency relation rather than as a constant-bandwidth constraint, and the number of sinusoidal cycles inside the window is not preserved across the range: at fmin the window spans 0.35 cycles, and at fmax it spans 3.15 cycles.</w:t>
      </w:r>
    </w:p>
    <w:p>
      <w:pPr>
        <w:spacing w:after="0" w:before="0" w:line="240"/>
        <w:ind w:firstLine="0"/>
        <w:jc w:val="both"/>
      </w:pPr>
      <w:r>
        <w:rPr>
          <w:rFonts w:ascii="Times New Roman" w:cs="Times New Roman" w:eastAsia="Times New Roman" w:hAnsi="Times New Roman"/>
          <w:sz w:val="20"/>
          <w:szCs w:val="20"/>
        </w:rPr>
        <w:t xml:space="preserve">Eq. (9) sets the two envelope widths. The width along the second axis is scaled by the aspect ratio γ = 0.5, which elongates the envelope and sharpens orientation selectivity.</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σ</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σ</w:t>
            </w:r>
            <w:r>
              <w:rPr>
                <w:rFonts w:ascii="Times New Roman" w:cs="Times New Roman" w:eastAsia="Times New Roman" w:hAnsi="Times New Roman"/>
                <w:sz w:val="20"/>
                <w:szCs w:val="20"/>
                <w:vertAlign w:val="subscript"/>
              </w:rPr>
              <w:t xml:space="preserve">adapt</w:t>
            </w:r>
            <w:r>
              <w:rPr>
                <w:rFonts w:ascii="Times New Roman" w:cs="Times New Roman" w:eastAsia="Times New Roman" w:hAnsi="Times New Roman"/>
                <w:sz w:val="20"/>
                <w:szCs w:val="20"/>
              </w:rPr>
              <w:t xml:space="preserve">,    </w:t>
            </w:r>
            <w:r>
              <w:rPr>
                <w:rFonts w:ascii="Times New Roman" w:cs="Times New Roman" w:eastAsia="Times New Roman" w:hAnsi="Times New Roman"/>
                <w:i w:val="1"/>
                <w:iCs w:val="1"/>
                <w:sz w:val="20"/>
                <w:szCs w:val="20"/>
              </w:rPr>
              <w:t xml:space="preserve">σ</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σ</w:t>
            </w:r>
            <w:r>
              <w:rPr>
                <w:rFonts w:ascii="Times New Roman" w:cs="Times New Roman" w:eastAsia="Times New Roman" w:hAnsi="Times New Roman"/>
                <w:sz w:val="20"/>
                <w:szCs w:val="20"/>
                <w:vertAlign w:val="subscript"/>
              </w:rPr>
              <w:t xml:space="preserve">adapt</w:t>
            </w:r>
            <w:r>
              <w:rPr>
                <w:rFonts w:ascii="Times New Roman" w:cs="Times New Roman" w:eastAsia="Times New Roman" w:hAnsi="Times New Roman"/>
                <w:sz w:val="20"/>
                <w:szCs w:val="20"/>
              </w:rPr>
              <w:t xml:space="preserve"> / γ</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(9)</w:t>
            </w:r>
          </w:p>
        </w:tc>
      </w:tr>
    </w:tbl>
    <w:p>
      <w:pPr>
        <w:spacing w:after="200" w:before="200" w:line="240"/>
        <w:ind w:firstLine="0"/>
      </w:pPr>
      <w:r>
        <w:rPr>
          <w:rFonts w:ascii="Times New Roman" w:cs="Times New Roman" w:eastAsia="Times New Roman" w:hAnsi="Times New Roman"/>
          <w:b/>
          <w:bCs/>
          <w:sz w:val="20"/>
          <w:szCs w:val="20"/>
        </w:rPr>
        <w:t xml:space="preserve">3.4 Stage 4: Imaginary-only kernel construction</w:t>
      </w:r>
    </w:p>
    <w:p>
      <w:pPr>
        <w:spacing w:after="0" w:before="0" w:line="240"/>
        <w:ind w:firstLine="0"/>
        <w:jc w:val="both"/>
      </w:pPr>
      <w:r>
        <w:rPr>
          <w:rFonts w:ascii="Times New Roman" w:cs="Times New Roman" w:eastAsia="Times New Roman" w:hAnsi="Times New Roman"/>
          <w:sz w:val="20"/>
          <w:szCs w:val="20"/>
        </w:rPr>
        <w:t xml:space="preserve">Eq. (10) constructs the imaginary-only Gabor kernel at each pixel for each orientation. The kernel is a Gaussian envelope multiplied by a sine carrier, which is the imaginary part of the complex Gabor kernel. The indices m and n run from −3 to 3 over the fixed 7 × 7 window, and the rotated indices are m′ = m cos θo + n sin θo and n′ = −m sin θo + n cos θo. Removing the cosine component halves the number of convolutions without discarding edge information. The parameters are those computed in Stage 3, which makes the kernel unique at every location.</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ψ</w:t>
            </w:r>
            <w:r>
              <w:rPr>
                <w:rFonts w:ascii="Times New Roman" w:cs="Times New Roman" w:eastAsia="Times New Roman" w:hAnsi="Times New Roman"/>
                <w:sz w:val="20"/>
                <w:szCs w:val="20"/>
                <w:vertAlign w:val="subscript"/>
              </w:rPr>
              <w:t xml:space="preserve">imag</w:t>
            </w:r>
            <w:r>
              <w:rPr>
                <w:rFonts w:ascii="Times New Roman" w:cs="Times New Roman" w:eastAsia="Times New Roman" w:hAnsi="Times New Roman"/>
                <w:sz w:val="20"/>
                <w:szCs w:val="20"/>
              </w:rPr>
              <w:t xml:space="preserve">(m,n) = exp[ −0.5 ( </w:t>
            </w:r>
            <w:r>
              <w:rPr>
                <w:rFonts w:ascii="Times New Roman" w:cs="Times New Roman" w:eastAsia="Times New Roman" w:hAnsi="Times New Roman"/>
                <w:i w:val="1"/>
                <w:iCs w:val="1"/>
                <w:sz w:val="20"/>
                <w:szCs w:val="20"/>
              </w:rPr>
              <w:t xml:space="preserve">m′</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σ</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n′</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σ</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 sin( 2π </w:t>
            </w:r>
            <w:r>
              <w:rPr>
                <w:rFonts w:ascii="Times New Roman" w:cs="Times New Roman" w:eastAsia="Times New Roman" w:hAnsi="Times New Roman"/>
                <w:i w:val="1"/>
                <w:iCs w:val="1"/>
                <w:sz w:val="20"/>
                <w:szCs w:val="20"/>
              </w:rPr>
              <w:t xml:space="preserve">f</w:t>
            </w:r>
            <w:r>
              <w:rPr>
                <w:rFonts w:ascii="Times New Roman" w:cs="Times New Roman" w:eastAsia="Times New Roman" w:hAnsi="Times New Roman"/>
                <w:sz w:val="20"/>
                <w:szCs w:val="20"/>
                <w:vertAlign w:val="subscript"/>
              </w:rPr>
              <w:t xml:space="preserve">0,adapt</w:t>
            </w:r>
            <w:r>
              <w:rPr>
                <w:rFonts w:ascii="Times New Roman" w:cs="Times New Roman" w:eastAsia="Times New Roman" w:hAnsi="Times New Roman"/>
                <w:sz w:val="20"/>
                <w:szCs w:val="20"/>
              </w:rPr>
              <w:t xml:space="preserve"> </w:t>
            </w:r>
            <w:r>
              <w:rPr>
                <w:rFonts w:ascii="Times New Roman" w:cs="Times New Roman" w:eastAsia="Times New Roman" w:hAnsi="Times New Roman"/>
                <w:i w:val="1"/>
                <w:iCs w:val="1"/>
                <w:sz w:val="20"/>
                <w:szCs w:val="20"/>
              </w:rPr>
              <w:t xml:space="preserve">m′</w:t>
            </w:r>
            <w:r>
              <w:rPr>
                <w:rFonts w:ascii="Times New Roman" w:cs="Times New Roman" w:eastAsia="Times New Roman" w:hAnsi="Times New Roman"/>
                <w:sz w:val="20"/>
                <w:szCs w:val="20"/>
              </w:rPr>
              <w:t xml:space="preserve"> )</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(10)</w:t>
            </w:r>
          </w:p>
        </w:tc>
      </w:tr>
    </w:tbl>
    <w:p>
      <w:pPr>
        <w:spacing w:after="200" w:before="200" w:line="240"/>
        <w:ind w:firstLine="0"/>
      </w:pPr>
      <w:r>
        <w:rPr>
          <w:rFonts w:ascii="Times New Roman" w:cs="Times New Roman" w:eastAsia="Times New Roman" w:hAnsi="Times New Roman"/>
          <w:b/>
          <w:bCs/>
          <w:sz w:val="20"/>
          <w:szCs w:val="20"/>
        </w:rPr>
        <w:t xml:space="preserve">3.5 Stage 5: Spatially varying multi-orientation convolution</w:t>
      </w:r>
    </w:p>
    <w:p>
      <w:pPr>
        <w:spacing w:after="0" w:before="0" w:line="240"/>
        <w:ind w:firstLine="0"/>
        <w:jc w:val="both"/>
      </w:pPr>
      <w:r>
        <w:rPr>
          <w:rFonts w:ascii="Times New Roman" w:cs="Times New Roman" w:eastAsia="Times New Roman" w:hAnsi="Times New Roman"/>
          <w:sz w:val="20"/>
          <w:szCs w:val="20"/>
        </w:rPr>
        <w:t xml:space="preserve">Eq. (11) computes the response at orientation θo. Because the kernel parameters vary with position, the operation is a spatially varying convolution. The expression is written as a correlation; for the antisymmetric kernel used here the convolution differs only in sign, so the two are equivalent after the absolute value taken in Eq. (12). Pixels outside the image are supplied by reflection padding, which is applied identically to every method compared in Section 5.</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R</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(u,v) = ∑</w:t>
            </w:r>
            <w:r>
              <w:rPr>
                <w:rFonts w:ascii="Times New Roman" w:cs="Times New Roman" w:eastAsia="Times New Roman" w:hAnsi="Times New Roman"/>
                <w:sz w:val="20"/>
                <w:szCs w:val="20"/>
                <w:vertAlign w:val="subscript"/>
              </w:rPr>
              <w:t xml:space="preserve">m</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w:t>
            </w:r>
            <w:r>
              <w:rPr>
                <w:rFonts w:ascii="Times New Roman" w:cs="Times New Roman" w:eastAsia="Times New Roman" w:hAnsi="Times New Roman"/>
                <w:i w:val="1"/>
                <w:iCs w:val="1"/>
                <w:sz w:val="20"/>
                <w:szCs w:val="20"/>
              </w:rPr>
              <w:t xml:space="preserve">I</w:t>
            </w:r>
            <w:r>
              <w:rPr>
                <w:rFonts w:ascii="Times New Roman" w:cs="Times New Roman" w:eastAsia="Times New Roman" w:hAnsi="Times New Roman"/>
                <w:sz w:val="20"/>
                <w:szCs w:val="20"/>
                <w:vertAlign w:val="subscript"/>
              </w:rPr>
              <w:t xml:space="preserve">norm</w:t>
            </w:r>
            <w:r>
              <w:rPr>
                <w:rFonts w:ascii="Times New Roman" w:cs="Times New Roman" w:eastAsia="Times New Roman" w:hAnsi="Times New Roman"/>
                <w:sz w:val="20"/>
                <w:szCs w:val="20"/>
              </w:rPr>
              <w:t xml:space="preserve">(u+m, v+n) </w:t>
            </w:r>
            <w:r>
              <w:rPr>
                <w:rFonts w:ascii="Times New Roman" w:cs="Times New Roman" w:eastAsia="Times New Roman" w:hAnsi="Times New Roman"/>
                <w:i w:val="1"/>
                <w:iCs w:val="1"/>
                <w:sz w:val="20"/>
                <w:szCs w:val="20"/>
              </w:rPr>
              <w:t xml:space="preserve">ψ</w:t>
            </w:r>
            <w:r>
              <w:rPr>
                <w:rFonts w:ascii="Times New Roman" w:cs="Times New Roman" w:eastAsia="Times New Roman" w:hAnsi="Times New Roman"/>
                <w:sz w:val="20"/>
                <w:szCs w:val="20"/>
                <w:vertAlign w:val="subscript"/>
              </w:rPr>
              <w:t xml:space="preserve">imag</w:t>
            </w:r>
            <w:r>
              <w:rPr>
                <w:rFonts w:ascii="Times New Roman" w:cs="Times New Roman" w:eastAsia="Times New Roman" w:hAnsi="Times New Roman"/>
                <w:sz w:val="20"/>
                <w:szCs w:val="20"/>
              </w:rPr>
              <w:t xml:space="preserve">(m,n)</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(11)</w:t>
            </w:r>
          </w:p>
        </w:tc>
      </w:tr>
    </w:tbl>
    <w:p>
      <w:pPr>
        <w:spacing w:after="0" w:before="0" w:line="240"/>
        <w:ind w:firstLine="0"/>
        <w:jc w:val="both"/>
      </w:pPr>
      <w:r>
        <w:rPr>
          <w:rFonts w:ascii="Times New Roman" w:cs="Times New Roman" w:eastAsia="Times New Roman" w:hAnsi="Times New Roman"/>
          <w:sz w:val="20"/>
          <w:szCs w:val="20"/>
        </w:rPr>
        <w:t xml:space="preserve">The kernel is not normalised, so its L2 norm varies with the centre frequency across the adaptive range, from 3.010 at fmin to 0.030 at fmax. This is reported here because it means that the response magnitude carries an amplitude scaling that is correlated with the activity estimate.</w:t>
      </w:r>
    </w:p>
    <w:p>
      <w:pPr>
        <w:spacing w:after="200" w:before="200" w:line="240"/>
        <w:ind w:firstLine="0"/>
      </w:pPr>
      <w:r>
        <w:rPr>
          <w:rFonts w:ascii="Times New Roman" w:cs="Times New Roman" w:eastAsia="Times New Roman" w:hAnsi="Times New Roman"/>
          <w:b/>
          <w:bCs/>
          <w:sz w:val="20"/>
          <w:szCs w:val="20"/>
        </w:rPr>
        <w:t xml:space="preserve">3.6 Stage 6: Magnitude extraction and maximum pooling</w:t>
      </w:r>
    </w:p>
    <w:p>
      <w:pPr>
        <w:spacing w:after="0" w:before="0" w:line="240"/>
        <w:ind w:firstLine="0"/>
        <w:jc w:val="both"/>
      </w:pPr>
      <w:r>
        <w:rPr>
          <w:rFonts w:ascii="Times New Roman" w:cs="Times New Roman" w:eastAsia="Times New Roman" w:hAnsi="Times New Roman"/>
          <w:sz w:val="20"/>
          <w:szCs w:val="20"/>
        </w:rPr>
        <w:t xml:space="preserve">Eq. (12) takes the absolute value of each orientation response, and Eq. (13) selects the dominant orientation at each pixel.</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M</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(u,v) = | </w:t>
            </w:r>
            <w:r>
              <w:rPr>
                <w:rFonts w:ascii="Times New Roman" w:cs="Times New Roman" w:eastAsia="Times New Roman" w:hAnsi="Times New Roman"/>
                <w:i w:val="1"/>
                <w:iCs w:val="1"/>
                <w:sz w:val="20"/>
                <w:szCs w:val="20"/>
              </w:rPr>
              <w:t xml:space="preserve">R</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(u,v) |</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(12)</w:t>
            </w:r>
          </w:p>
        </w:tc>
      </w:tr>
    </w:tbl>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E</w:t>
            </w:r>
            <w:r>
              <w:rPr>
                <w:rFonts w:ascii="Times New Roman" w:cs="Times New Roman" w:eastAsia="Times New Roman" w:hAnsi="Times New Roman"/>
                <w:sz w:val="20"/>
                <w:szCs w:val="20"/>
                <w:vertAlign w:val="subscript"/>
              </w:rPr>
              <w:t xml:space="preserve">AGWi</w:t>
            </w:r>
            <w:r>
              <w:rPr>
                <w:rFonts w:ascii="Times New Roman" w:cs="Times New Roman" w:eastAsia="Times New Roman" w:hAnsi="Times New Roman"/>
                <w:sz w:val="20"/>
                <w:szCs w:val="20"/>
              </w:rPr>
              <w:t xml:space="preserve">(u,v) = max</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w:t>
            </w:r>
            <w:r>
              <w:rPr>
                <w:rFonts w:ascii="Times New Roman" w:cs="Times New Roman" w:eastAsia="Times New Roman" w:hAnsi="Times New Roman"/>
                <w:i w:val="1"/>
                <w:iCs w:val="1"/>
                <w:sz w:val="20"/>
                <w:szCs w:val="20"/>
              </w:rPr>
              <w:t xml:space="preserve">M</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(u,v)</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(13)</w:t>
            </w:r>
          </w:p>
        </w:tc>
      </w:tr>
    </w:tbl>
    <w:p>
      <w:pPr>
        <w:spacing w:after="0" w:before="0" w:line="240"/>
        <w:ind w:firstLine="0"/>
        <w:jc w:val="both"/>
      </w:pPr>
      <w:r>
        <w:rPr>
          <w:rFonts w:ascii="Times New Roman" w:cs="Times New Roman" w:eastAsia="Times New Roman" w:hAnsi="Times New Roman"/>
          <w:sz w:val="20"/>
          <w:szCs w:val="20"/>
        </w:rPr>
        <w:t xml:space="preserve">Eq. (14) rescales the output to the range from 0 to 1 by a minimum-maximum mapping computed per image. This step is stated explicitly because it determines what a single dataset-wide threshold means in the evaluation protocol of Section 4.2.</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E</w:t>
            </w:r>
            <w:r>
              <w:rPr>
                <w:rFonts w:ascii="Times New Roman" w:cs="Times New Roman" w:eastAsia="Times New Roman" w:hAnsi="Times New Roman"/>
                <w:sz w:val="20"/>
                <w:szCs w:val="20"/>
                <w:vertAlign w:val="subscript"/>
              </w:rPr>
              <w:t xml:space="preserve">norm</w:t>
            </w:r>
            <w:r>
              <w:rPr>
                <w:rFonts w:ascii="Times New Roman" w:cs="Times New Roman" w:eastAsia="Times New Roman" w:hAnsi="Times New Roman"/>
                <w:sz w:val="20"/>
                <w:szCs w:val="20"/>
              </w:rPr>
              <w:t xml:space="preserve"> = ( </w:t>
            </w:r>
            <w:r>
              <w:rPr>
                <w:rFonts w:ascii="Times New Roman" w:cs="Times New Roman" w:eastAsia="Times New Roman" w:hAnsi="Times New Roman"/>
                <w:i w:val="1"/>
                <w:iCs w:val="1"/>
                <w:sz w:val="20"/>
                <w:szCs w:val="20"/>
              </w:rPr>
              <w:t xml:space="preserve">E</w:t>
            </w:r>
            <w:r>
              <w:rPr>
                <w:rFonts w:ascii="Times New Roman" w:cs="Times New Roman" w:eastAsia="Times New Roman" w:hAnsi="Times New Roman"/>
                <w:sz w:val="20"/>
                <w:szCs w:val="20"/>
                <w:vertAlign w:val="subscript"/>
              </w:rPr>
              <w:t xml:space="preserve">AGWi</w:t>
            </w:r>
            <w:r>
              <w:rPr>
                <w:rFonts w:ascii="Times New Roman" w:cs="Times New Roman" w:eastAsia="Times New Roman" w:hAnsi="Times New Roman"/>
                <w:sz w:val="20"/>
                <w:szCs w:val="20"/>
              </w:rPr>
              <w:t xml:space="preserve"> − min </w:t>
            </w:r>
            <w:r>
              <w:rPr>
                <w:rFonts w:ascii="Times New Roman" w:cs="Times New Roman" w:eastAsia="Times New Roman" w:hAnsi="Times New Roman"/>
                <w:i w:val="1"/>
                <w:iCs w:val="1"/>
                <w:sz w:val="20"/>
                <w:szCs w:val="20"/>
              </w:rPr>
              <w:t xml:space="preserve">E</w:t>
            </w:r>
            <w:r>
              <w:rPr>
                <w:rFonts w:ascii="Times New Roman" w:cs="Times New Roman" w:eastAsia="Times New Roman" w:hAnsi="Times New Roman"/>
                <w:sz w:val="20"/>
                <w:szCs w:val="20"/>
                <w:vertAlign w:val="subscript"/>
              </w:rPr>
              <w:t xml:space="preserve">AGWi</w:t>
            </w:r>
            <w:r>
              <w:rPr>
                <w:rFonts w:ascii="Times New Roman" w:cs="Times New Roman" w:eastAsia="Times New Roman" w:hAnsi="Times New Roman"/>
                <w:sz w:val="20"/>
                <w:szCs w:val="20"/>
              </w:rPr>
              <w:t xml:space="preserve"> ) / ( max </w:t>
            </w:r>
            <w:r>
              <w:rPr>
                <w:rFonts w:ascii="Times New Roman" w:cs="Times New Roman" w:eastAsia="Times New Roman" w:hAnsi="Times New Roman"/>
                <w:i w:val="1"/>
                <w:iCs w:val="1"/>
                <w:sz w:val="20"/>
                <w:szCs w:val="20"/>
              </w:rPr>
              <w:t xml:space="preserve">E</w:t>
            </w:r>
            <w:r>
              <w:rPr>
                <w:rFonts w:ascii="Times New Roman" w:cs="Times New Roman" w:eastAsia="Times New Roman" w:hAnsi="Times New Roman"/>
                <w:sz w:val="20"/>
                <w:szCs w:val="20"/>
                <w:vertAlign w:val="subscript"/>
              </w:rPr>
              <w:t xml:space="preserve">AGWi</w:t>
            </w:r>
            <w:r>
              <w:rPr>
                <w:rFonts w:ascii="Times New Roman" w:cs="Times New Roman" w:eastAsia="Times New Roman" w:hAnsi="Times New Roman"/>
                <w:sz w:val="20"/>
                <w:szCs w:val="20"/>
              </w:rPr>
              <w:t xml:space="preserve"> − min </w:t>
            </w:r>
            <w:r>
              <w:rPr>
                <w:rFonts w:ascii="Times New Roman" w:cs="Times New Roman" w:eastAsia="Times New Roman" w:hAnsi="Times New Roman"/>
                <w:i w:val="1"/>
                <w:iCs w:val="1"/>
                <w:sz w:val="20"/>
                <w:szCs w:val="20"/>
              </w:rPr>
              <w:t xml:space="preserve">E</w:t>
            </w:r>
            <w:r>
              <w:rPr>
                <w:rFonts w:ascii="Times New Roman" w:cs="Times New Roman" w:eastAsia="Times New Roman" w:hAnsi="Times New Roman"/>
                <w:sz w:val="20"/>
                <w:szCs w:val="20"/>
                <w:vertAlign w:val="subscript"/>
              </w:rPr>
              <w:t xml:space="preserve">AGWi</w:t>
            </w:r>
            <w:r>
              <w:rPr>
                <w:rFonts w:ascii="Times New Roman" w:cs="Times New Roman" w:eastAsia="Times New Roman" w:hAnsi="Times New Roman"/>
                <w:sz w:val="20"/>
                <w:szCs w:val="20"/>
              </w:rPr>
              <w:t xml:space="preserve"> )</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(14)</w:t>
            </w:r>
          </w:p>
        </w:tc>
      </w:tr>
    </w:tbl>
    <w:p>
      <w:pPr>
        <w:sectPr>
          <w:type w:val="continuous"/>
          <w:pgSz w:w="11906" w:h="16838" w:orient="portrait"/>
          <w:pgMar w:top="1077" w:right="1077" w:bottom="1077" w:left="1077" w:header="708" w:footer="708" w:gutter="0"/>
          <w:pgNumType/>
          <w:cols w:space="397" w:num="2" w:equalWidth="true"/>
          <w:docGrid w:linePitch="360"/>
        </w:sectPr>
      </w:pPr>
    </w:p>
    <w:p>
      <w:pPr>
        <w:spacing w:after="200" w:before="200" w:line="240"/>
        <w:ind w:firstLine="0"/>
      </w:pPr>
      <w:r>
        <w:rPr>
          <w:rFonts w:ascii="Times New Roman" w:cs="Times New Roman" w:eastAsia="Times New Roman" w:hAnsi="Times New Roman"/>
          <w:b/>
          <w:bCs/>
          <w:sz w:val="20"/>
          <w:szCs w:val="20"/>
        </w:rPr>
        <w:t xml:space="preserve">3.7 Implementation settings</w:t>
      </w:r>
    </w:p>
    <w:p>
      <w:pPr>
        <w:spacing w:after="0" w:before="0" w:line="240"/>
        <w:ind w:firstLine="0"/>
        <w:jc w:val="both"/>
      </w:pPr>
      <w:r>
        <w:rPr>
          <w:rFonts w:ascii="Times New Roman" w:cs="Times New Roman" w:eastAsia="Times New Roman" w:hAnsi="Times New Roman"/>
          <w:sz w:val="20"/>
          <w:szCs w:val="20"/>
        </w:rPr>
        <w:t xml:space="preserve">Table 2 lists every parameter used to produce the results in Section 5. The values are those in the released implementation, and Section 4.4 reports how the three sigmoid parameters were verified.</w:t>
      </w:r>
    </w:p>
    <w:p>
      <w:pPr>
        <w:sectPr>
          <w:type w:val="continuous"/>
          <w:pgSz w:w="11906" w:h="16838" w:orient="portrait"/>
          <w:pgMar w:top="1077" w:right="1077" w:bottom="1077" w:left="1077" w:header="708" w:footer="708" w:gutter="0"/>
          <w:pgNumType/>
          <w:cols w:space="397" w:num="2" w:equalWidth="true"/>
          <w:docGrid w:linePitch="360"/>
        </w:sectPr>
      </w:pPr>
    </w:p>
    <w:p>
      <w:pPr>
        <w:spacing w:after="120" w:before="240" w:line="240"/>
        <w:ind w:firstLine="0"/>
        <w:jc w:val="center"/>
      </w:pPr>
      <w:r>
        <w:rPr>
          <w:rFonts w:ascii="Times New Roman" w:cs="Times New Roman" w:eastAsia="Times New Roman" w:hAnsi="Times New Roman"/>
          <w:b/>
          <w:bCs/>
          <w:sz w:val="18"/>
          <w:szCs w:val="18"/>
        </w:rPr>
        <w:t xml:space="preserve">Table 2.</w:t>
      </w:r>
      <w:r>
        <w:rPr>
          <w:rFonts w:ascii="Times New Roman" w:cs="Times New Roman" w:eastAsia="Times New Roman" w:hAnsi="Times New Roman"/>
          <w:sz w:val="18"/>
          <w:szCs w:val="18"/>
        </w:rPr>
        <w:t xml:space="preserve"> Implementation settings of the Adaptive Imaginary Gabor Wavelet (A-GWi)</w:t>
      </w:r>
    </w:p>
    <w:tbl>
      <w:tblPr>
        <w:tblW w:type="dxa" w:w="9752"/>
        <w:tblBorders>
          <w:top w:val="none" w:color="FFFFFF" w:sz="0"/>
          <w:left w:val="none" w:color="FFFFFF" w:sz="0"/>
          <w:bottom w:val="none" w:color="FFFFFF" w:sz="0"/>
          <w:right w:val="none" w:color="FFFFFF" w:sz="0"/>
          <w:insideH w:val="none" w:color="FFFFFF" w:sz="0"/>
          <w:insideV w:val="none" w:color="FFFFFF" w:sz="0"/>
        </w:tblBorders>
      </w:tblPr>
      <w:tblGrid>
        <w:gridCol w:w="1900"/>
        <w:gridCol w:w="700"/>
        <w:gridCol w:w="1700"/>
        <w:gridCol w:w="2400"/>
        <w:gridCol w:w="700"/>
        <w:gridCol w:w="2352"/>
      </w:tblGrid>
      <w:tr>
        <w:trPr>
          <w:tblHeader/>
        </w:trPr>
        <w:tc>
          <w:tcPr>
            <w:tcW w:type="dxa" w:w="19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6"/>
                <w:szCs w:val="16"/>
              </w:rPr>
              <w:t xml:space="preserve">Parameter</w:t>
            </w:r>
          </w:p>
        </w:tc>
        <w:tc>
          <w:tcPr>
            <w:tcW w:type="dxa" w:w="7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6"/>
                <w:szCs w:val="16"/>
              </w:rPr>
              <w:t xml:space="preserve">Symbol</w:t>
            </w:r>
          </w:p>
        </w:tc>
        <w:tc>
          <w:tcPr>
            <w:tcW w:type="dxa" w:w="17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6"/>
                <w:szCs w:val="16"/>
              </w:rPr>
              <w:t xml:space="preserve">Value</w:t>
            </w:r>
          </w:p>
        </w:tc>
        <w:tc>
          <w:tcPr>
            <w:tcW w:type="dxa" w:w="24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6"/>
                <w:szCs w:val="16"/>
              </w:rPr>
              <w:t xml:space="preserve">Parameter</w:t>
            </w:r>
          </w:p>
        </w:tc>
        <w:tc>
          <w:tcPr>
            <w:tcW w:type="dxa" w:w="7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6"/>
                <w:szCs w:val="16"/>
              </w:rPr>
              <w:t xml:space="preserve">Symbol</w:t>
            </w:r>
          </w:p>
        </w:tc>
        <w:tc>
          <w:tcPr>
            <w:tcW w:type="dxa" w:w="235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6"/>
                <w:szCs w:val="16"/>
              </w:rPr>
              <w:t xml:space="preserve">Value</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6"/>
                <w:szCs w:val="16"/>
              </w:rPr>
              <w:t xml:space="preserve">Minimum centre frequency</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fmin</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0.05 cycles/pixel</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Scale coefficient</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c</w:t>
            </w:r>
          </w:p>
        </w:tc>
        <w:tc>
          <w:tcPr>
            <w:tcW w:type="dxa" w:w="23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0.1874</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6"/>
                <w:szCs w:val="16"/>
              </w:rPr>
              <w:t xml:space="preserve">Maximum centre frequency</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fmax</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0.45 cycles/pixel</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Sobel aperture for activity</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w:t>
            </w:r>
          </w:p>
        </w:tc>
        <w:tc>
          <w:tcPr>
            <w:tcW w:type="dxa" w:w="23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5 × 5</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6"/>
                <w:szCs w:val="16"/>
              </w:rPr>
              <w:t xml:space="preserve">Sigmoid steepness</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ks</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25.0</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Gaussian smoothing for activity</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w:t>
            </w:r>
          </w:p>
        </w:tc>
        <w:tc>
          <w:tcPr>
            <w:tcW w:type="dxa" w:w="23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5 × 5</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6"/>
                <w:szCs w:val="16"/>
              </w:rPr>
              <w:t xml:space="preserve">Sigmoid centre</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ρc</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0.5</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Border handling</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w:t>
            </w:r>
          </w:p>
        </w:tc>
        <w:tc>
          <w:tcPr>
            <w:tcW w:type="dxa" w:w="23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Reflection padding</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6"/>
                <w:szCs w:val="16"/>
              </w:rPr>
              <w:t xml:space="preserve">Number of orientations</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N</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8, spaced 22.5°</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Kernel normalisation</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w:t>
            </w:r>
          </w:p>
        </w:tc>
        <w:tc>
          <w:tcPr>
            <w:tcW w:type="dxa" w:w="23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None applied</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6"/>
                <w:szCs w:val="16"/>
              </w:rPr>
              <w:t xml:space="preserve">Kernel size</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k</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7 × 7, fixed</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Response normalisation</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w:t>
            </w:r>
          </w:p>
        </w:tc>
        <w:tc>
          <w:tcPr>
            <w:tcW w:type="dxa" w:w="23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Per-image, to [0, 1]</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6"/>
                <w:szCs w:val="16"/>
              </w:rPr>
              <w:t xml:space="preserve">Aspect ratio</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γ</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0.5</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Arithmetic precision</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w:t>
            </w:r>
          </w:p>
        </w:tc>
        <w:tc>
          <w:tcPr>
            <w:tcW w:type="dxa" w:w="23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Double</w:t>
            </w:r>
          </w:p>
        </w:tc>
      </w:tr>
      <w:tr>
        <w:tc>
          <w:tcPr>
            <w:tcW w:type="dxa" w:w="19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6"/>
                <w:szCs w:val="16"/>
              </w:rPr>
              <w:t xml:space="preserve">Phase offset</w:t>
            </w:r>
          </w:p>
        </w:tc>
        <w:tc>
          <w:tcPr>
            <w:tcW w:type="dxa" w:w="7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ψ</w:t>
            </w:r>
          </w:p>
        </w:tc>
        <w:tc>
          <w:tcPr>
            <w:tcW w:type="dxa" w:w="17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0</w:t>
            </w:r>
          </w:p>
        </w:tc>
        <w:tc>
          <w:tcPr>
            <w:tcW w:type="dxa" w:w="24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
            </w:r>
          </w:p>
        </w:tc>
        <w:tc>
          <w:tcPr>
            <w:tcW w:type="dxa" w:w="7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
            </w:r>
          </w:p>
        </w:tc>
        <w:tc>
          <w:tcPr>
            <w:tcW w:type="dxa" w:w="2352"/>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6"/>
                <w:szCs w:val="16"/>
              </w:rPr>
              <w:t xml:space="preserve"/>
            </w:r>
          </w:p>
        </w:tc>
      </w:tr>
    </w:tbl>
    <w:p>
      <w:pPr>
        <w:spacing w:after="200" w:before="0" w:line="240"/>
        <w:ind w:firstLine="0"/>
        <w:jc w:val="both"/>
      </w:pPr>
      <w:r>
        <w:rPr>
          <w:rFonts w:ascii="Times New Roman" w:cs="Times New Roman" w:eastAsia="Times New Roman" w:hAnsi="Times New Roman"/>
          <w:sz w:val="20"/>
          <w:szCs w:val="20"/>
        </w:rPr>
        <w:t xml:space="preserve"/>
      </w:r>
    </w:p>
    <w:p>
      <w:pPr>
        <w:sectPr>
          <w:type w:val="continuous"/>
          <w:pgSz w:w="11906" w:h="16838" w:orient="portrait"/>
          <w:pgMar w:top="1077" w:right="1077" w:bottom="1077" w:left="1077" w:header="708" w:footer="708" w:gutter="0"/>
          <w:pgNumType/>
          <w:cols w:num="1"/>
          <w:docGrid w:linePitch="360"/>
        </w:sectPr>
      </w:pPr>
    </w:p>
    <w:p>
      <w:pPr>
        <w:spacing w:after="200" w:before="200" w:line="240"/>
        <w:ind w:firstLine="0"/>
      </w:pPr>
      <w:r>
        <w:rPr>
          <w:rFonts w:ascii="Times New Roman" w:cs="Times New Roman" w:eastAsia="Times New Roman" w:hAnsi="Times New Roman"/>
          <w:b/>
          <w:bCs/>
          <w:sz w:val="20"/>
          <w:szCs w:val="20"/>
        </w:rPr>
        <w:t xml:space="preserve">3.8 Algorithm and complexity</w:t>
      </w:r>
    </w:p>
    <w:p>
      <w:pPr>
        <w:spacing w:after="0" w:before="0" w:line="240"/>
        <w:ind w:firstLine="0"/>
        <w:jc w:val="both"/>
      </w:pPr>
      <w:r>
        <w:rPr>
          <w:rFonts w:ascii="Times New Roman" w:cs="Times New Roman" w:eastAsia="Times New Roman" w:hAnsi="Times New Roman"/>
          <w:sz w:val="20"/>
          <w:szCs w:val="20"/>
        </w:rPr>
        <w:t xml:space="preserve">Algorithm 1 states the procedure. The adaptive parameters on lines 4 to 6 are recomputed at every pixel before the orientation loop, which is the operational difference from a static Gabor bank. For an image of height H and width W with N orientations and a fixed k × k window, the cost is O(HWNk²) with k = 7. The inner loops are compiled to machine code with a just-in-time compiler, and all timing in Section 5.7 is single-threaded.</w:t>
      </w:r>
    </w:p>
    <w:p>
      <w:pPr>
        <w:sectPr>
          <w:type w:val="continuous"/>
          <w:pgSz w:w="11906" w:h="16838" w:orient="portrait"/>
          <w:pgMar w:top="1077" w:right="1077" w:bottom="1077" w:left="1077" w:header="708" w:footer="708" w:gutter="0"/>
          <w:pgNumType/>
          <w:cols w:space="397" w:num="2" w:equalWidth="true"/>
          <w:docGrid w:linePitch="360"/>
        </w:sectPr>
      </w:pPr>
    </w:p>
    <w:p>
      <w:pPr>
        <w:spacing w:after="120" w:before="240" w:line="240"/>
        <w:ind w:firstLine="0"/>
        <w:jc w:val="center"/>
      </w:pPr>
      <w:r>
        <w:rPr>
          <w:rFonts w:ascii="Times New Roman" w:cs="Times New Roman" w:eastAsia="Times New Roman" w:hAnsi="Times New Roman"/>
          <w:b/>
          <w:bCs/>
          <w:sz w:val="18"/>
          <w:szCs w:val="18"/>
        </w:rPr>
        <w:t xml:space="preserve">Algorithm 1.</w:t>
      </w:r>
      <w:r>
        <w:rPr>
          <w:rFonts w:ascii="Times New Roman" w:cs="Times New Roman" w:eastAsia="Times New Roman" w:hAnsi="Times New Roman"/>
          <w:sz w:val="18"/>
          <w:szCs w:val="18"/>
        </w:rPr>
        <w:t xml:space="preserve"> Edge-based boundary detection with the Adaptive Imaginary Gabor Wavelet (A-GWi)</w:t>
      </w:r>
    </w:p>
    <w:tbl>
      <w:tblPr>
        <w:tblW w:type="dxa" w:w="9752"/>
        <w:tblBorders>
          <w:top w:val="single" w:color="000000" w:sz="6"/>
          <w:left w:val="none" w:color="FFFFFF" w:sz="0"/>
          <w:bottom w:val="single" w:color="000000" w:sz="6"/>
          <w:right w:val="none" w:color="FFFFFF" w:sz="0"/>
          <w:insideH w:val="none" w:color="FFFFFF" w:sz="0"/>
          <w:insideV w:val="none" w:color="FFFFFF" w:sz="0"/>
        </w:tblBorders>
      </w:tblPr>
      <w:tblGrid>
        <w:gridCol w:w="9752"/>
      </w:tblGrid>
      <w:tr>
        <w:tc>
          <w:tcPr>
            <w:tcW w:type="dxa" w:w="9752"/>
            <w:tcMar>
              <w:top w:type="dxa" w:w="100"/>
              <w:left w:type="dxa" w:w="120"/>
              <w:bottom w:type="dxa" w:w="100"/>
              <w:right w:type="dxa" w:w="120"/>
            </w:tcMar>
          </w:tcPr>
          <w:p>
            <w:pPr>
              <w:spacing w:after="0" w:before="0" w:line="200"/>
              <w:ind w:firstLine="0"/>
            </w:pPr>
            <w:r>
              <w:rPr>
                <w:rFonts w:ascii="Courier New" w:cs="Courier New" w:eastAsia="Courier New" w:hAnsi="Courier New"/>
                <w:sz w:val="16"/>
                <w:szCs w:val="16"/>
              </w:rPr>
              <w:t xml:space="preserve">Input : image I; orientations N = 8; window size k = 7; bounds [fmin, fmax] = [0.05, 0.45];</w:t>
            </w:r>
          </w:p>
          <w:p>
            <w:pPr>
              <w:spacing w:after="0" w:before="0" w:line="200"/>
              <w:ind w:firstLine="0"/>
            </w:pPr>
            <w:r>
              <w:rPr>
                <w:rFonts w:ascii="Courier New" w:cs="Courier New" w:eastAsia="Courier New" w:hAnsi="Courier New"/>
                <w:sz w:val="16"/>
                <w:szCs w:val="16"/>
              </w:rPr>
              <w:t xml:space="preserve">        steepness ks = 25; sigmoid centre ρc = 0.5; aspect ratio γ = 0.5; coefficient c = 0.1874</w:t>
            </w:r>
          </w:p>
          <w:p>
            <w:pPr>
              <w:spacing w:after="0" w:before="0" w:line="200"/>
              <w:ind w:firstLine="0"/>
            </w:pPr>
            <w:r>
              <w:rPr>
                <w:rFonts w:ascii="Courier New" w:cs="Courier New" w:eastAsia="Courier New" w:hAnsi="Courier New"/>
                <w:sz w:val="16"/>
                <w:szCs w:val="16"/>
              </w:rPr>
              <w:t xml:space="preserve">Output: normalised edge magnitude map Enorm</w:t>
            </w:r>
          </w:p>
          <w:p>
            <w:pPr>
              <w:spacing w:after="0" w:before="0" w:line="200"/>
              <w:ind w:firstLine="0"/>
            </w:pPr>
            <w:r>
              <w:rPr>
                <w:rFonts w:ascii="Courier New" w:cs="Courier New" w:eastAsia="Courier New" w:hAnsi="Courier New"/>
                <w:sz w:val="16"/>
                <w:szCs w:val="16"/>
              </w:rPr>
              <w:t xml:space="preserve"/>
            </w:r>
          </w:p>
          <w:p>
            <w:pPr>
              <w:spacing w:after="0" w:before="0" w:line="200"/>
              <w:ind w:firstLine="0"/>
            </w:pPr>
            <w:r>
              <w:rPr>
                <w:rFonts w:ascii="Courier New" w:cs="Courier New" w:eastAsia="Courier New" w:hAnsi="Courier New"/>
                <w:sz w:val="16"/>
                <w:szCs w:val="16"/>
              </w:rPr>
              <w:t xml:space="preserve"> 1: Inorm  ← equalizeHist( grayscale(I) ) / 255                                   Eq. (1), (2)</w:t>
            </w:r>
          </w:p>
          <w:p>
            <w:pPr>
              <w:spacing w:after="0" w:before="0" w:line="200"/>
              <w:ind w:firstLine="0"/>
            </w:pPr>
            <w:r>
              <w:rPr>
                <w:rFonts w:ascii="Courier New" w:cs="Courier New" w:eastAsia="Courier New" w:hAnsi="Courier New"/>
                <w:sz w:val="16"/>
                <w:szCs w:val="16"/>
              </w:rPr>
              <w:t xml:space="preserve"> 2: ρL     ← GaussianBlur( minmax( sqrt( Gx² + Gy² ) ), 5 × 5 )                    Eq. (3)-(6)</w:t>
            </w:r>
          </w:p>
          <w:p>
            <w:pPr>
              <w:spacing w:after="0" w:before="0" w:line="200"/>
              <w:ind w:firstLine="0"/>
            </w:pPr>
            <w:r>
              <w:rPr>
                <w:rFonts w:ascii="Courier New" w:cs="Courier New" w:eastAsia="Courier New" w:hAnsi="Courier New"/>
                <w:sz w:val="16"/>
                <w:szCs w:val="16"/>
              </w:rPr>
              <w:t xml:space="preserve"> 3: for each pixel (u, v) do</w:t>
            </w:r>
          </w:p>
          <w:p>
            <w:pPr>
              <w:spacing w:after="0" w:before="0" w:line="200"/>
              <w:ind w:firstLine="0"/>
            </w:pPr>
            <w:r>
              <w:rPr>
                <w:rFonts w:ascii="Courier New" w:cs="Courier New" w:eastAsia="Courier New" w:hAnsi="Courier New"/>
                <w:sz w:val="16"/>
                <w:szCs w:val="16"/>
              </w:rPr>
              <w:t xml:space="preserve"> 4:     f0      ← fmin + (fmax − fmin) / (1 + exp(−ks (ρL(u,v) − ρc)))                Eq. (7)</w:t>
            </w:r>
          </w:p>
          <w:p>
            <w:pPr>
              <w:spacing w:after="0" w:before="0" w:line="200"/>
              <w:ind w:firstLine="0"/>
            </w:pPr>
            <w:r>
              <w:rPr>
                <w:rFonts w:ascii="Courier New" w:cs="Courier New" w:eastAsia="Courier New" w:hAnsi="Courier New"/>
                <w:sz w:val="16"/>
                <w:szCs w:val="16"/>
              </w:rPr>
              <w:t xml:space="preserve"> 5:     σx      ← c / f0                                                              Eq. (8)</w:t>
            </w:r>
          </w:p>
          <w:p>
            <w:pPr>
              <w:spacing w:after="0" w:before="0" w:line="200"/>
              <w:ind w:firstLine="0"/>
            </w:pPr>
            <w:r>
              <w:rPr>
                <w:rFonts w:ascii="Courier New" w:cs="Courier New" w:eastAsia="Courier New" w:hAnsi="Courier New"/>
                <w:sz w:val="16"/>
                <w:szCs w:val="16"/>
              </w:rPr>
              <w:t xml:space="preserve"> 6:     σy      ← σx / γ                                                              Eq. (9)</w:t>
            </w:r>
          </w:p>
          <w:p>
            <w:pPr>
              <w:spacing w:after="0" w:before="0" w:line="200"/>
              <w:ind w:firstLine="0"/>
            </w:pPr>
            <w:r>
              <w:rPr>
                <w:rFonts w:ascii="Courier New" w:cs="Courier New" w:eastAsia="Courier New" w:hAnsi="Courier New"/>
                <w:sz w:val="16"/>
                <w:szCs w:val="16"/>
              </w:rPr>
              <w:t xml:space="preserve"> 7:     mag ← 0</w:t>
            </w:r>
          </w:p>
          <w:p>
            <w:pPr>
              <w:spacing w:after="0" w:before="0" w:line="200"/>
              <w:ind w:firstLine="0"/>
            </w:pPr>
            <w:r>
              <w:rPr>
                <w:rFonts w:ascii="Courier New" w:cs="Courier New" w:eastAsia="Courier New" w:hAnsi="Courier New"/>
                <w:sz w:val="16"/>
                <w:szCs w:val="16"/>
              </w:rPr>
              <w:t xml:space="preserve"> 8:     for each orientation θo ∈ { 0, π/N, ..., (N−1)π/N } do</w:t>
            </w:r>
          </w:p>
          <w:p>
            <w:pPr>
              <w:spacing w:after="0" w:before="0" w:line="200"/>
              <w:ind w:firstLine="0"/>
            </w:pPr>
            <w:r>
              <w:rPr>
                <w:rFonts w:ascii="Courier New" w:cs="Courier New" w:eastAsia="Courier New" w:hAnsi="Courier New"/>
                <w:sz w:val="16"/>
                <w:szCs w:val="16"/>
              </w:rPr>
              <w:t xml:space="preserve"> 9:         build ψimag(m, n) for m, n ∈ [−3, 3] from f0, σx, σy                       Eq. (10)</w:t>
            </w:r>
          </w:p>
          <w:p>
            <w:pPr>
              <w:spacing w:after="0" w:before="0" w:line="200"/>
              <w:ind w:firstLine="0"/>
            </w:pPr>
            <w:r>
              <w:rPr>
                <w:rFonts w:ascii="Courier New" w:cs="Courier New" w:eastAsia="Courier New" w:hAnsi="Courier New"/>
                <w:sz w:val="16"/>
                <w:szCs w:val="16"/>
              </w:rPr>
              <w:t xml:space="preserve">10:         R ← ∑m ∑n Inorm(u+m, v+n) ψimag(m, n), reflection padding at borders       Eq. (11)</w:t>
            </w:r>
          </w:p>
          <w:p>
            <w:pPr>
              <w:spacing w:after="0" w:before="0" w:line="200"/>
              <w:ind w:firstLine="0"/>
            </w:pPr>
            <w:r>
              <w:rPr>
                <w:rFonts w:ascii="Courier New" w:cs="Courier New" w:eastAsia="Courier New" w:hAnsi="Courier New"/>
                <w:sz w:val="16"/>
                <w:szCs w:val="16"/>
              </w:rPr>
              <w:t xml:space="preserve">11:         mag ← max( mag, |R| )                                                Eq. (12), (13)</w:t>
            </w:r>
          </w:p>
          <w:p>
            <w:pPr>
              <w:spacing w:after="0" w:before="0" w:line="200"/>
              <w:ind w:firstLine="0"/>
            </w:pPr>
            <w:r>
              <w:rPr>
                <w:rFonts w:ascii="Courier New" w:cs="Courier New" w:eastAsia="Courier New" w:hAnsi="Courier New"/>
                <w:sz w:val="16"/>
                <w:szCs w:val="16"/>
              </w:rPr>
              <w:t xml:space="preserve">12:     end for</w:t>
            </w:r>
          </w:p>
          <w:p>
            <w:pPr>
              <w:spacing w:after="0" w:before="0" w:line="200"/>
              <w:ind w:firstLine="0"/>
            </w:pPr>
            <w:r>
              <w:rPr>
                <w:rFonts w:ascii="Courier New" w:cs="Courier New" w:eastAsia="Courier New" w:hAnsi="Courier New"/>
                <w:sz w:val="16"/>
                <w:szCs w:val="16"/>
              </w:rPr>
              <w:t xml:space="preserve">13:     EAGWi(u, v) ← mag</w:t>
            </w:r>
          </w:p>
          <w:p>
            <w:pPr>
              <w:spacing w:after="0" w:before="0" w:line="200"/>
              <w:ind w:firstLine="0"/>
            </w:pPr>
            <w:r>
              <w:rPr>
                <w:rFonts w:ascii="Courier New" w:cs="Courier New" w:eastAsia="Courier New" w:hAnsi="Courier New"/>
                <w:sz w:val="16"/>
                <w:szCs w:val="16"/>
              </w:rPr>
              <w:t xml:space="preserve">14: end for</w:t>
            </w:r>
          </w:p>
          <w:p>
            <w:pPr>
              <w:spacing w:after="0" w:before="0" w:line="200"/>
              <w:ind w:firstLine="0"/>
            </w:pPr>
            <w:r>
              <w:rPr>
                <w:rFonts w:ascii="Courier New" w:cs="Courier New" w:eastAsia="Courier New" w:hAnsi="Courier New"/>
                <w:sz w:val="16"/>
                <w:szCs w:val="16"/>
              </w:rPr>
              <w:t xml:space="preserve">15: Enorm ← ( EAGWi − min EAGWi ) / ( max EAGWi − min EAGWi )                          Eq. (14)</w:t>
            </w:r>
          </w:p>
          <w:p>
            <w:pPr>
              <w:spacing w:after="0" w:before="0" w:line="200"/>
              <w:ind w:firstLine="0"/>
            </w:pPr>
            <w:r>
              <w:rPr>
                <w:rFonts w:ascii="Courier New" w:cs="Courier New" w:eastAsia="Courier New" w:hAnsi="Courier New"/>
                <w:sz w:val="16"/>
                <w:szCs w:val="16"/>
              </w:rPr>
              <w:t xml:space="preserve">16: return Enorm</w:t>
            </w:r>
          </w:p>
        </w:tc>
      </w:tr>
    </w:tbl>
    <w:p>
      <w:pPr>
        <w:spacing w:after="200" w:before="0" w:line="240"/>
        <w:ind w:firstLine="0"/>
        <w:jc w:val="both"/>
      </w:pPr>
      <w:r>
        <w:rPr>
          <w:rFonts w:ascii="Times New Roman" w:cs="Times New Roman" w:eastAsia="Times New Roman" w:hAnsi="Times New Roman"/>
          <w:sz w:val="20"/>
          <w:szCs w:val="20"/>
        </w:rPr>
        <w:t xml:space="preserve"/>
      </w:r>
    </w:p>
    <w:p>
      <w:pPr>
        <w:sectPr>
          <w:type w:val="continuous"/>
          <w:pgSz w:w="11906" w:h="16838" w:orient="portrait"/>
          <w:pgMar w:top="1077" w:right="1077" w:bottom="1077" w:left="1077" w:header="708" w:footer="708" w:gutter="0"/>
          <w:pgNumType/>
          <w:cols w:num="1"/>
          <w:docGrid w:linePitch="360"/>
        </w:sectPr>
      </w:pPr>
    </w:p>
    <w:p>
      <w:pPr>
        <w:spacing w:after="200" w:before="400" w:line="240"/>
        <w:ind w:firstLine="0"/>
      </w:pPr>
      <w:r>
        <w:rPr>
          <w:rFonts w:ascii="Times New Roman" w:cs="Times New Roman" w:eastAsia="Times New Roman" w:hAnsi="Times New Roman"/>
          <w:b/>
          <w:bCs/>
          <w:sz w:val="20"/>
          <w:szCs w:val="20"/>
        </w:rPr>
        <w:t xml:space="preserve">4. EXPERIMENTAL SETUP</w:t>
      </w:r>
    </w:p>
    <w:p>
      <w:pPr>
        <w:spacing w:after="200" w:before="200" w:line="240"/>
        <w:ind w:firstLine="0"/>
      </w:pPr>
      <w:r>
        <w:rPr>
          <w:rFonts w:ascii="Times New Roman" w:cs="Times New Roman" w:eastAsia="Times New Roman" w:hAnsi="Times New Roman"/>
          <w:b/>
          <w:bCs/>
          <w:sz w:val="20"/>
          <w:szCs w:val="20"/>
        </w:rPr>
        <w:t xml:space="preserve">4.1 Datasets</w:t>
      </w:r>
    </w:p>
    <w:p>
      <w:pPr>
        <w:spacing w:after="0" w:before="0" w:line="240"/>
        <w:ind w:firstLine="0"/>
        <w:jc w:val="both"/>
      </w:pPr>
      <w:r>
        <w:rPr>
          <w:rFonts w:ascii="Times New Roman" w:cs="Times New Roman" w:eastAsia="Times New Roman" w:hAnsi="Times New Roman"/>
          <w:sz w:val="20"/>
          <w:szCs w:val="20"/>
        </w:rPr>
        <w:t xml:space="preserve">Two benchmarks are used. The Berkeley Segmentation Dataset 500 (BSDS500) provides 200 test images with boundary annotations from multiple annotators, together with 100 validation images that are used only for parameter verification. It is the standard reference for edge-based boundary detection because of its size, its multi-annotator ground truth, and its coverage of natural-scene categories. The Unified Dataset for Edge Detection (UDED) provides 30 images with single-annotator ground truth, assembled from several public sources and covering a different distribution of scene content and resolution [39]. All 30 images are used, since the dataset has no training and test partition and contains no further images, so no selection was made by the authors. Because the method has no trained parameters, the second dataset is not a test of generalization in the sense used for learned models; it is a second evaluation set with different image statistics.</w:t>
      </w:r>
    </w:p>
    <w:p>
      <w:pPr>
        <w:spacing w:after="200" w:before="200" w:line="240"/>
        <w:ind w:firstLine="0"/>
      </w:pPr>
      <w:r>
        <w:rPr>
          <w:rFonts w:ascii="Times New Roman" w:cs="Times New Roman" w:eastAsia="Times New Roman" w:hAnsi="Times New Roman"/>
          <w:b/>
          <w:bCs/>
          <w:sz w:val="20"/>
          <w:szCs w:val="20"/>
        </w:rPr>
        <w:t xml:space="preserve">4.2 Evaluation protocol</w:t>
      </w:r>
    </w:p>
    <w:p>
      <w:pPr>
        <w:spacing w:after="0" w:before="0" w:line="240"/>
        <w:ind w:firstLine="0"/>
        <w:jc w:val="both"/>
      </w:pPr>
      <w:r>
        <w:rPr>
          <w:rFonts w:ascii="Times New Roman" w:cs="Times New Roman" w:eastAsia="Times New Roman" w:hAnsi="Times New Roman"/>
          <w:sz w:val="20"/>
          <w:szCs w:val="20"/>
        </w:rPr>
        <w:t xml:space="preserve">The Berkeley protocol [37] is used because it is the standard for boundary-detection benchmarking and because its threshold-sweep design accommodates detectors that produce continuous edge magnitude maps. Predictions are swept over 99 thresholds in the interval from 0.01 to 0.99. Each thresholded map is morphologically thinned, and predicted edges are matched to ground-truth edges within a tolerance of 0.0075 times the image diagonal. Matching is performed against each annotator separately: a predicted pixel counts as correct if it matches at least one annotator, while recall counts are summed across all annotators. Assignment within each annotator is one to one, ordered by increasing distance.</w:t>
      </w:r>
    </w:p>
    <w:p>
      <w:pPr>
        <w:spacing w:after="0" w:before="0" w:line="240"/>
        <w:ind w:firstLine="227"/>
        <w:jc w:val="both"/>
      </w:pPr>
      <w:r>
        <w:rPr>
          <w:rFonts w:ascii="Times New Roman" w:cs="Times New Roman" w:eastAsia="Times New Roman" w:hAnsi="Times New Roman"/>
          <w:sz w:val="20"/>
          <w:szCs w:val="20"/>
        </w:rPr>
        <w:t xml:space="preserve">For each threshold t, four counts are accumulated across the whole test set: cntR(t), the number of matched ground-truth pixels; sumR(t), the total number of ground-truth pixels; cntP(t), the number of matched predicted pixels; and sumP(t), the total number of predicted pixels. Recall, precision, and the F-measure follow in Eqs. (15) to (17).</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R</w:t>
            </w:r>
            <w:r>
              <w:rPr>
                <w:rFonts w:ascii="Times New Roman" w:cs="Times New Roman" w:eastAsia="Times New Roman" w:hAnsi="Times New Roman"/>
                <w:sz w:val="20"/>
                <w:szCs w:val="20"/>
              </w:rPr>
              <w:t xml:space="preserve">(t) = cntR(t) / sumR(t)</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(15)</w:t>
            </w:r>
          </w:p>
        </w:tc>
      </w:tr>
    </w:tbl>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P</w:t>
            </w:r>
            <w:r>
              <w:rPr>
                <w:rFonts w:ascii="Times New Roman" w:cs="Times New Roman" w:eastAsia="Times New Roman" w:hAnsi="Times New Roman"/>
                <w:sz w:val="20"/>
                <w:szCs w:val="20"/>
              </w:rPr>
              <w:t xml:space="preserve">(t) = cntP(t) / sumP(t)</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(16)</w:t>
            </w:r>
          </w:p>
        </w:tc>
      </w:tr>
    </w:tbl>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F</w:t>
            </w:r>
            <w:r>
              <w:rPr>
                <w:rFonts w:ascii="Times New Roman" w:cs="Times New Roman" w:eastAsia="Times New Roman" w:hAnsi="Times New Roman"/>
                <w:sz w:val="20"/>
                <w:szCs w:val="20"/>
              </w:rPr>
              <w:t xml:space="preserve">(t) = 2 </w:t>
            </w:r>
            <w:r>
              <w:rPr>
                <w:rFonts w:ascii="Times New Roman" w:cs="Times New Roman" w:eastAsia="Times New Roman" w:hAnsi="Times New Roman"/>
                <w:i w:val="1"/>
                <w:iCs w:val="1"/>
                <w:sz w:val="20"/>
                <w:szCs w:val="20"/>
              </w:rPr>
              <w:t xml:space="preserve">P</w:t>
            </w:r>
            <w:r>
              <w:rPr>
                <w:rFonts w:ascii="Times New Roman" w:cs="Times New Roman" w:eastAsia="Times New Roman" w:hAnsi="Times New Roman"/>
                <w:sz w:val="20"/>
                <w:szCs w:val="20"/>
              </w:rPr>
              <w:t xml:space="preserve">(t) </w:t>
            </w:r>
            <w:r>
              <w:rPr>
                <w:rFonts w:ascii="Times New Roman" w:cs="Times New Roman" w:eastAsia="Times New Roman" w:hAnsi="Times New Roman"/>
                <w:i w:val="1"/>
                <w:iCs w:val="1"/>
                <w:sz w:val="20"/>
                <w:szCs w:val="20"/>
              </w:rPr>
              <w:t xml:space="preserve">R</w:t>
            </w:r>
            <w:r>
              <w:rPr>
                <w:rFonts w:ascii="Times New Roman" w:cs="Times New Roman" w:eastAsia="Times New Roman" w:hAnsi="Times New Roman"/>
                <w:sz w:val="20"/>
                <w:szCs w:val="20"/>
              </w:rPr>
              <w:t xml:space="preserve">(t) / [ </w:t>
            </w:r>
            <w:r>
              <w:rPr>
                <w:rFonts w:ascii="Times New Roman" w:cs="Times New Roman" w:eastAsia="Times New Roman" w:hAnsi="Times New Roman"/>
                <w:i w:val="1"/>
                <w:iCs w:val="1"/>
                <w:sz w:val="20"/>
                <w:szCs w:val="20"/>
              </w:rPr>
              <w:t xml:space="preserve">P</w:t>
            </w:r>
            <w:r>
              <w:rPr>
                <w:rFonts w:ascii="Times New Roman" w:cs="Times New Roman" w:eastAsia="Times New Roman" w:hAnsi="Times New Roman"/>
                <w:sz w:val="20"/>
                <w:szCs w:val="20"/>
              </w:rPr>
              <w:t xml:space="preserve">(t) + </w:t>
            </w:r>
            <w:r>
              <w:rPr>
                <w:rFonts w:ascii="Times New Roman" w:cs="Times New Roman" w:eastAsia="Times New Roman" w:hAnsi="Times New Roman"/>
                <w:i w:val="1"/>
                <w:iCs w:val="1"/>
                <w:sz w:val="20"/>
                <w:szCs w:val="20"/>
              </w:rPr>
              <w:t xml:space="preserve">R</w:t>
            </w:r>
            <w:r>
              <w:rPr>
                <w:rFonts w:ascii="Times New Roman" w:cs="Times New Roman" w:eastAsia="Times New Roman" w:hAnsi="Times New Roman"/>
                <w:sz w:val="20"/>
                <w:szCs w:val="20"/>
              </w:rPr>
              <w:t xml:space="preserve">(t) ]</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(17)</w:t>
            </w:r>
          </w:p>
        </w:tc>
      </w:tr>
    </w:tbl>
    <w:p>
      <w:pPr>
        <w:spacing w:after="0" w:before="0" w:line="240"/>
        <w:ind w:firstLine="0"/>
        <w:jc w:val="both"/>
      </w:pPr>
      <w:r>
        <w:rPr>
          <w:rFonts w:ascii="Times New Roman" w:cs="Times New Roman" w:eastAsia="Times New Roman" w:hAnsi="Times New Roman"/>
          <w:sz w:val="20"/>
          <w:szCs w:val="20"/>
        </w:rPr>
        <w:t xml:space="preserve">The optimal dataset scale F-measure (ODS) is the maximum of Eq. (17) over the threshold grid, as given in Eq. (18). The optimal image scale F-measure (OIS) selects the best threshold ti* separately for each image i from its own counts, then accumulates the counts obtained at those thresholds across the test set and evaluates Eqs. (15) to (17) once, as given in Eq. (19).</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sz w:val="20"/>
                <w:szCs w:val="20"/>
              </w:rPr>
              <w:t xml:space="preserve">ODS = max</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val="1"/>
                <w:iCs w:val="1"/>
                <w:sz w:val="20"/>
                <w:szCs w:val="20"/>
              </w:rPr>
              <w:t xml:space="preserve">F</w:t>
            </w:r>
            <w:r>
              <w:rPr>
                <w:rFonts w:ascii="Times New Roman" w:cs="Times New Roman" w:eastAsia="Times New Roman" w:hAnsi="Times New Roman"/>
                <w:sz w:val="20"/>
                <w:szCs w:val="20"/>
              </w:rPr>
              <w:t xml:space="preserve">(t)</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(18)</w:t>
            </w:r>
          </w:p>
        </w:tc>
      </w:tr>
    </w:tbl>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sz w:val="20"/>
                <w:szCs w:val="20"/>
              </w:rPr>
              <w:t xml:space="preserve">OIS = </w:t>
            </w:r>
            <w:r>
              <w:rPr>
                <w:rFonts w:ascii="Times New Roman" w:cs="Times New Roman" w:eastAsia="Times New Roman" w:hAnsi="Times New Roman"/>
                <w:i w:val="1"/>
                <w:iCs w:val="1"/>
                <w:sz w:val="20"/>
                <w:szCs w:val="20"/>
              </w:rPr>
              <w:t xml:space="preserve">F</w:t>
            </w:r>
            <w:r>
              <w:rPr>
                <w:rFonts w:ascii="Times New Roman" w:cs="Times New Roman" w:eastAsia="Times New Roman" w:hAnsi="Times New Roman"/>
                <w:sz w:val="20"/>
                <w:szCs w:val="20"/>
              </w:rPr>
              <w:t xml:space="preserve"> evaluated at </w:t>
            </w:r>
            <w:r>
              <w:rPr>
                <w:rFonts w:ascii="Times New Roman" w:cs="Times New Roman" w:eastAsia="Times New Roman" w:hAnsi="Times New Roman"/>
                <w:i w:val="1"/>
                <w:iCs w:val="1"/>
                <w:sz w:val="20"/>
                <w:szCs w:val="20"/>
              </w:rPr>
              <w:t xml:space="preserve">t</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argmax</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val="1"/>
                <w:iCs w:val="1"/>
                <w:sz w:val="20"/>
                <w:szCs w:val="20"/>
              </w:rPr>
              <w:t xml:space="preserve">F</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(t)</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(19)</w:t>
            </w:r>
          </w:p>
        </w:tc>
      </w:tr>
    </w:tbl>
    <w:p>
      <w:pPr>
        <w:spacing w:after="0" w:before="0" w:line="240"/>
        <w:ind w:firstLine="0"/>
        <w:jc w:val="both"/>
      </w:pPr>
      <w:r>
        <w:rPr>
          <w:rFonts w:ascii="Times New Roman" w:cs="Times New Roman" w:eastAsia="Times New Roman" w:hAnsi="Times New Roman"/>
          <w:sz w:val="20"/>
          <w:szCs w:val="20"/>
        </w:rPr>
        <w:t xml:space="preserve">Both metrics therefore use the same accumulation scheme, so the optimal image scale value is not lower than the optimal dataset scale value. Average precision (AP) is the area under the dataset-level precision-recall curve computed from the same accumulated counts, with the precision made monotone, rather than a mean of per-image values. In the version of this work submitted previously, the two metrics used different accumulation schemes, which is why an inconsistent ordering was reported for one method.</w:t>
      </w:r>
    </w:p>
    <w:p>
      <w:pPr>
        <w:spacing w:after="0" w:before="0" w:line="240"/>
        <w:ind w:firstLine="227"/>
        <w:jc w:val="both"/>
      </w:pPr>
      <w:r>
        <w:rPr>
          <w:rFonts w:ascii="Times New Roman" w:cs="Times New Roman" w:eastAsia="Times New Roman" w:hAnsi="Times New Roman"/>
          <w:sz w:val="20"/>
          <w:szCs w:val="20"/>
        </w:rPr>
        <w:t xml:space="preserve">To check the implementation, Canny was evaluated under the same protocol and reached ODS = 0.533 on BSDS500, which agrees to within 0.001 with the value obtained for the same detector definition in our previous work on this benchmark.</w:t>
      </w:r>
    </w:p>
    <w:p>
      <w:pPr>
        <w:spacing w:after="200" w:before="200" w:line="240"/>
        <w:ind w:firstLine="0"/>
      </w:pPr>
      <w:r>
        <w:rPr>
          <w:rFonts w:ascii="Times New Roman" w:cs="Times New Roman" w:eastAsia="Times New Roman" w:hAnsi="Times New Roman"/>
          <w:b/>
          <w:bCs/>
          <w:sz w:val="20"/>
          <w:szCs w:val="20"/>
        </w:rPr>
        <w:t xml:space="preserve">4.3 Baselines</w:t>
      </w:r>
    </w:p>
    <w:p>
      <w:pPr>
        <w:spacing w:after="0" w:before="0" w:line="240"/>
        <w:ind w:firstLine="0"/>
        <w:jc w:val="both"/>
      </w:pPr>
      <w:r>
        <w:rPr>
          <w:rFonts w:ascii="Times New Roman" w:cs="Times New Roman" w:eastAsia="Times New Roman" w:hAnsi="Times New Roman"/>
          <w:sz w:val="20"/>
          <w:szCs w:val="20"/>
        </w:rPr>
        <w:t xml:space="preserve">Five handcrafted baselines are compared. Canny [4] and Sobel [5] are gradient-based detectors and serve as low-cost reference points. Phase Congruency [25] is a multi-scale detector that does not rely on a Gabor kernel. GWC [8] and GWi are the closest baselines because they share the Gabor structure with A-GWi but apply fixed parameters across the image, so the contrast against them isolates the effect of the per-pixel computation. Table 3 lists the configuration of each method.</w:t>
      </w:r>
    </w:p>
    <w:p>
      <w:pPr>
        <w:spacing w:after="0" w:before="0" w:line="240"/>
        <w:ind w:firstLine="227"/>
        <w:jc w:val="both"/>
      </w:pPr>
      <w:r>
        <w:rPr>
          <w:rFonts w:ascii="Times New Roman" w:cs="Times New Roman" w:eastAsia="Times New Roman" w:hAnsi="Times New Roman"/>
          <w:sz w:val="20"/>
          <w:szCs w:val="20"/>
        </w:rPr>
        <w:t xml:space="preserve">Canny is evaluated as the Gaussian-smoothed gradient magnitude before non-maximum suppression and hysteresis, so that all six methods produce continuous maps that the threshold sweep traverses identically. The value obtained is below the figure commonly cited for Canny on BSDS500 [40], which is obtained with non-maximum suppression applied internally and without histogram equalization.</w:t>
      </w:r>
    </w:p>
    <w:p>
      <w:pPr>
        <w:spacing w:after="0" w:before="0" w:line="240"/>
        <w:ind w:firstLine="227"/>
        <w:jc w:val="both"/>
      </w:pPr>
      <w:r>
        <w:rPr>
          <w:rFonts w:ascii="Times New Roman" w:cs="Times New Roman" w:eastAsia="Times New Roman" w:hAnsi="Times New Roman"/>
          <w:sz w:val="20"/>
          <w:szCs w:val="20"/>
        </w:rPr>
        <w:t xml:space="preserve">All six methods receive identical input: grayscale conversion, histogram equalization, and normalisation to the range from 0 to 1. All six use reflection padding at the image border and the same thinning, matching, and threshold sweep. In the version submitted previously, Canny received the grayscale image before histogram equalization while the other five methods received the equalized image, and the two static Gabor baselines used zero padding while A-GWi used reflection padding. Both differences have been removed and all results recomputed.</w:t>
      </w:r>
    </w:p>
    <w:p>
      <w:pPr>
        <w:sectPr>
          <w:type w:val="continuous"/>
          <w:pgSz w:w="11906" w:h="16838" w:orient="portrait"/>
          <w:pgMar w:top="1077" w:right="1077" w:bottom="1077" w:left="1077" w:header="708" w:footer="708" w:gutter="0"/>
          <w:pgNumType/>
          <w:cols w:space="397" w:num="2" w:equalWidth="true"/>
          <w:docGrid w:linePitch="360"/>
        </w:sectPr>
      </w:pPr>
    </w:p>
    <w:p>
      <w:pPr>
        <w:spacing w:after="120" w:before="240" w:line="240"/>
        <w:ind w:firstLine="0"/>
        <w:jc w:val="center"/>
      </w:pPr>
      <w:r>
        <w:rPr>
          <w:rFonts w:ascii="Times New Roman" w:cs="Times New Roman" w:eastAsia="Times New Roman" w:hAnsi="Times New Roman"/>
          <w:b/>
          <w:bCs/>
          <w:sz w:val="18"/>
          <w:szCs w:val="18"/>
        </w:rPr>
        <w:t xml:space="preserve">Table 3.</w:t>
      </w:r>
      <w:r>
        <w:rPr>
          <w:rFonts w:ascii="Times New Roman" w:cs="Times New Roman" w:eastAsia="Times New Roman" w:hAnsi="Times New Roman"/>
          <w:sz w:val="18"/>
          <w:szCs w:val="18"/>
        </w:rPr>
        <w:t xml:space="preserve"> Baseline configurations. GWC denotes the complex Gabor wavelet, GWi the imaginary-only Gabor wavelet, and A-GWi the Adaptive Imaginary Gabor Wavelet. All methods receive the same preprocessing, border handling, thinning, and threshold sweep</w:t>
      </w:r>
    </w:p>
    <w:tbl>
      <w:tblPr>
        <w:tblW w:type="dxa" w:w="9752"/>
        <w:tblBorders>
          <w:top w:val="none" w:color="FFFFFF" w:sz="0"/>
          <w:left w:val="none" w:color="FFFFFF" w:sz="0"/>
          <w:bottom w:val="none" w:color="FFFFFF" w:sz="0"/>
          <w:right w:val="none" w:color="FFFFFF" w:sz="0"/>
          <w:insideH w:val="none" w:color="FFFFFF" w:sz="0"/>
          <w:insideV w:val="none" w:color="FFFFFF" w:sz="0"/>
        </w:tblBorders>
      </w:tblPr>
      <w:tblGrid>
        <w:gridCol w:w="1500"/>
        <w:gridCol w:w="4300"/>
        <w:gridCol w:w="3952"/>
      </w:tblGrid>
      <w:tr>
        <w:trPr>
          <w:tblHeader/>
        </w:trPr>
        <w:tc>
          <w:tcPr>
            <w:tcW w:type="dxa" w:w="15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Method</w:t>
            </w:r>
          </w:p>
        </w:tc>
        <w:tc>
          <w:tcPr>
            <w:tcW w:type="dxa" w:w="43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Filter parameters</w:t>
            </w:r>
          </w:p>
        </w:tc>
        <w:tc>
          <w:tcPr>
            <w:tcW w:type="dxa" w:w="395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Output</w:t>
            </w:r>
          </w:p>
        </w:tc>
      </w:tr>
      <w:t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Canny</w:t>
            </w:r>
          </w:p>
        </w:tc>
        <w:tc>
          <w:tcPr>
            <w:tcW w:type="dxa" w:w="4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Gaussian σ = 1.4, Sobel aperture 3</w:t>
            </w:r>
          </w:p>
        </w:tc>
        <w:tc>
          <w:tcPr>
            <w:tcW w:type="dxa" w:w="39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Gradient magnitude, continuous</w:t>
            </w:r>
          </w:p>
        </w:tc>
      </w:tr>
      <w:t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Sobel</w:t>
            </w:r>
          </w:p>
        </w:tc>
        <w:tc>
          <w:tcPr>
            <w:tcW w:type="dxa" w:w="4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Aperture 3</w:t>
            </w:r>
          </w:p>
        </w:tc>
        <w:tc>
          <w:tcPr>
            <w:tcW w:type="dxa" w:w="39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L2 gradient magnitude</w:t>
            </w:r>
          </w:p>
        </w:tc>
      </w:tr>
      <w:t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Phase Congruency</w:t>
            </w:r>
          </w:p>
        </w:tc>
        <w:tc>
          <w:tcPr>
            <w:tcW w:type="dxa" w:w="4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4 scales, 6 orientations, minimum wavelength 3, multiplier 2.1, filter bandwidth 0.55, noise factor 2.0</w:t>
            </w:r>
          </w:p>
        </w:tc>
        <w:tc>
          <w:tcPr>
            <w:tcW w:type="dxa" w:w="39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Phase congruency map</w:t>
            </w:r>
          </w:p>
        </w:tc>
      </w:tr>
      <w:t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GWC</w:t>
            </w:r>
          </w:p>
        </w:tc>
        <w:tc>
          <w:tcPr>
            <w:tcW w:type="dxa" w:w="4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k = 7, wavelength 4, σ = 0.56 × wavelength, γ = 0.5, N = 8</w:t>
            </w:r>
          </w:p>
        </w:tc>
        <w:tc>
          <w:tcPr>
            <w:tcW w:type="dxa" w:w="39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Energy of the real and imaginary pair, maximum over orientations</w:t>
            </w:r>
          </w:p>
        </w:tc>
      </w:tr>
      <w:t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GWi</w:t>
            </w:r>
          </w:p>
        </w:tc>
        <w:tc>
          <w:tcPr>
            <w:tcW w:type="dxa" w:w="4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As GWC</w:t>
            </w:r>
          </w:p>
        </w:tc>
        <w:tc>
          <w:tcPr>
            <w:tcW w:type="dxa" w:w="39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Absolute imaginary response, maximum over orientations</w:t>
            </w:r>
          </w:p>
        </w:tc>
      </w:tr>
      <w:tr>
        <w:tc>
          <w:tcPr>
            <w:tcW w:type="dxa" w:w="15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A-GWi</w:t>
            </w:r>
          </w:p>
        </w:tc>
        <w:tc>
          <w:tcPr>
            <w:tcW w:type="dxa" w:w="43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See Table 2</w:t>
            </w:r>
          </w:p>
        </w:tc>
        <w:tc>
          <w:tcPr>
            <w:tcW w:type="dxa" w:w="3952"/>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Absolute imaginary response, maximum over orientations</w:t>
            </w:r>
          </w:p>
        </w:tc>
      </w:tr>
    </w:tbl>
    <w:p>
      <w:pPr>
        <w:spacing w:after="200" w:before="0" w:line="240"/>
        <w:ind w:firstLine="0"/>
        <w:jc w:val="both"/>
      </w:pPr>
      <w:r>
        <w:rPr>
          <w:rFonts w:ascii="Times New Roman" w:cs="Times New Roman" w:eastAsia="Times New Roman" w:hAnsi="Times New Roman"/>
          <w:sz w:val="20"/>
          <w:szCs w:val="20"/>
        </w:rPr>
        <w:t xml:space="preserve"/>
      </w:r>
    </w:p>
    <w:p>
      <w:pPr>
        <w:sectPr>
          <w:type w:val="continuous"/>
          <w:pgSz w:w="11906" w:h="16838" w:orient="portrait"/>
          <w:pgMar w:top="1077" w:right="1077" w:bottom="1077" w:left="1077" w:header="708" w:footer="708" w:gutter="0"/>
          <w:pgNumType/>
          <w:cols w:num="1"/>
          <w:docGrid w:linePitch="360"/>
        </w:sectPr>
      </w:pPr>
    </w:p>
    <w:p>
      <w:pPr>
        <w:spacing w:after="200" w:before="200" w:line="240"/>
        <w:ind w:firstLine="0"/>
      </w:pPr>
      <w:r>
        <w:rPr>
          <w:rFonts w:ascii="Times New Roman" w:cs="Times New Roman" w:eastAsia="Times New Roman" w:hAnsi="Times New Roman"/>
          <w:b/>
          <w:bCs/>
          <w:sz w:val="20"/>
          <w:szCs w:val="20"/>
        </w:rPr>
        <w:t xml:space="preserve">4.4 Parameter verification</w:t>
      </w:r>
    </w:p>
    <w:p>
      <w:pPr>
        <w:spacing w:after="0" w:before="0" w:line="240"/>
        <w:ind w:firstLine="0"/>
        <w:jc w:val="both"/>
      </w:pPr>
      <w:r>
        <w:rPr>
          <w:rFonts w:ascii="Times New Roman" w:cs="Times New Roman" w:eastAsia="Times New Roman" w:hAnsi="Times New Roman"/>
          <w:sz w:val="20"/>
          <w:szCs w:val="20"/>
        </w:rPr>
        <w:t xml:space="preserve">The sigmoid parameters were verified on the BSDS500 validation split of 100 images, which is separate from the test split used for all reported results. No test image was used at any stage of parameter selection. The search covered fmin in {0.03, 0.05, 0.08, 0.12} and ks in {5, 25}. The upper bound fmax was excluded because a separate sweep over {0.25, 0.35, 0.45, 0.55} changed ODS by 0.0009 in total, with no pairwise difference reaching significance. Table 4 reports the grid and Figure 3 plots it.</w:t>
      </w:r>
    </w:p>
    <w:p>
      <w:pPr>
        <w:spacing w:after="0" w:before="0" w:line="240"/>
        <w:ind w:firstLine="227"/>
        <w:jc w:val="both"/>
      </w:pPr>
      <w:r>
        <w:rPr>
          <w:rFonts w:ascii="Times New Roman" w:cs="Times New Roman" w:eastAsia="Times New Roman" w:hAnsi="Times New Roman"/>
          <w:sz w:val="20"/>
          <w:szCs w:val="20"/>
        </w:rPr>
        <w:t xml:space="preserve">The values used in this work, fmin = 0.05 and ks = 25, are supported by the grid. The steepness ks = 25 gives a higher validation ODS than ks = 5 at every fmin, by between 0.038 and 0.104. The lower bound fmin = 0.05 reaches a validation ODS of 0.531 against a best of 0.534 at fmin = 0.08, a difference of 0.002 against a standard error of approximately 0.012, so the two are not separable on this split and the original setting is retained.</w:t>
      </w:r>
    </w:p>
    <w:p>
      <w:pPr>
        <w:spacing w:after="0" w:before="0" w:line="240"/>
        <w:ind w:firstLine="227"/>
        <w:jc w:val="both"/>
      </w:pPr>
      <w:r>
        <w:rPr>
          <w:rFonts w:ascii="Times New Roman" w:cs="Times New Roman" w:eastAsia="Times New Roman" w:hAnsi="Times New Roman"/>
          <w:sz w:val="20"/>
          <w:szCs w:val="20"/>
        </w:rPr>
        <w:t xml:space="preserve">One property of the grid is worth noting. At ks = 5 the sigmoid transition is wider, so the modulation is active at more pixels; the validation ODS is lower at every fmin and the per-image standard deviation is higher, between 0.139 and 0.197 against 0.119 to 0.137 at ks = 25. This is consistent with the ablation in Section 5.3, where making the modulation fully active also lowers accuracy.</w:t>
      </w:r>
    </w:p>
    <w:p>
      <w:pPr>
        <w:spacing w:after="200" w:before="200" w:line="240"/>
        <w:ind w:firstLine="0"/>
      </w:pPr>
      <w:r>
        <w:rPr>
          <w:rFonts w:ascii="Times New Roman" w:cs="Times New Roman" w:eastAsia="Times New Roman" w:hAnsi="Times New Roman"/>
          <w:b/>
          <w:bCs/>
          <w:sz w:val="20"/>
          <w:szCs w:val="20"/>
        </w:rPr>
        <w:t xml:space="preserve">4.5 Hardware and software</w:t>
      </w:r>
    </w:p>
    <w:p>
      <w:pPr>
        <w:spacing w:after="0" w:before="0" w:line="240"/>
        <w:ind w:firstLine="0"/>
        <w:jc w:val="both"/>
      </w:pPr>
      <w:r>
        <w:rPr>
          <w:rFonts w:ascii="Times New Roman" w:cs="Times New Roman" w:eastAsia="Times New Roman" w:hAnsi="Times New Roman"/>
          <w:sz w:val="20"/>
          <w:szCs w:val="20"/>
        </w:rPr>
        <w:t xml:space="preserve">All methods run on the same single-threaded configuration on an Intel Core i5-14400 with 16 GB of memory, with the thread counts of the linear algebra and image processing libraries forced to one, so that runtime reflects algorithmic cost per image and not the degree of parallelism available on the host. The just-in-time compiler is warmed before timing so that compilation overhead is excluded. The software stack is Python 3.13 with OpenCV 4.13, NumPy, scikit-image, and Numba.</w:t>
      </w:r>
    </w:p>
    <w:p>
      <w:pPr>
        <w:sectPr>
          <w:type w:val="continuous"/>
          <w:pgSz w:w="11906" w:h="16838" w:orient="portrait"/>
          <w:pgMar w:top="1077" w:right="1077" w:bottom="1077" w:left="1077" w:header="708" w:footer="708" w:gutter="0"/>
          <w:pgNumType/>
          <w:cols w:space="397" w:num="2" w:equalWidth="true"/>
          <w:docGrid w:linePitch="360"/>
        </w:sectPr>
      </w:pPr>
    </w:p>
    <w:p>
      <w:pPr>
        <w:spacing w:after="120" w:before="240" w:line="240"/>
        <w:ind w:firstLine="0"/>
        <w:jc w:val="center"/>
      </w:pPr>
      <w:r>
        <w:rPr>
          <w:rFonts w:ascii="Times New Roman" w:cs="Times New Roman" w:eastAsia="Times New Roman" w:hAnsi="Times New Roman"/>
          <w:b/>
          <w:bCs/>
          <w:sz w:val="18"/>
          <w:szCs w:val="18"/>
        </w:rPr>
        <w:t xml:space="preserve">Table 4.</w:t>
      </w:r>
      <w:r>
        <w:rPr>
          <w:rFonts w:ascii="Times New Roman" w:cs="Times New Roman" w:eastAsia="Times New Roman" w:hAnsi="Times New Roman"/>
          <w:sz w:val="18"/>
          <w:szCs w:val="18"/>
        </w:rPr>
        <w:t xml:space="preserve"> Parameter verification on the Berkeley Segmentation Dataset 500 validation split of 100 images. ODS, OIS, and AP denote the optimal dataset scale F-measure, the optimal image scale F-measure, and average precision. Best validation ODS in bold; the setting used throughout this work is marked with a dagger</w:t>
      </w:r>
    </w:p>
    <w:tbl>
      <w:tblPr>
        <w:tblW w:type="dxa" w:w="9752"/>
        <w:tblBorders>
          <w:top w:val="none" w:color="FFFFFF" w:sz="0"/>
          <w:left w:val="none" w:color="FFFFFF" w:sz="0"/>
          <w:bottom w:val="none" w:color="FFFFFF" w:sz="0"/>
          <w:right w:val="none" w:color="FFFFFF" w:sz="0"/>
          <w:insideH w:val="none" w:color="FFFFFF" w:sz="0"/>
          <w:insideV w:val="none" w:color="FFFFFF" w:sz="0"/>
        </w:tblBorders>
      </w:tblPr>
      <w:tblGrid>
        <w:gridCol w:w="1200"/>
        <w:gridCol w:w="1000"/>
        <w:gridCol w:w="1400"/>
        <w:gridCol w:w="1400"/>
        <w:gridCol w:w="1400"/>
        <w:gridCol w:w="3352"/>
      </w:tblGrid>
      <w:tr>
        <w:trPr>
          <w:tblHeader/>
        </w:trPr>
        <w:tc>
          <w:tcPr>
            <w:tcW w:type="dxa" w:w="12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fmin</w:t>
            </w:r>
          </w:p>
        </w:tc>
        <w:tc>
          <w:tcPr>
            <w:tcW w:type="dxa" w:w="10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ks</w:t>
            </w:r>
          </w:p>
        </w:tc>
        <w:tc>
          <w:tcPr>
            <w:tcW w:type="dxa" w:w="14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ODS</w:t>
            </w:r>
          </w:p>
        </w:tc>
        <w:tc>
          <w:tcPr>
            <w:tcW w:type="dxa" w:w="14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OIS</w:t>
            </w:r>
          </w:p>
        </w:tc>
        <w:tc>
          <w:tcPr>
            <w:tcW w:type="dxa" w:w="14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AP</w:t>
            </w:r>
          </w:p>
        </w:tc>
        <w:tc>
          <w:tcPr>
            <w:tcW w:type="dxa" w:w="335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Per-image F standard deviation</w:t>
            </w:r>
          </w:p>
        </w:tc>
      </w:tr>
      <w:t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0.03</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5</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0.488</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0.545</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0.410</w:t>
            </w:r>
          </w:p>
        </w:tc>
        <w:tc>
          <w:tcPr>
            <w:tcW w:type="dxa" w:w="33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0.197</w:t>
            </w:r>
          </w:p>
        </w:tc>
      </w:tr>
      <w:t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0.03</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25</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0.526</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0.558</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0.489</w:t>
            </w:r>
          </w:p>
        </w:tc>
        <w:tc>
          <w:tcPr>
            <w:tcW w:type="dxa" w:w="33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0.123</w:t>
            </w:r>
          </w:p>
        </w:tc>
      </w:tr>
      <w:t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0.05</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5</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0.460</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0.518</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0.364</w:t>
            </w:r>
          </w:p>
        </w:tc>
        <w:tc>
          <w:tcPr>
            <w:tcW w:type="dxa" w:w="33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0.167</w:t>
            </w:r>
          </w:p>
        </w:tc>
      </w:tr>
      <w:t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0.05</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25</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0.531†</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0.565</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0.492</w:t>
            </w:r>
          </w:p>
        </w:tc>
        <w:tc>
          <w:tcPr>
            <w:tcW w:type="dxa" w:w="33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0.119</w:t>
            </w:r>
          </w:p>
        </w:tc>
      </w:tr>
      <w:t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0.08</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5</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0.429</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0.488</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0.333</w:t>
            </w:r>
          </w:p>
        </w:tc>
        <w:tc>
          <w:tcPr>
            <w:tcW w:type="dxa" w:w="33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0.140</w:t>
            </w:r>
          </w:p>
        </w:tc>
      </w:tr>
      <w:t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0.08</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25</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0.534</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0.567</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0.484</w:t>
            </w:r>
          </w:p>
        </w:tc>
        <w:tc>
          <w:tcPr>
            <w:tcW w:type="dxa" w:w="33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0.121</w:t>
            </w:r>
          </w:p>
        </w:tc>
      </w:tr>
      <w:t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0.12</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5</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0.420</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0.480</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0.321</w:t>
            </w:r>
          </w:p>
        </w:tc>
        <w:tc>
          <w:tcPr>
            <w:tcW w:type="dxa" w:w="33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0.139</w:t>
            </w:r>
          </w:p>
        </w:tc>
      </w:tr>
      <w:tr>
        <w:tc>
          <w:tcPr>
            <w:tcW w:type="dxa" w:w="12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0.12</w:t>
            </w:r>
          </w:p>
        </w:tc>
        <w:tc>
          <w:tcPr>
            <w:tcW w:type="dxa" w:w="10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25</w:t>
            </w:r>
          </w:p>
        </w:tc>
        <w:tc>
          <w:tcPr>
            <w:tcW w:type="dxa" w:w="14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0.510</w:t>
            </w:r>
          </w:p>
        </w:tc>
        <w:tc>
          <w:tcPr>
            <w:tcW w:type="dxa" w:w="14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0.551</w:t>
            </w:r>
          </w:p>
        </w:tc>
        <w:tc>
          <w:tcPr>
            <w:tcW w:type="dxa" w:w="14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0.429</w:t>
            </w:r>
          </w:p>
        </w:tc>
        <w:tc>
          <w:tcPr>
            <w:tcW w:type="dxa" w:w="3352"/>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0.137</w:t>
            </w:r>
          </w:p>
        </w:tc>
      </w:tr>
    </w:tbl>
    <w:p>
      <w:pPr>
        <w:spacing w:after="200" w:before="100"/>
        <w:ind w:firstLine="0"/>
        <w:jc w:val="left"/>
      </w:pPr>
      <w:r>
        <w:rPr>
          <w:rFonts w:ascii="Times New Roman" w:cs="Times New Roman" w:eastAsia="Times New Roman" w:hAnsi="Times New Roman"/>
          <w:sz w:val="16"/>
          <w:szCs w:val="16"/>
        </w:rPr>
        <w:t xml:space="preserve">Note: The difference between fmin = 0.05 and fmin = 0.08 is 0.002 against a standard error of approximately 0.012.</w:t>
      </w:r>
    </w:p>
    <w:tbl>
      <w:tblPr>
        <w:tblW w:type="auto" w:w="100"/>
        <w:tblBorders>
          <w:top w:val="dashed" w:color="808080" w:sz="6"/>
          <w:left w:val="dashed" w:color="808080" w:sz="6"/>
          <w:bottom w:val="dashed" w:color="808080" w:sz="6"/>
          <w:right w:val="dashed" w:color="808080" w:sz="6"/>
          <w:insideH w:val="none" w:color="FFFFFF" w:sz="0"/>
          <w:insideV w:val="none" w:color="FFFFFF" w:sz="0"/>
        </w:tblBorders>
      </w:tblPr>
      <w:tblGrid>
        <w:gridCol w:w="9752"/>
      </w:tblGrid>
      <w:tr>
        <w:tc>
          <w:tcPr>
            <w:tcW w:type="dxa" w:w="9752"/>
            <w:tcMar>
              <w:top w:type="dxa" w:w="400"/>
              <w:left w:type="dxa" w:w="100"/>
              <w:bottom w:type="dxa" w:w="400"/>
              <w:right w:type="dxa" w:w="100"/>
            </w:tcMar>
          </w:tcPr>
          <w:p>
            <w:pPr>
              <w:ind w:firstLine="0"/>
              <w:jc w:val="center"/>
            </w:pPr>
            <w:r>
              <w:rPr>
                <w:rFonts w:ascii="Times New Roman" w:cs="Times New Roman" w:eastAsia="Times New Roman" w:hAnsi="Times New Roman"/>
                <w:i/>
                <w:iCs/>
                <w:sz w:val="18"/>
                <w:szCs w:val="18"/>
              </w:rPr>
              <w:t xml:space="preserve">[ Figure 3 placeholder: validation grid, two panels ]</w:t>
            </w:r>
          </w:p>
        </w:tc>
      </w:tr>
    </w:tbl>
    <w:p>
      <w:pPr>
        <w:spacing w:after="200" w:before="200" w:line="240"/>
        <w:ind w:firstLine="0"/>
        <w:jc w:val="center"/>
      </w:pPr>
      <w:r>
        <w:rPr>
          <w:rFonts w:ascii="Times New Roman" w:cs="Times New Roman" w:eastAsia="Times New Roman" w:hAnsi="Times New Roman"/>
          <w:b/>
          <w:bCs/>
          <w:sz w:val="18"/>
          <w:szCs w:val="18"/>
        </w:rPr>
        <w:t xml:space="preserve">Figure 3.</w:t>
      </w:r>
      <w:r>
        <w:rPr>
          <w:rFonts w:ascii="Times New Roman" w:cs="Times New Roman" w:eastAsia="Times New Roman" w:hAnsi="Times New Roman"/>
          <w:sz w:val="18"/>
          <w:szCs w:val="18"/>
        </w:rPr>
        <w:t xml:space="preserve"> Parameter verification on the Berkeley Segmentation Dataset 500 validation split. (a) Optimal dataset scale F-measure across the search grid, with the setting used in this work circled. (b) Standard deviation of the per-image F-measure</w:t>
      </w:r>
    </w:p>
    <w:p>
      <w:pPr>
        <w:sectPr>
          <w:type w:val="continuous"/>
          <w:pgSz w:w="11906" w:h="16838" w:orient="portrait"/>
          <w:pgMar w:top="1077" w:right="1077" w:bottom="1077" w:left="1077" w:header="708" w:footer="708" w:gutter="0"/>
          <w:pgNumType/>
          <w:cols w:num="1"/>
          <w:docGrid w:linePitch="360"/>
        </w:sectPr>
      </w:pPr>
    </w:p>
    <w:p>
      <w:pPr>
        <w:spacing w:after="200" w:before="400" w:line="240"/>
        <w:ind w:firstLine="0"/>
      </w:pPr>
      <w:r>
        <w:rPr>
          <w:rFonts w:ascii="Times New Roman" w:cs="Times New Roman" w:eastAsia="Times New Roman" w:hAnsi="Times New Roman"/>
          <w:b/>
          <w:bCs/>
          <w:sz w:val="20"/>
          <w:szCs w:val="20"/>
        </w:rPr>
        <w:t xml:space="preserve">5. RESULTS AND DISCUSSION</w:t>
      </w:r>
    </w:p>
    <w:p>
      <w:pPr>
        <w:spacing w:after="200" w:before="200" w:line="240"/>
        <w:ind w:firstLine="0"/>
      </w:pPr>
      <w:r>
        <w:rPr>
          <w:rFonts w:ascii="Times New Roman" w:cs="Times New Roman" w:eastAsia="Times New Roman" w:hAnsi="Times New Roman"/>
          <w:b/>
          <w:bCs/>
          <w:sz w:val="20"/>
          <w:szCs w:val="20"/>
        </w:rPr>
        <w:t xml:space="preserve">5.1 Quantitative results</w:t>
      </w:r>
    </w:p>
    <w:p>
      <w:pPr>
        <w:spacing w:after="0" w:before="0" w:line="240"/>
        <w:ind w:firstLine="0"/>
        <w:jc w:val="both"/>
      </w:pPr>
      <w:r>
        <w:rPr>
          <w:rFonts w:ascii="Times New Roman" w:cs="Times New Roman" w:eastAsia="Times New Roman" w:hAnsi="Times New Roman"/>
          <w:sz w:val="20"/>
          <w:szCs w:val="20"/>
        </w:rPr>
        <w:t xml:space="preserve">Three metrics are reported. The optimal dataset scale F-measure (ODS) is the best F-measure at a single threshold applied to every image, which reflects accuracy at one operating point chosen for the dataset as a whole. The optimal image scale F-measure (OIS) is obtained when the threshold is chosen per image, and the gap between the two indicates how much per-image tuning would add. Average precision (AP) summarises the full threshold sweep. Higher values are better for all three.</w:t>
      </w:r>
    </w:p>
    <w:p>
      <w:pPr>
        <w:spacing w:after="0" w:before="0" w:line="240"/>
        <w:ind w:firstLine="227"/>
        <w:jc w:val="both"/>
      </w:pPr>
      <w:r>
        <w:rPr>
          <w:rFonts w:ascii="Times New Roman" w:cs="Times New Roman" w:eastAsia="Times New Roman" w:hAnsi="Times New Roman"/>
          <w:sz w:val="20"/>
          <w:szCs w:val="20"/>
        </w:rPr>
        <w:t xml:space="preserve">Table 5 reports the three metrics on the BSDS500 test set with 95% confidence intervals obtained by bootstrapping over images with 2,000 resamples. A-GWi attains the highest ODS at 0.534, above Canny at 0.533, Phase Congruency at 0.524, Sobel at 0.464, GWi at 0.417, and GWC at 0.397. The ordering is consistent with the design of the methods: the static Gabor banks sit below Sobel because their fixed kernel parameters do not match the per-pixel statistics of natural scenes, which produces over-detection in homogeneous regions and lowers precision. Table 6 reports the same metrics on UDED, where Canny attains the highest ODS at 0.670 and A-GWi follows at 0.668.</w:t>
      </w:r>
    </w:p>
    <w:p>
      <w:pPr>
        <w:spacing w:after="0" w:before="0" w:line="240"/>
        <w:ind w:firstLine="227"/>
        <w:jc w:val="both"/>
      </w:pPr>
      <w:r>
        <w:rPr>
          <w:rFonts w:ascii="Times New Roman" w:cs="Times New Roman" w:eastAsia="Times New Roman" w:hAnsi="Times New Roman"/>
          <w:sz w:val="20"/>
          <w:szCs w:val="20"/>
        </w:rPr>
        <w:t xml:space="preserve">Table 7 reports the paired comparisons. A-GWi exceeds both static Gabor baselines on both datasets with p below 10⁻⁷ and effect sizes between medium and large on the Cliff scale [42], where values below 0.147 are negligible, below 0.33 small, and below 0.474 medium. The difference against Canny is not significant on either dataset, at p = 0.82 on BSDS500 and p = 0.82 on UDED, so the two are not separable on this evidence. Against Phase Congruency the effect size differs between datasets, negligible on BSDS500 at 0.137 and medium on UDED at 0.442. The confidence intervals on UDED are wide because the dataset contains 30 images, and the interval for A-GWi overlaps those of Canny and Sobel. Figure 4 plots the precision-recall curves for both datasets.</w:t>
      </w:r>
    </w:p>
    <w:p>
      <w:pPr>
        <w:sectPr>
          <w:type w:val="continuous"/>
          <w:pgSz w:w="11906" w:h="16838" w:orient="portrait"/>
          <w:pgMar w:top="1077" w:right="1077" w:bottom="1077" w:left="1077" w:header="708" w:footer="708" w:gutter="0"/>
          <w:pgNumType/>
          <w:cols w:space="397" w:num="2" w:equalWidth="true"/>
          <w:docGrid w:linePitch="360"/>
        </w:sectPr>
      </w:pPr>
    </w:p>
    <w:p>
      <w:pPr>
        <w:spacing w:after="120" w:before="240" w:line="240"/>
        <w:ind w:firstLine="0"/>
        <w:jc w:val="center"/>
      </w:pPr>
      <w:r>
        <w:rPr>
          <w:rFonts w:ascii="Times New Roman" w:cs="Times New Roman" w:eastAsia="Times New Roman" w:hAnsi="Times New Roman"/>
          <w:b/>
          <w:bCs/>
          <w:sz w:val="18"/>
          <w:szCs w:val="18"/>
        </w:rPr>
        <w:t xml:space="preserve">Table 5.</w:t>
      </w:r>
      <w:r>
        <w:rPr>
          <w:rFonts w:ascii="Times New Roman" w:cs="Times New Roman" w:eastAsia="Times New Roman" w:hAnsi="Times New Roman"/>
          <w:sz w:val="18"/>
          <w:szCs w:val="18"/>
        </w:rPr>
        <w:t xml:space="preserve"> Results on the Berkeley Segmentation Dataset 500 test set of 200 images, with 95% confidence intervals from 2,000 bootstrap resamples over images. ODS, OIS, and AP denote the optimal dataset scale F-measure, the optimal image scale F-measure, and average precision. GWC is the complex Gabor wavelet, GWi the imaginary-only Gabor wavelet, and A-GWi the Adaptive Imaginary Gabor Wavelet. Best value per column in bold</w:t>
      </w:r>
    </w:p>
    <w:tbl>
      <w:tblPr>
        <w:tblW w:type="dxa" w:w="9752"/>
        <w:tblBorders>
          <w:top w:val="none" w:color="FFFFFF" w:sz="0"/>
          <w:left w:val="none" w:color="FFFFFF" w:sz="0"/>
          <w:bottom w:val="none" w:color="FFFFFF" w:sz="0"/>
          <w:right w:val="none" w:color="FFFFFF" w:sz="0"/>
          <w:insideH w:val="none" w:color="FFFFFF" w:sz="0"/>
          <w:insideV w:val="none" w:color="FFFFFF" w:sz="0"/>
        </w:tblBorders>
      </w:tblPr>
      <w:tblGrid>
        <w:gridCol w:w="1750"/>
        <w:gridCol w:w="900"/>
        <w:gridCol w:w="1650"/>
        <w:gridCol w:w="900"/>
        <w:gridCol w:w="1650"/>
        <w:gridCol w:w="900"/>
        <w:gridCol w:w="2002"/>
      </w:tblGrid>
      <w:tr>
        <w:trPr>
          <w:tblHeader/>
        </w:trPr>
        <w:tc>
          <w:tcPr>
            <w:tcW w:type="dxa" w:w="175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Method</w:t>
            </w:r>
          </w:p>
        </w:tc>
        <w:tc>
          <w:tcPr>
            <w:tcW w:type="dxa" w:w="9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ODS</w:t>
            </w:r>
          </w:p>
        </w:tc>
        <w:tc>
          <w:tcPr>
            <w:tcW w:type="dxa" w:w="165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95% CI</w:t>
            </w:r>
          </w:p>
        </w:tc>
        <w:tc>
          <w:tcPr>
            <w:tcW w:type="dxa" w:w="9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OIS</w:t>
            </w:r>
          </w:p>
        </w:tc>
        <w:tc>
          <w:tcPr>
            <w:tcW w:type="dxa" w:w="165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95% CI</w:t>
            </w:r>
          </w:p>
        </w:tc>
        <w:tc>
          <w:tcPr>
            <w:tcW w:type="dxa" w:w="9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AP</w:t>
            </w:r>
          </w:p>
        </w:tc>
        <w:tc>
          <w:tcPr>
            <w:tcW w:type="dxa" w:w="200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95% CI</w:t>
            </w:r>
          </w:p>
        </w:tc>
      </w:tr>
      <w:tr>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Canny</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0.533</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[0.515, 0.552]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0.562</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[0.541, 0.582]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0.493</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[0.462, 0.523]</w:t>
            </w:r>
          </w:p>
        </w:tc>
      </w:tr>
      <w:tr>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Sobel</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0.464</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[0.446, 0.483]</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0.503</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[0.483, 0.524]</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0.406</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[0.378, 0.436]</w:t>
            </w:r>
          </w:p>
        </w:tc>
      </w:tr>
      <w:tr>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Phase Congruency</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0.524</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[0.508, 0.540]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0.542</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[0.526, 0.557]</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0.417</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[0.397, 0.437]</w:t>
            </w:r>
          </w:p>
        </w:tc>
      </w:tr>
      <w:tr>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GWC</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0.397</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[0.378, 0.417]</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0.465</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[0.450, 0.481]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0.277</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[0.255, 0.302]</w:t>
            </w:r>
          </w:p>
        </w:tc>
      </w:tr>
      <w:tr>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GWi</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0.417</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[0.399, 0.436]</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0.471</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[0.455, 0.488]</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0.320</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[0.297, 0.345]</w:t>
            </w:r>
          </w:p>
        </w:tc>
      </w:tr>
      <w:tr>
        <w:tc>
          <w:tcPr>
            <w:tcW w:type="dxa" w:w="175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A-GWi</w:t>
            </w:r>
          </w:p>
        </w:tc>
        <w:tc>
          <w:tcPr>
            <w:tcW w:type="dxa" w:w="9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0.534</w:t>
            </w:r>
          </w:p>
        </w:tc>
        <w:tc>
          <w:tcPr>
            <w:tcW w:type="dxa" w:w="165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[0.516, 0.553]</w:t>
            </w:r>
          </w:p>
        </w:tc>
        <w:tc>
          <w:tcPr>
            <w:tcW w:type="dxa" w:w="9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0.566</w:t>
            </w:r>
          </w:p>
        </w:tc>
        <w:tc>
          <w:tcPr>
            <w:tcW w:type="dxa" w:w="165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[0.547, 0.584]</w:t>
            </w:r>
          </w:p>
        </w:tc>
        <w:tc>
          <w:tcPr>
            <w:tcW w:type="dxa" w:w="9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0.485</w:t>
            </w:r>
          </w:p>
        </w:tc>
        <w:tc>
          <w:tcPr>
            <w:tcW w:type="dxa" w:w="2002"/>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[0.459, 0.512]</w:t>
            </w:r>
          </w:p>
        </w:tc>
      </w:tr>
    </w:tbl>
    <w:p>
      <w:pPr>
        <w:spacing w:after="200" w:before="0" w:line="240"/>
        <w:ind w:firstLine="0"/>
        <w:jc w:val="both"/>
      </w:pPr>
      <w:r>
        <w:rPr>
          <w:rFonts w:ascii="Times New Roman" w:cs="Times New Roman" w:eastAsia="Times New Roman" w:hAnsi="Times New Roman"/>
          <w:sz w:val="20"/>
          <w:szCs w:val="20"/>
        </w:rPr>
        <w:t xml:space="preserve"/>
      </w:r>
    </w:p>
    <w:p>
      <w:pPr>
        <w:spacing w:after="120" w:before="240" w:line="240"/>
        <w:ind w:firstLine="0"/>
        <w:jc w:val="center"/>
      </w:pPr>
      <w:r>
        <w:rPr>
          <w:rFonts w:ascii="Times New Roman" w:cs="Times New Roman" w:eastAsia="Times New Roman" w:hAnsi="Times New Roman"/>
          <w:b/>
          <w:bCs/>
          <w:sz w:val="18"/>
          <w:szCs w:val="18"/>
        </w:rPr>
        <w:t xml:space="preserve">Table 6.</w:t>
      </w:r>
      <w:r>
        <w:rPr>
          <w:rFonts w:ascii="Times New Roman" w:cs="Times New Roman" w:eastAsia="Times New Roman" w:hAnsi="Times New Roman"/>
          <w:sz w:val="18"/>
          <w:szCs w:val="18"/>
        </w:rPr>
        <w:t xml:space="preserve"> Results on the Unified Dataset for Edge Detection of 30 images, with 95% confidence intervals from 2,000 bootstrap resamples over images. Abbreviations as in Table 5. Best value per column in bold</w:t>
      </w:r>
    </w:p>
    <w:tbl>
      <w:tblPr>
        <w:tblW w:type="dxa" w:w="9752"/>
        <w:tblBorders>
          <w:top w:val="none" w:color="FFFFFF" w:sz="0"/>
          <w:left w:val="none" w:color="FFFFFF" w:sz="0"/>
          <w:bottom w:val="none" w:color="FFFFFF" w:sz="0"/>
          <w:right w:val="none" w:color="FFFFFF" w:sz="0"/>
          <w:insideH w:val="none" w:color="FFFFFF" w:sz="0"/>
          <w:insideV w:val="none" w:color="FFFFFF" w:sz="0"/>
        </w:tblBorders>
      </w:tblPr>
      <w:tblGrid>
        <w:gridCol w:w="1750"/>
        <w:gridCol w:w="900"/>
        <w:gridCol w:w="1650"/>
        <w:gridCol w:w="900"/>
        <w:gridCol w:w="1650"/>
        <w:gridCol w:w="900"/>
        <w:gridCol w:w="2002"/>
      </w:tblGrid>
      <w:tr>
        <w:trPr>
          <w:tblHeader/>
        </w:trPr>
        <w:tc>
          <w:tcPr>
            <w:tcW w:type="dxa" w:w="175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Method</w:t>
            </w:r>
          </w:p>
        </w:tc>
        <w:tc>
          <w:tcPr>
            <w:tcW w:type="dxa" w:w="9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ODS</w:t>
            </w:r>
          </w:p>
        </w:tc>
        <w:tc>
          <w:tcPr>
            <w:tcW w:type="dxa" w:w="165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95% CI</w:t>
            </w:r>
          </w:p>
        </w:tc>
        <w:tc>
          <w:tcPr>
            <w:tcW w:type="dxa" w:w="9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OIS</w:t>
            </w:r>
          </w:p>
        </w:tc>
        <w:tc>
          <w:tcPr>
            <w:tcW w:type="dxa" w:w="165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95% CI</w:t>
            </w:r>
          </w:p>
        </w:tc>
        <w:tc>
          <w:tcPr>
            <w:tcW w:type="dxa" w:w="9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AP</w:t>
            </w:r>
          </w:p>
        </w:tc>
        <w:tc>
          <w:tcPr>
            <w:tcW w:type="dxa" w:w="200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95% CI</w:t>
            </w:r>
          </w:p>
        </w:tc>
      </w:tr>
      <w:tr>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Canny</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0.670</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[0.616, 0.720]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0.729</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[0.691, 0.758]</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0.680</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[0.624, 0.732]</w:t>
            </w:r>
          </w:p>
        </w:tc>
      </w:tr>
      <w:tr>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Sobel</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0.637</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[0.576, 0.696]</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0.713</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[0.669, 0.747]</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0.647</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[0.577, 0.712]</w:t>
            </w:r>
          </w:p>
        </w:tc>
      </w:tr>
      <w:tr>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Phase Congruency</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0.568</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[0.532, 0.604]</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0.619</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[0.589, 0.646]</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0.432</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[0.391, 0.470]</w:t>
            </w:r>
          </w:p>
        </w:tc>
      </w:tr>
      <w:tr>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GWC</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0.507</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[0.454, 0.575]</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0.586</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[0.537, 0.633]</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0.366</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[0.298, 0.455]</w:t>
            </w:r>
          </w:p>
        </w:tc>
      </w:tr>
      <w:tr>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GWi</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0.580</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[0.524, 0.631]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0.657</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[0.617, 0.690]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0.532</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[0.472, 0.590]</w:t>
            </w:r>
          </w:p>
        </w:tc>
      </w:tr>
      <w:tr>
        <w:tc>
          <w:tcPr>
            <w:tcW w:type="dxa" w:w="175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A-GWi</w:t>
            </w:r>
          </w:p>
        </w:tc>
        <w:tc>
          <w:tcPr>
            <w:tcW w:type="dxa" w:w="9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0.668</w:t>
            </w:r>
          </w:p>
        </w:tc>
        <w:tc>
          <w:tcPr>
            <w:tcW w:type="dxa" w:w="165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[0.616, 0.714]</w:t>
            </w:r>
          </w:p>
        </w:tc>
        <w:tc>
          <w:tcPr>
            <w:tcW w:type="dxa" w:w="9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0.724</w:t>
            </w:r>
          </w:p>
        </w:tc>
        <w:tc>
          <w:tcPr>
            <w:tcW w:type="dxa" w:w="165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[0.686, 0.753]</w:t>
            </w:r>
          </w:p>
        </w:tc>
        <w:tc>
          <w:tcPr>
            <w:tcW w:type="dxa" w:w="9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0.653</w:t>
            </w:r>
          </w:p>
        </w:tc>
        <w:tc>
          <w:tcPr>
            <w:tcW w:type="dxa" w:w="2002"/>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[0.604, 0.698]</w:t>
            </w:r>
          </w:p>
        </w:tc>
      </w:tr>
    </w:tbl>
    <w:p>
      <w:pPr>
        <w:spacing w:after="200" w:before="0" w:line="240"/>
        <w:ind w:firstLine="0"/>
        <w:jc w:val="both"/>
      </w:pPr>
      <w:r>
        <w:rPr>
          <w:rFonts w:ascii="Times New Roman" w:cs="Times New Roman" w:eastAsia="Times New Roman" w:hAnsi="Times New Roman"/>
          <w:sz w:val="20"/>
          <w:szCs w:val="20"/>
        </w:rPr>
        <w:t xml:space="preserve"/>
      </w:r>
    </w:p>
    <w:p>
      <w:pPr>
        <w:spacing w:after="120" w:before="240" w:line="240"/>
        <w:ind w:firstLine="0"/>
        <w:jc w:val="center"/>
      </w:pPr>
      <w:r>
        <w:rPr>
          <w:rFonts w:ascii="Times New Roman" w:cs="Times New Roman" w:eastAsia="Times New Roman" w:hAnsi="Times New Roman"/>
          <w:b/>
          <w:bCs/>
          <w:sz w:val="18"/>
          <w:szCs w:val="18"/>
        </w:rPr>
        <w:t xml:space="preserve">Table 7.</w:t>
      </w:r>
      <w:r>
        <w:rPr>
          <w:rFonts w:ascii="Times New Roman" w:cs="Times New Roman" w:eastAsia="Times New Roman" w:hAnsi="Times New Roman"/>
          <w:sz w:val="18"/>
          <w:szCs w:val="18"/>
        </w:rPr>
        <w:t xml:space="preserve"> Paired comparison against the Adaptive Imaginary Gabor Wavelet using the Wilcoxon signed-rank test [41] on per-image F-measures at the optimal dataset scale threshold. The effect size is the Cliff delta [42]</w:t>
      </w:r>
    </w:p>
    <w:tbl>
      <w:tblPr>
        <w:tblW w:type="dxa" w:w="9752"/>
        <w:tblBorders>
          <w:top w:val="none" w:color="FFFFFF" w:sz="0"/>
          <w:left w:val="none" w:color="FFFFFF" w:sz="0"/>
          <w:bottom w:val="none" w:color="FFFFFF" w:sz="0"/>
          <w:right w:val="none" w:color="FFFFFF" w:sz="0"/>
          <w:insideH w:val="none" w:color="FFFFFF" w:sz="0"/>
          <w:insideV w:val="none" w:color="FFFFFF" w:sz="0"/>
        </w:tblBorders>
      </w:tblPr>
      <w:tblGrid>
        <w:gridCol w:w="2600"/>
        <w:gridCol w:w="1300"/>
        <w:gridCol w:w="1900"/>
        <w:gridCol w:w="1300"/>
        <w:gridCol w:w="1400"/>
        <w:gridCol w:w="1252"/>
      </w:tblGrid>
      <w:tr>
        <w:trPr>
          <w:tblHeader/>
        </w:trPr>
        <w:tc>
          <w:tcPr>
            <w:tcW w:type="dxa" w:w="26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Comparison</w:t>
            </w:r>
          </w:p>
        </w:tc>
        <w:tc>
          <w:tcPr>
            <w:tcW w:type="dxa" w:w="13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Dataset</w:t>
            </w:r>
          </w:p>
        </w:tc>
        <w:tc>
          <w:tcPr>
            <w:tcW w:type="dxa" w:w="19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Median difference</w:t>
            </w:r>
          </w:p>
        </w:tc>
        <w:tc>
          <w:tcPr>
            <w:tcW w:type="dxa" w:w="13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p</w:t>
            </w:r>
          </w:p>
        </w:tc>
        <w:tc>
          <w:tcPr>
            <w:tcW w:type="dxa" w:w="14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Cliff delta</w:t>
            </w:r>
          </w:p>
        </w:tc>
        <w:tc>
          <w:tcPr>
            <w:tcW w:type="dxa" w:w="125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Effect</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A-GWi vs GWC</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BSDS500</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+0.123</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3.6 × 10⁻³²</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+0.540</w:t>
            </w:r>
          </w:p>
        </w:tc>
        <w:tc>
          <w:tcPr>
            <w:tcW w:type="dxa" w:w="12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Large</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A-GWi vs GWi</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BSDS500</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+0.106</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8.7 × 10⁻³⁴</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+0.474</w:t>
            </w:r>
          </w:p>
        </w:tc>
        <w:tc>
          <w:tcPr>
            <w:tcW w:type="dxa" w:w="12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Medium</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A-GWi vs Sobel</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BSDS500</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+0.058</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3.4 × 10⁻²⁸</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+0.286</w:t>
            </w:r>
          </w:p>
        </w:tc>
        <w:tc>
          <w:tcPr>
            <w:tcW w:type="dxa" w:w="12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Small</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A-GWi vs Phase Congruency</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BSDS500</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+0.021</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1.8 × 10⁻⁸</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+0.137</w:t>
            </w:r>
          </w:p>
        </w:tc>
        <w:tc>
          <w:tcPr>
            <w:tcW w:type="dxa" w:w="12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Negligible</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A-GWi vs Canny</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BSDS500</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+0.002</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0.82</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+0.003</w:t>
            </w:r>
          </w:p>
        </w:tc>
        <w:tc>
          <w:tcPr>
            <w:tcW w:type="dxa" w:w="12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Not significant</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A-GWi vs GWC</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UDED</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+0.147</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3.5 × 10⁻⁸</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+0.578</w:t>
            </w:r>
          </w:p>
        </w:tc>
        <w:tc>
          <w:tcPr>
            <w:tcW w:type="dxa" w:w="12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Large</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A-GWi vs GWi</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UDED</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+0.094</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1.9 × 10⁻⁹</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+0.456</w:t>
            </w:r>
          </w:p>
        </w:tc>
        <w:tc>
          <w:tcPr>
            <w:tcW w:type="dxa" w:w="12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Medium</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A-GWi vs Phase Congruency</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UDED</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+0.103</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1.9 × 10⁻⁴</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+0.442</w:t>
            </w:r>
          </w:p>
        </w:tc>
        <w:tc>
          <w:tcPr>
            <w:tcW w:type="dxa" w:w="12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Medium</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A-GWi vs Sobel</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UDED</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+0.036</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1.6 × 10⁻³</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+0.116</w:t>
            </w:r>
          </w:p>
        </w:tc>
        <w:tc>
          <w:tcPr>
            <w:tcW w:type="dxa" w:w="12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Negligible</w:t>
            </w:r>
          </w:p>
        </w:tc>
      </w:tr>
      <w:tr>
        <w:tc>
          <w:tcPr>
            <w:tcW w:type="dxa" w:w="26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A-GWi vs Canny</w:t>
            </w:r>
          </w:p>
        </w:tc>
        <w:tc>
          <w:tcPr>
            <w:tcW w:type="dxa" w:w="13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UDED</w:t>
            </w:r>
          </w:p>
        </w:tc>
        <w:tc>
          <w:tcPr>
            <w:tcW w:type="dxa" w:w="19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+0.000</w:t>
            </w:r>
          </w:p>
        </w:tc>
        <w:tc>
          <w:tcPr>
            <w:tcW w:type="dxa" w:w="13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0.82</w:t>
            </w:r>
          </w:p>
        </w:tc>
        <w:tc>
          <w:tcPr>
            <w:tcW w:type="dxa" w:w="14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−0.031</w:t>
            </w:r>
          </w:p>
        </w:tc>
        <w:tc>
          <w:tcPr>
            <w:tcW w:type="dxa" w:w="1252"/>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Not significant</w:t>
            </w:r>
          </w:p>
        </w:tc>
      </w:tr>
    </w:tbl>
    <w:p>
      <w:pPr>
        <w:spacing w:after="200" w:before="0" w:line="240"/>
        <w:ind w:firstLine="0"/>
        <w:jc w:val="both"/>
      </w:pPr>
      <w:r>
        <w:rPr>
          <w:rFonts w:ascii="Times New Roman" w:cs="Times New Roman" w:eastAsia="Times New Roman" w:hAnsi="Times New Roman"/>
          <w:sz w:val="20"/>
          <w:szCs w:val="20"/>
        </w:rPr>
        <w:t xml:space="preserve"/>
      </w:r>
    </w:p>
    <w:tbl>
      <w:tblPr>
        <w:tblW w:type="auto" w:w="100"/>
        <w:tblBorders>
          <w:top w:val="dashed" w:color="808080" w:sz="6"/>
          <w:left w:val="dashed" w:color="808080" w:sz="6"/>
          <w:bottom w:val="dashed" w:color="808080" w:sz="6"/>
          <w:right w:val="dashed" w:color="808080" w:sz="6"/>
          <w:insideH w:val="none" w:color="FFFFFF" w:sz="0"/>
          <w:insideV w:val="none" w:color="FFFFFF" w:sz="0"/>
        </w:tblBorders>
      </w:tblPr>
      <w:tblGrid>
        <w:gridCol w:w="9752"/>
      </w:tblGrid>
      <w:tr>
        <w:tc>
          <w:tcPr>
            <w:tcW w:type="dxa" w:w="9752"/>
            <w:tcMar>
              <w:top w:type="dxa" w:w="400"/>
              <w:left w:type="dxa" w:w="100"/>
              <w:bottom w:type="dxa" w:w="400"/>
              <w:right w:type="dxa" w:w="100"/>
            </w:tcMar>
          </w:tcPr>
          <w:p>
            <w:pPr>
              <w:ind w:firstLine="0"/>
              <w:jc w:val="center"/>
            </w:pPr>
            <w:r>
              <w:rPr>
                <w:rFonts w:ascii="Times New Roman" w:cs="Times New Roman" w:eastAsia="Times New Roman" w:hAnsi="Times New Roman"/>
                <w:i/>
                <w:iCs/>
                <w:sz w:val="18"/>
                <w:szCs w:val="18"/>
              </w:rPr>
              <w:t xml:space="preserve">[ Figure 4 placeholder: precision-recall curves, two panels ]</w:t>
            </w:r>
          </w:p>
        </w:tc>
      </w:tr>
    </w:tbl>
    <w:p>
      <w:pPr>
        <w:spacing w:after="200" w:before="200" w:line="240"/>
        <w:ind w:firstLine="0"/>
        <w:jc w:val="center"/>
      </w:pPr>
      <w:r>
        <w:rPr>
          <w:rFonts w:ascii="Times New Roman" w:cs="Times New Roman" w:eastAsia="Times New Roman" w:hAnsi="Times New Roman"/>
          <w:b/>
          <w:bCs/>
          <w:sz w:val="18"/>
          <w:szCs w:val="18"/>
        </w:rPr>
        <w:t xml:space="preserve">Figure 4.</w:t>
      </w:r>
      <w:r>
        <w:rPr>
          <w:rFonts w:ascii="Times New Roman" w:cs="Times New Roman" w:eastAsia="Times New Roman" w:hAnsi="Times New Roman"/>
          <w:sz w:val="18"/>
          <w:szCs w:val="18"/>
        </w:rPr>
        <w:t xml:space="preserve"> Precision-recall curves for the six methods on (a) the Berkeley Segmentation Dataset 500 and (b) the Unified Dataset for Edge Detection, with iso-F contours as dotted lines and the optimal dataset scale F-measure of each method in the legend. GWC is the complex Gabor wavelet, GWi the imaginary-only Gabor wavelet, and A-GWi the Adaptive Imaginary Gabor Wavelet. The human consensus point is shown for the first dataset as a reference upper bound</w:t>
      </w:r>
    </w:p>
    <w:p>
      <w:pPr>
        <w:sectPr>
          <w:type w:val="continuous"/>
          <w:pgSz w:w="11906" w:h="16838" w:orient="portrait"/>
          <w:pgMar w:top="1077" w:right="1077" w:bottom="1077" w:left="1077" w:header="708" w:footer="708" w:gutter="0"/>
          <w:pgNumType/>
          <w:cols w:num="1"/>
          <w:docGrid w:linePitch="360"/>
        </w:sectPr>
      </w:pPr>
    </w:p>
    <w:p>
      <w:pPr>
        <w:spacing w:after="200" w:before="200" w:line="240"/>
        <w:ind w:firstLine="0"/>
      </w:pPr>
      <w:r>
        <w:rPr>
          <w:rFonts w:ascii="Times New Roman" w:cs="Times New Roman" w:eastAsia="Times New Roman" w:hAnsi="Times New Roman"/>
          <w:b/>
          <w:bCs/>
          <w:sz w:val="20"/>
          <w:szCs w:val="20"/>
        </w:rPr>
        <w:t xml:space="preserve">5.2 Validation of the activity estimate</w:t>
      </w:r>
    </w:p>
    <w:p>
      <w:pPr>
        <w:spacing w:after="0" w:before="0" w:line="240"/>
        <w:ind w:firstLine="0"/>
        <w:jc w:val="both"/>
      </w:pPr>
      <w:r>
        <w:rPr>
          <w:rFonts w:ascii="Times New Roman" w:cs="Times New Roman" w:eastAsia="Times New Roman" w:hAnsi="Times New Roman"/>
          <w:sz w:val="20"/>
          <w:szCs w:val="20"/>
        </w:rPr>
        <w:t xml:space="preserve">The quantity defined in Eqs. (3) to (6) is a smoothed gradient magnitude, so its relation to boundary density is not automatic and is verified here. Across the 200 BSDS500 test images, the Spearman correlation between the estimate and the local ground-truth boundary count in a 15 × 15 window has a median of 0.238, with an interquartile range from 0.111 to 0.361. The correlation with local intensity contrast in the same window has a median of 0.763, with an interquartile range from 0.705 to 0.811. The estimate therefore tracks local gradient activity rather than boundary density, and the term used throughout this paper reflects that.</w:t>
      </w:r>
    </w:p>
    <w:p>
      <w:pPr>
        <w:spacing w:after="0" w:before="0" w:line="240"/>
        <w:ind w:firstLine="227"/>
        <w:jc w:val="both"/>
      </w:pPr>
      <w:r>
        <w:rPr>
          <w:rFonts w:ascii="Times New Roman" w:cs="Times New Roman" w:eastAsia="Times New Roman" w:hAnsi="Times New Roman"/>
          <w:sz w:val="20"/>
          <w:szCs w:val="20"/>
        </w:rPr>
        <w:t xml:space="preserve">Two consequences follow from the definition and are measured directly. In 2.76% of pixels a high activity value coincides with a low boundary count, which occurs at isolated high-contrast edges. In 2.66% of pixels a high boundary count coincides with a low activity value, which occurs in dense low-contrast texture. Figure 7 shows the distribution of the estimate and Figure 8 shows the two correlations.</w:t>
      </w:r>
    </w:p>
    <w:p>
      <w:pPr>
        <w:spacing w:after="200" w:before="200" w:line="240"/>
        <w:ind w:firstLine="0"/>
      </w:pPr>
      <w:r>
        <w:rPr>
          <w:rFonts w:ascii="Times New Roman" w:cs="Times New Roman" w:eastAsia="Times New Roman" w:hAnsi="Times New Roman"/>
          <w:b/>
          <w:bCs/>
          <w:sz w:val="20"/>
          <w:szCs w:val="20"/>
        </w:rPr>
        <w:t xml:space="preserve">5.3 Ablation</w:t>
      </w:r>
    </w:p>
    <w:p>
      <w:pPr>
        <w:spacing w:after="0" w:before="0" w:line="240"/>
        <w:ind w:firstLine="0"/>
        <w:jc w:val="both"/>
      </w:pPr>
      <w:r>
        <w:rPr>
          <w:rFonts w:ascii="Times New Roman" w:cs="Times New Roman" w:eastAsia="Times New Roman" w:hAnsi="Times New Roman"/>
          <w:sz w:val="20"/>
          <w:szCs w:val="20"/>
        </w:rPr>
        <w:t xml:space="preserve">Table 8 isolates the contribution of each element of the pipeline on the BSDS500 test set. Replacing the per-pixel computation with a static kernel at the lower frequency bound gives ODS = 0.535 against 0.534 for the full formulation, and the paired difference is not significant. Permuting the activity estimate spatially, which destroys its correspondence with image content while preserving its distribution, lowers ODS by only 0.004. Replacing the Sobel-based estimate with a local variance estimate raises ODS to 0.540. Evaluating the activity estimate directly as an edge map gives ODS = 0.508. Rank-normalising the estimate so that the sigmoid operates across its full range lowers ODS to 0.361.</w:t>
      </w:r>
    </w:p>
    <w:p>
      <w:pPr>
        <w:spacing w:after="0" w:before="0" w:line="240"/>
        <w:ind w:firstLine="227"/>
        <w:jc w:val="both"/>
      </w:pPr>
      <w:r>
        <w:rPr>
          <w:rFonts w:ascii="Times New Roman" w:cs="Times New Roman" w:eastAsia="Times New Roman" w:hAnsi="Times New Roman"/>
          <w:sz w:val="20"/>
          <w:szCs w:val="20"/>
        </w:rPr>
        <w:t xml:space="preserve">Two conclusions follow. First, the improvement over the static imaginary Gabor baseline at a wavelength of 4 pixels comes from the change in effective centre frequency rather than from per-pixel modulation. At the parameter setting used here, 92.8% of pixels receive a frequency within 1% of the lower bound, and the output correlates at 0.857 with a static bank at that frequency, as Figure 9 shows. Second, when the modulation is made active across the full range, accuracy falls, so the hypothesis that high-activity regions require high-frequency kernels is not supported on this benchmark. The per-pixel mechanism reaches the same operating point as the best static configuration without a manually selected centre frequency, rather than improving on it.</w:t>
      </w:r>
    </w:p>
    <w:p>
      <w:pPr>
        <w:sectPr>
          <w:type w:val="continuous"/>
          <w:pgSz w:w="11906" w:h="16838" w:orient="portrait"/>
          <w:pgMar w:top="1077" w:right="1077" w:bottom="1077" w:left="1077" w:header="708" w:footer="708" w:gutter="0"/>
          <w:pgNumType/>
          <w:cols w:space="397" w:num="2" w:equalWidth="true"/>
          <w:docGrid w:linePitch="360"/>
        </w:sectPr>
      </w:pPr>
    </w:p>
    <w:p>
      <w:pPr>
        <w:spacing w:after="120" w:before="240" w:line="240"/>
        <w:ind w:firstLine="0"/>
        <w:jc w:val="center"/>
      </w:pPr>
      <w:r>
        <w:rPr>
          <w:rFonts w:ascii="Times New Roman" w:cs="Times New Roman" w:eastAsia="Times New Roman" w:hAnsi="Times New Roman"/>
          <w:b/>
          <w:bCs/>
          <w:sz w:val="18"/>
          <w:szCs w:val="18"/>
        </w:rPr>
        <w:t xml:space="preserve">Table 8.</w:t>
      </w:r>
      <w:r>
        <w:rPr>
          <w:rFonts w:ascii="Times New Roman" w:cs="Times New Roman" w:eastAsia="Times New Roman" w:hAnsi="Times New Roman"/>
          <w:sz w:val="18"/>
          <w:szCs w:val="18"/>
        </w:rPr>
        <w:t xml:space="preserve"> Ablation on the Berkeley Segmentation Dataset 500 test set. ODS denotes the optimal dataset scale F-measure. The p-value is from the Wilcoxon signed-rank test against the full formulation of the Adaptive Imaginary Gabor Wavelet</w:t>
      </w:r>
    </w:p>
    <w:tbl>
      <w:tblPr>
        <w:tblW w:type="dxa" w:w="9752"/>
        <w:tblBorders>
          <w:top w:val="none" w:color="FFFFFF" w:sz="0"/>
          <w:left w:val="none" w:color="FFFFFF" w:sz="0"/>
          <w:bottom w:val="none" w:color="FFFFFF" w:sz="0"/>
          <w:right w:val="none" w:color="FFFFFF" w:sz="0"/>
          <w:insideH w:val="none" w:color="FFFFFF" w:sz="0"/>
          <w:insideV w:val="none" w:color="FFFFFF" w:sz="0"/>
        </w:tblBorders>
      </w:tblPr>
      <w:tblGrid>
        <w:gridCol w:w="2600"/>
        <w:gridCol w:w="3200"/>
        <w:gridCol w:w="1200"/>
        <w:gridCol w:w="1300"/>
        <w:gridCol w:w="1452"/>
      </w:tblGrid>
      <w:tr>
        <w:trPr>
          <w:tblHeader/>
        </w:trPr>
        <w:tc>
          <w:tcPr>
            <w:tcW w:type="dxa" w:w="26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Variant</w:t>
            </w:r>
          </w:p>
        </w:tc>
        <w:tc>
          <w:tcPr>
            <w:tcW w:type="dxa" w:w="32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What is changed</w:t>
            </w:r>
          </w:p>
        </w:tc>
        <w:tc>
          <w:tcPr>
            <w:tcW w:type="dxa" w:w="12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ODS</w:t>
            </w:r>
          </w:p>
        </w:tc>
        <w:tc>
          <w:tcPr>
            <w:tcW w:type="dxa" w:w="13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Difference</w:t>
            </w:r>
          </w:p>
        </w:tc>
        <w:tc>
          <w:tcPr>
            <w:tcW w:type="dxa" w:w="145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p</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Static GWi, wavelength 4</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No adaptation, high frequency</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0.417</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−0.117</w:t>
            </w:r>
          </w:p>
        </w:tc>
        <w:tc>
          <w:tcPr>
            <w:tcW w:type="dxa" w:w="14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8.7 × 10⁻³⁴</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Rank-normalised activity</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Modulation active across full range</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0.361</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−0.173</w:t>
            </w:r>
          </w:p>
        </w:tc>
        <w:tc>
          <w:tcPr>
            <w:tcW w:type="dxa" w:w="14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2.1 × 10⁻³³</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Activity as edge map</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Driving signal evaluated directly</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0.508</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−0.026</w:t>
            </w:r>
          </w:p>
        </w:tc>
        <w:tc>
          <w:tcPr>
            <w:tcW w:type="dxa" w:w="14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4.1 × 10⁻¹⁵</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Activity spatially permuted</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Negative control</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0.530</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−0.004</w:t>
            </w:r>
          </w:p>
        </w:tc>
        <w:tc>
          <w:tcPr>
            <w:tcW w:type="dxa" w:w="14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4.8 × 10⁻²</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bCs/>
                <w:sz w:val="18"/>
                <w:szCs w:val="18"/>
              </w:rPr>
              <w:t xml:space="preserve">A-GWi, full</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Reference</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0.534</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w:t>
            </w:r>
          </w:p>
        </w:tc>
        <w:tc>
          <w:tcPr>
            <w:tcW w:type="dxa" w:w="14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Static kernel at fmin</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No adaptation, low frequency</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0.535</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+0.001</w:t>
            </w:r>
          </w:p>
        </w:tc>
        <w:tc>
          <w:tcPr>
            <w:tcW w:type="dxa" w:w="14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0.35</w:t>
            </w:r>
          </w:p>
        </w:tc>
      </w:tr>
      <w:tr>
        <w:tc>
          <w:tcPr>
            <w:tcW w:type="dxa" w:w="26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Activity from local variance</w:t>
            </w:r>
          </w:p>
        </w:tc>
        <w:tc>
          <w:tcPr>
            <w:tcW w:type="dxa" w:w="32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Non-gradient estimator</w:t>
            </w:r>
          </w:p>
        </w:tc>
        <w:tc>
          <w:tcPr>
            <w:tcW w:type="dxa" w:w="12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0.540</w:t>
            </w:r>
          </w:p>
        </w:tc>
        <w:tc>
          <w:tcPr>
            <w:tcW w:type="dxa" w:w="13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+0.006</w:t>
            </w:r>
          </w:p>
        </w:tc>
        <w:tc>
          <w:tcPr>
            <w:tcW w:type="dxa" w:w="1452"/>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1.8 × 10⁻⁸</w:t>
            </w:r>
          </w:p>
        </w:tc>
      </w:tr>
    </w:tbl>
    <w:p>
      <w:pPr>
        <w:spacing w:after="200" w:before="0" w:line="240"/>
        <w:ind w:firstLine="0"/>
        <w:jc w:val="both"/>
      </w:pPr>
      <w:r>
        <w:rPr>
          <w:rFonts w:ascii="Times New Roman" w:cs="Times New Roman" w:eastAsia="Times New Roman" w:hAnsi="Times New Roman"/>
          <w:sz w:val="20"/>
          <w:szCs w:val="20"/>
        </w:rPr>
        <w:t xml:space="preserve"/>
      </w:r>
    </w:p>
    <w:tbl>
      <w:tblPr>
        <w:tblW w:type="auto" w:w="100"/>
        <w:tblBorders>
          <w:top w:val="dashed" w:color="808080" w:sz="6"/>
          <w:left w:val="dashed" w:color="808080" w:sz="6"/>
          <w:bottom w:val="dashed" w:color="808080" w:sz="6"/>
          <w:right w:val="dashed" w:color="808080" w:sz="6"/>
          <w:insideH w:val="none" w:color="FFFFFF" w:sz="0"/>
          <w:insideV w:val="none" w:color="FFFFFF" w:sz="0"/>
        </w:tblBorders>
      </w:tblPr>
      <w:tblGrid>
        <w:gridCol w:w="9752"/>
      </w:tblGrid>
      <w:tr>
        <w:tc>
          <w:tcPr>
            <w:tcW w:type="dxa" w:w="9752"/>
            <w:tcMar>
              <w:top w:type="dxa" w:w="400"/>
              <w:left w:type="dxa" w:w="100"/>
              <w:bottom w:type="dxa" w:w="400"/>
              <w:right w:type="dxa" w:w="100"/>
            </w:tcMar>
          </w:tcPr>
          <w:p>
            <w:pPr>
              <w:ind w:firstLine="0"/>
              <w:jc w:val="center"/>
            </w:pPr>
            <w:r>
              <w:rPr>
                <w:rFonts w:ascii="Times New Roman" w:cs="Times New Roman" w:eastAsia="Times New Roman" w:hAnsi="Times New Roman"/>
                <w:i/>
                <w:iCs/>
                <w:sz w:val="18"/>
                <w:szCs w:val="18"/>
              </w:rPr>
              <w:t xml:space="preserve">[ Figure 9 placeholder: adaptation diagnostic, three panels ]</w:t>
            </w:r>
          </w:p>
        </w:tc>
      </w:tr>
    </w:tbl>
    <w:p>
      <w:pPr>
        <w:spacing w:after="200" w:before="200" w:line="240"/>
        <w:ind w:firstLine="0"/>
        <w:jc w:val="center"/>
      </w:pPr>
      <w:r>
        <w:rPr>
          <w:rFonts w:ascii="Times New Roman" w:cs="Times New Roman" w:eastAsia="Times New Roman" w:hAnsi="Times New Roman"/>
          <w:b/>
          <w:bCs/>
          <w:sz w:val="18"/>
          <w:szCs w:val="18"/>
        </w:rPr>
        <w:t xml:space="preserve">Figure 9.</w:t>
      </w:r>
      <w:r>
        <w:rPr>
          <w:rFonts w:ascii="Times New Roman" w:cs="Times New Roman" w:eastAsia="Times New Roman" w:hAnsi="Times New Roman"/>
          <w:sz w:val="18"/>
          <w:szCs w:val="18"/>
        </w:rPr>
        <w:t xml:space="preserve"> Behaviour of the adaptive mechanism at the setting reported in Table 2. (a) Distribution of the local gradient activity estimate against the sigmoid centre of Eq. (7). (b) Distribution of the resulting adaptive frequency on a logarithmic count axis; most pixels receive a frequency at the lower bound. (c) L2 norm of the imaginary Gabor kernel as a function of centre frequency inside the fixed 7 × 7 window</w:t>
      </w:r>
    </w:p>
    <w:p>
      <w:pPr>
        <w:sectPr>
          <w:type w:val="continuous"/>
          <w:pgSz w:w="11906" w:h="16838" w:orient="portrait"/>
          <w:pgMar w:top="1077" w:right="1077" w:bottom="1077" w:left="1077" w:header="708" w:footer="708" w:gutter="0"/>
          <w:pgNumType/>
          <w:cols w:num="1"/>
          <w:docGrid w:linePitch="360"/>
        </w:sectPr>
      </w:pPr>
    </w:p>
    <w:p>
      <w:pPr>
        <w:spacing w:after="200" w:before="200" w:line="240"/>
        <w:ind w:firstLine="0"/>
      </w:pPr>
      <w:r>
        <w:rPr>
          <w:rFonts w:ascii="Times New Roman" w:cs="Times New Roman" w:eastAsia="Times New Roman" w:hAnsi="Times New Roman"/>
          <w:b/>
          <w:bCs/>
          <w:sz w:val="20"/>
          <w:szCs w:val="20"/>
        </w:rPr>
        <w:t xml:space="preserve">5.4 Activity-stratified analysis</w:t>
      </w:r>
    </w:p>
    <w:p>
      <w:pPr>
        <w:spacing w:after="0" w:before="0" w:line="240"/>
        <w:ind w:firstLine="0"/>
        <w:jc w:val="both"/>
      </w:pPr>
      <w:r>
        <w:rPr>
          <w:rFonts w:ascii="Times New Roman" w:cs="Times New Roman" w:eastAsia="Times New Roman" w:hAnsi="Times New Roman"/>
          <w:sz w:val="20"/>
          <w:szCs w:val="20"/>
        </w:rPr>
        <w:t xml:space="preserve">The aggregate values in Tables 5 and 6 conflate performance across all pixel contexts. A method that performs well on high-activity regions and poorly on low-activity regions can produce the same aggregate value as a method that performs uniformly, and the two cases have different implications for the mechanism. The analysis in Tables 9 and 10 therefore partitions the pixels and evaluates each partition separately.</w:t>
      </w:r>
    </w:p>
    <w:p>
      <w:pPr>
        <w:spacing w:after="0" w:before="0" w:line="240"/>
        <w:ind w:firstLine="227"/>
        <w:jc w:val="both"/>
      </w:pPr>
      <w:r>
        <w:rPr>
          <w:rFonts w:ascii="Times New Roman" w:cs="Times New Roman" w:eastAsia="Times New Roman" w:hAnsi="Times New Roman"/>
          <w:sz w:val="20"/>
          <w:szCs w:val="20"/>
        </w:rPr>
        <w:t xml:space="preserve">Stratum boundaries are the tertiles of the activity estimate computed on the BSDS500 training split, at 0.053 and 0.146, and the same absolute thresholds are applied to the BSDS500 test split and to UDED. Tertiles computed on the training split are used instead of the test split so that no test statistic enters the analysis, and absolute thresholds are used so that the two datasets remain comparable. Within each stratum, both predicted and ground-truth pixels outside the stratum mask are discarded before matching, so that precision and recall are computed on the same restricted population, as given in Eq. (20). The per-stratum quantity is denoted Fs and is not comparable with the aggregate value, because it is computed on a subset of the pixels.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F</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max</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val="1"/>
                <w:iCs w:val="1"/>
                <w:sz w:val="20"/>
                <w:szCs w:val="20"/>
              </w:rPr>
              <w:t xml:space="preserve">F</w:t>
            </w:r>
            <w:r>
              <w:rPr>
                <w:rFonts w:ascii="Times New Roman" w:cs="Times New Roman" w:eastAsia="Times New Roman" w:hAnsi="Times New Roman"/>
                <w:sz w:val="20"/>
                <w:szCs w:val="20"/>
              </w:rPr>
              <w:t xml:space="preserve">(t) restricted to </w:t>
            </w:r>
            <w:r>
              <w:rPr>
                <w:rFonts w:ascii="Times New Roman" w:cs="Times New Roman" w:eastAsia="Times New Roman" w:hAnsi="Times New Roman"/>
                <w:i w:val="1"/>
                <w:iCs w:val="1"/>
                <w:sz w:val="20"/>
                <w:szCs w:val="20"/>
              </w:rPr>
              <w:t xml:space="preserve">M</w:t>
            </w:r>
            <w:r>
              <w:rPr>
                <w:rFonts w:ascii="Times New Roman" w:cs="Times New Roman" w:eastAsia="Times New Roman" w:hAnsi="Times New Roman"/>
                <w:sz w:val="20"/>
                <w:szCs w:val="20"/>
                <w:vertAlign w:val="subscript"/>
              </w:rPr>
              <w:t xml:space="preserve">s</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(20)</w:t>
            </w:r>
          </w:p>
        </w:tc>
      </w:tr>
    </w:tbl>
    <w:p>
      <w:pPr>
        <w:spacing w:after="0" w:before="0" w:line="240"/>
        <w:ind w:firstLine="0"/>
        <w:jc w:val="both"/>
      </w:pPr>
      <w:r>
        <w:rPr>
          <w:rFonts w:ascii="Times New Roman" w:cs="Times New Roman" w:eastAsia="Times New Roman" w:hAnsi="Times New Roman"/>
          <w:sz w:val="20"/>
          <w:szCs w:val="20"/>
        </w:rPr>
        <w:t xml:space="preserve">The ground-truth boundary pixels are not evenly distributed across the strata. On BSDS500, 7.1% fall in the low stratum, 25.1% in the middle stratum, and 67.8% in the high stratum, with a similar pattern on UDED. This is why the value in the low stratum is far below the aggregate value, and it must be read alongside the tables.</w:t>
      </w:r>
    </w:p>
    <w:p>
      <w:pPr>
        <w:spacing w:after="0" w:before="0" w:line="240"/>
        <w:ind w:firstLine="227"/>
        <w:jc w:val="both"/>
      </w:pPr>
      <w:r>
        <w:rPr>
          <w:rFonts w:ascii="Times New Roman" w:cs="Times New Roman" w:eastAsia="Times New Roman" w:hAnsi="Times New Roman"/>
          <w:sz w:val="20"/>
          <w:szCs w:val="20"/>
        </w:rPr>
        <w:t xml:space="preserve">A-GWi exceeds both static Gabor baselines in every stratum on both datasets. The margin over GWi is +0.028, +0.007, and +0.096 across the low, middle, and high strata on BSDS500, and +0.080, +0.049, and +0.024 on UDED. The two datasets therefore place the largest margin in different strata, and the stratified view does not support a single account of where the difference arises. Canny is ahead of A-GWi in the middle and high strata on both datasets.</w:t>
      </w:r>
    </w:p>
    <w:p>
      <w:pPr>
        <w:sectPr>
          <w:type w:val="continuous"/>
          <w:pgSz w:w="11906" w:h="16838" w:orient="portrait"/>
          <w:pgMar w:top="1077" w:right="1077" w:bottom="1077" w:left="1077" w:header="708" w:footer="708" w:gutter="0"/>
          <w:pgNumType/>
          <w:cols w:space="397" w:num="2" w:equalWidth="true"/>
          <w:docGrid w:linePitch="360"/>
        </w:sectPr>
      </w:pPr>
    </w:p>
    <w:p>
      <w:pPr>
        <w:spacing w:after="120" w:before="240" w:line="240"/>
        <w:ind w:firstLine="0"/>
        <w:jc w:val="center"/>
      </w:pPr>
      <w:r>
        <w:rPr>
          <w:rFonts w:ascii="Times New Roman" w:cs="Times New Roman" w:eastAsia="Times New Roman" w:hAnsi="Times New Roman"/>
          <w:b/>
          <w:bCs/>
          <w:sz w:val="18"/>
          <w:szCs w:val="18"/>
        </w:rPr>
        <w:t xml:space="preserve">Table 9.</w:t>
      </w:r>
      <w:r>
        <w:rPr>
          <w:rFonts w:ascii="Times New Roman" w:cs="Times New Roman" w:eastAsia="Times New Roman" w:hAnsi="Times New Roman"/>
          <w:sz w:val="18"/>
          <w:szCs w:val="18"/>
        </w:rPr>
        <w:t xml:space="preserve"> Activity-stratified F-measure on the Berkeley Segmentation Dataset 500. Strata are the tertiles of the activity estimate computed on the training split. GWC is the complex Gabor wavelet, GWi the imaginary-only Gabor wavelet, and A-GWi the Adaptive Imaginary Gabor Wavelet. Best value per stratum in bold</w:t>
      </w:r>
    </w:p>
    <w:tbl>
      <w:tblPr>
        <w:tblW w:type="dxa" w:w="9752"/>
        <w:tblBorders>
          <w:top w:val="none" w:color="FFFFFF" w:sz="0"/>
          <w:left w:val="none" w:color="FFFFFF" w:sz="0"/>
          <w:bottom w:val="none" w:color="FFFFFF" w:sz="0"/>
          <w:right w:val="none" w:color="FFFFFF" w:sz="0"/>
          <w:insideH w:val="none" w:color="FFFFFF" w:sz="0"/>
          <w:insideV w:val="none" w:color="FFFFFF" w:sz="0"/>
        </w:tblBorders>
      </w:tblPr>
      <w:tblGrid>
        <w:gridCol w:w="2000"/>
        <w:gridCol w:w="3200"/>
        <w:gridCol w:w="2276"/>
        <w:gridCol w:w="2276"/>
      </w:tblGrid>
      <w:tr>
        <w:trPr>
          <w:tblHeader/>
        </w:trPr>
        <w:tc>
          <w:tcPr>
            <w:tcW w:type="dxa" w:w="20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Method</w:t>
            </w:r>
          </w:p>
        </w:tc>
        <w:tc>
          <w:tcPr>
            <w:tcW w:type="dxa" w:w="32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Low (7.1% of boundary pixels)</w:t>
            </w:r>
          </w:p>
        </w:tc>
        <w:tc>
          <w:tcPr>
            <w:tcW w:type="dxa" w:w="2276"/>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Middle (25.1%)</w:t>
            </w:r>
          </w:p>
        </w:tc>
        <w:tc>
          <w:tcPr>
            <w:tcW w:type="dxa" w:w="2276"/>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High (67.8%)</w:t>
            </w:r>
          </w:p>
        </w:tc>
      </w:tr>
      <w:t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Canny</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0.143</w:t>
            </w:r>
          </w:p>
        </w:tc>
        <w:tc>
          <w:tcPr>
            <w:tcW w:type="dxa" w:w="227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0.280</w:t>
            </w:r>
          </w:p>
        </w:tc>
        <w:tc>
          <w:tcPr>
            <w:tcW w:type="dxa" w:w="227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0.595</w:t>
            </w:r>
          </w:p>
        </w:tc>
      </w:tr>
      <w:t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GWC</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0.116</w:t>
            </w:r>
          </w:p>
        </w:tc>
        <w:tc>
          <w:tcPr>
            <w:tcW w:type="dxa" w:w="227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0.236</w:t>
            </w:r>
          </w:p>
        </w:tc>
        <w:tc>
          <w:tcPr>
            <w:tcW w:type="dxa" w:w="227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0.479</w:t>
            </w:r>
          </w:p>
        </w:tc>
      </w:tr>
      <w:t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GWi</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0.117</w:t>
            </w:r>
          </w:p>
        </w:tc>
        <w:tc>
          <w:tcPr>
            <w:tcW w:type="dxa" w:w="227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0.271</w:t>
            </w:r>
          </w:p>
        </w:tc>
        <w:tc>
          <w:tcPr>
            <w:tcW w:type="dxa" w:w="227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0.489</w:t>
            </w:r>
          </w:p>
        </w:tc>
      </w:tr>
      <w:tr>
        <w:tc>
          <w:tcPr>
            <w:tcW w:type="dxa" w:w="20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A-GWi</w:t>
            </w:r>
          </w:p>
        </w:tc>
        <w:tc>
          <w:tcPr>
            <w:tcW w:type="dxa" w:w="32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0.145</w:t>
            </w:r>
          </w:p>
        </w:tc>
        <w:tc>
          <w:tcPr>
            <w:tcW w:type="dxa" w:w="2276"/>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0.278</w:t>
            </w:r>
          </w:p>
        </w:tc>
        <w:tc>
          <w:tcPr>
            <w:tcW w:type="dxa" w:w="2276"/>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0.585</w:t>
            </w:r>
          </w:p>
        </w:tc>
      </w:tr>
    </w:tbl>
    <w:p>
      <w:pPr>
        <w:spacing w:after="200" w:before="0" w:line="240"/>
        <w:ind w:firstLine="0"/>
        <w:jc w:val="both"/>
      </w:pPr>
      <w:r>
        <w:rPr>
          <w:rFonts w:ascii="Times New Roman" w:cs="Times New Roman" w:eastAsia="Times New Roman" w:hAnsi="Times New Roman"/>
          <w:sz w:val="20"/>
          <w:szCs w:val="20"/>
        </w:rPr>
        <w:t xml:space="preserve"/>
      </w:r>
    </w:p>
    <w:p>
      <w:pPr>
        <w:spacing w:after="120" w:before="240" w:line="240"/>
        <w:ind w:firstLine="0"/>
        <w:jc w:val="center"/>
      </w:pPr>
      <w:r>
        <w:rPr>
          <w:rFonts w:ascii="Times New Roman" w:cs="Times New Roman" w:eastAsia="Times New Roman" w:hAnsi="Times New Roman"/>
          <w:b/>
          <w:bCs/>
          <w:sz w:val="18"/>
          <w:szCs w:val="18"/>
        </w:rPr>
        <w:t xml:space="preserve">Table 10.</w:t>
      </w:r>
      <w:r>
        <w:rPr>
          <w:rFonts w:ascii="Times New Roman" w:cs="Times New Roman" w:eastAsia="Times New Roman" w:hAnsi="Times New Roman"/>
          <w:sz w:val="18"/>
          <w:szCs w:val="18"/>
        </w:rPr>
        <w:t xml:space="preserve"> Activity-stratified F-measure on the Unified Dataset for Edge Detection, using the same absolute stratum thresholds as Table 9. Abbreviations as in Table 9. Best value per stratum in bold</w:t>
      </w:r>
    </w:p>
    <w:tbl>
      <w:tblPr>
        <w:tblW w:type="dxa" w:w="9752"/>
        <w:tblBorders>
          <w:top w:val="none" w:color="FFFFFF" w:sz="0"/>
          <w:left w:val="none" w:color="FFFFFF" w:sz="0"/>
          <w:bottom w:val="none" w:color="FFFFFF" w:sz="0"/>
          <w:right w:val="none" w:color="FFFFFF" w:sz="0"/>
          <w:insideH w:val="none" w:color="FFFFFF" w:sz="0"/>
          <w:insideV w:val="none" w:color="FFFFFF" w:sz="0"/>
        </w:tblBorders>
      </w:tblPr>
      <w:tblGrid>
        <w:gridCol w:w="2000"/>
        <w:gridCol w:w="3200"/>
        <w:gridCol w:w="2276"/>
        <w:gridCol w:w="2276"/>
      </w:tblGrid>
      <w:tr>
        <w:trPr>
          <w:tblHeader/>
        </w:trPr>
        <w:tc>
          <w:tcPr>
            <w:tcW w:type="dxa" w:w="20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Method</w:t>
            </w:r>
          </w:p>
        </w:tc>
        <w:tc>
          <w:tcPr>
            <w:tcW w:type="dxa" w:w="32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Low (9.0% of boundary pixels)</w:t>
            </w:r>
          </w:p>
        </w:tc>
        <w:tc>
          <w:tcPr>
            <w:tcW w:type="dxa" w:w="2276"/>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Middle (28.4%)</w:t>
            </w:r>
          </w:p>
        </w:tc>
        <w:tc>
          <w:tcPr>
            <w:tcW w:type="dxa" w:w="2276"/>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High (62.6%)</w:t>
            </w:r>
          </w:p>
        </w:tc>
      </w:tr>
      <w:t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Canny</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0.215</w:t>
            </w:r>
          </w:p>
        </w:tc>
        <w:tc>
          <w:tcPr>
            <w:tcW w:type="dxa" w:w="227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0.467</w:t>
            </w:r>
          </w:p>
        </w:tc>
        <w:tc>
          <w:tcPr>
            <w:tcW w:type="dxa" w:w="227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0.768</w:t>
            </w:r>
          </w:p>
        </w:tc>
      </w:tr>
      <w:t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GWC</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0.149</w:t>
            </w:r>
          </w:p>
        </w:tc>
        <w:tc>
          <w:tcPr>
            <w:tcW w:type="dxa" w:w="227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0.368</w:t>
            </w:r>
          </w:p>
        </w:tc>
        <w:tc>
          <w:tcPr>
            <w:tcW w:type="dxa" w:w="227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0.650</w:t>
            </w:r>
          </w:p>
        </w:tc>
      </w:tr>
      <w:t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GWi</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0.139</w:t>
            </w:r>
          </w:p>
        </w:tc>
        <w:tc>
          <w:tcPr>
            <w:tcW w:type="dxa" w:w="227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0.414</w:t>
            </w:r>
          </w:p>
        </w:tc>
        <w:tc>
          <w:tcPr>
            <w:tcW w:type="dxa" w:w="227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0.719</w:t>
            </w:r>
          </w:p>
        </w:tc>
      </w:tr>
      <w:tr>
        <w:tc>
          <w:tcPr>
            <w:tcW w:type="dxa" w:w="20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A-GWi</w:t>
            </w:r>
          </w:p>
        </w:tc>
        <w:tc>
          <w:tcPr>
            <w:tcW w:type="dxa" w:w="32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0.218</w:t>
            </w:r>
          </w:p>
        </w:tc>
        <w:tc>
          <w:tcPr>
            <w:tcW w:type="dxa" w:w="2276"/>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0.462</w:t>
            </w:r>
          </w:p>
        </w:tc>
        <w:tc>
          <w:tcPr>
            <w:tcW w:type="dxa" w:w="2276"/>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0.743</w:t>
            </w:r>
          </w:p>
        </w:tc>
      </w:tr>
    </w:tbl>
    <w:p>
      <w:pPr>
        <w:spacing w:after="200" w:before="0" w:line="240"/>
        <w:ind w:firstLine="0"/>
        <w:jc w:val="both"/>
      </w:pPr>
      <w:r>
        <w:rPr>
          <w:rFonts w:ascii="Times New Roman" w:cs="Times New Roman" w:eastAsia="Times New Roman" w:hAnsi="Times New Roman"/>
          <w:sz w:val="20"/>
          <w:szCs w:val="20"/>
        </w:rPr>
        <w:t xml:space="preserve"/>
      </w:r>
    </w:p>
    <w:tbl>
      <w:tblPr>
        <w:tblW w:type="auto" w:w="100"/>
        <w:tblBorders>
          <w:top w:val="dashed" w:color="808080" w:sz="6"/>
          <w:left w:val="dashed" w:color="808080" w:sz="6"/>
          <w:bottom w:val="dashed" w:color="808080" w:sz="6"/>
          <w:right w:val="dashed" w:color="808080" w:sz="6"/>
          <w:insideH w:val="none" w:color="FFFFFF" w:sz="0"/>
          <w:insideV w:val="none" w:color="FFFFFF" w:sz="0"/>
        </w:tblBorders>
      </w:tblPr>
      <w:tblGrid>
        <w:gridCol w:w="9752"/>
      </w:tblGrid>
      <w:tr>
        <w:tc>
          <w:tcPr>
            <w:tcW w:type="dxa" w:w="9752"/>
            <w:tcMar>
              <w:top w:type="dxa" w:w="400"/>
              <w:left w:type="dxa" w:w="100"/>
              <w:bottom w:type="dxa" w:w="400"/>
              <w:right w:type="dxa" w:w="100"/>
            </w:tcMar>
          </w:tcPr>
          <w:p>
            <w:pPr>
              <w:ind w:firstLine="0"/>
              <w:jc w:val="center"/>
            </w:pPr>
            <w:r>
              <w:rPr>
                <w:rFonts w:ascii="Times New Roman" w:cs="Times New Roman" w:eastAsia="Times New Roman" w:hAnsi="Times New Roman"/>
                <w:i/>
                <w:iCs/>
                <w:sz w:val="18"/>
                <w:szCs w:val="18"/>
              </w:rPr>
              <w:t xml:space="preserve">[ Figure 7 placeholder: activity distribution, two panels ]</w:t>
            </w:r>
          </w:p>
        </w:tc>
      </w:tr>
    </w:tbl>
    <w:p>
      <w:pPr>
        <w:spacing w:after="200" w:before="200" w:line="240"/>
        <w:ind w:firstLine="0"/>
        <w:jc w:val="center"/>
      </w:pPr>
      <w:r>
        <w:rPr>
          <w:rFonts w:ascii="Times New Roman" w:cs="Times New Roman" w:eastAsia="Times New Roman" w:hAnsi="Times New Roman"/>
          <w:b/>
          <w:bCs/>
          <w:sz w:val="18"/>
          <w:szCs w:val="18"/>
        </w:rPr>
        <w:t xml:space="preserve">Figure 7.</w:t>
      </w:r>
      <w:r>
        <w:rPr>
          <w:rFonts w:ascii="Times New Roman" w:cs="Times New Roman" w:eastAsia="Times New Roman" w:hAnsi="Times New Roman"/>
          <w:sz w:val="18"/>
          <w:szCs w:val="18"/>
        </w:rPr>
        <w:t xml:space="preserve"> Local gradient activity on the Berkeley Segmentation Dataset 500. (a) Distribution across the test set, with the median, the mean, and the sigmoid centre of Eq. (7) marked. (b) Per-image standard deviation of the estimate, which shows that individual images contain both low-activity and high-activity regions</w:t>
      </w:r>
    </w:p>
    <w:tbl>
      <w:tblPr>
        <w:tblW w:type="auto" w:w="100"/>
        <w:tblBorders>
          <w:top w:val="dashed" w:color="808080" w:sz="6"/>
          <w:left w:val="dashed" w:color="808080" w:sz="6"/>
          <w:bottom w:val="dashed" w:color="808080" w:sz="6"/>
          <w:right w:val="dashed" w:color="808080" w:sz="6"/>
          <w:insideH w:val="none" w:color="FFFFFF" w:sz="0"/>
          <w:insideV w:val="none" w:color="FFFFFF" w:sz="0"/>
        </w:tblBorders>
      </w:tblPr>
      <w:tblGrid>
        <w:gridCol w:w="9752"/>
      </w:tblGrid>
      <w:tr>
        <w:tc>
          <w:tcPr>
            <w:tcW w:type="dxa" w:w="9752"/>
            <w:tcMar>
              <w:top w:type="dxa" w:w="400"/>
              <w:left w:type="dxa" w:w="100"/>
              <w:bottom w:type="dxa" w:w="400"/>
              <w:right w:type="dxa" w:w="100"/>
            </w:tcMar>
          </w:tcPr>
          <w:p>
            <w:pPr>
              <w:ind w:firstLine="0"/>
              <w:jc w:val="center"/>
            </w:pPr>
            <w:r>
              <w:rPr>
                <w:rFonts w:ascii="Times New Roman" w:cs="Times New Roman" w:eastAsia="Times New Roman" w:hAnsi="Times New Roman"/>
                <w:i/>
                <w:iCs/>
                <w:sz w:val="18"/>
                <w:szCs w:val="18"/>
              </w:rPr>
              <w:t xml:space="preserve">[ Figure 8 placeholder: activity validation, two panels ]</w:t>
            </w:r>
          </w:p>
        </w:tc>
      </w:tr>
    </w:tbl>
    <w:p>
      <w:pPr>
        <w:spacing w:after="200" w:before="200" w:line="240"/>
        <w:ind w:firstLine="0"/>
        <w:jc w:val="center"/>
      </w:pPr>
      <w:r>
        <w:rPr>
          <w:rFonts w:ascii="Times New Roman" w:cs="Times New Roman" w:eastAsia="Times New Roman" w:hAnsi="Times New Roman"/>
          <w:b/>
          <w:bCs/>
          <w:sz w:val="18"/>
          <w:szCs w:val="18"/>
        </w:rPr>
        <w:t xml:space="preserve">Figure 8.</w:t>
      </w:r>
      <w:r>
        <w:rPr>
          <w:rFonts w:ascii="Times New Roman" w:cs="Times New Roman" w:eastAsia="Times New Roman" w:hAnsi="Times New Roman"/>
          <w:sz w:val="18"/>
          <w:szCs w:val="18"/>
        </w:rPr>
        <w:t xml:space="preserve"> Validation of the local gradient activity estimate on the 200 test images of the Berkeley Segmentation Dataset 500. (a) Per-image Spearman correlation of the estimate against the ground-truth boundary count in a 15 × 15 window and against local intensity contrast in the same window. (b) Pixel-level relation between the estimate and the ground-truth boundary density</w:t>
      </w:r>
    </w:p>
    <w:p>
      <w:pPr>
        <w:sectPr>
          <w:type w:val="continuous"/>
          <w:pgSz w:w="11906" w:h="16838" w:orient="portrait"/>
          <w:pgMar w:top="1077" w:right="1077" w:bottom="1077" w:left="1077" w:header="708" w:footer="708" w:gutter="0"/>
          <w:pgNumType/>
          <w:cols w:num="1"/>
          <w:docGrid w:linePitch="360"/>
        </w:sectPr>
      </w:pPr>
    </w:p>
    <w:p>
      <w:pPr>
        <w:spacing w:after="200" w:before="200" w:line="240"/>
        <w:ind w:firstLine="0"/>
      </w:pPr>
      <w:r>
        <w:rPr>
          <w:rFonts w:ascii="Times New Roman" w:cs="Times New Roman" w:eastAsia="Times New Roman" w:hAnsi="Times New Roman"/>
          <w:b/>
          <w:bCs/>
          <w:sz w:val="20"/>
          <w:szCs w:val="20"/>
        </w:rPr>
        <w:t xml:space="preserve">5.5 Error characterisation</w:t>
      </w:r>
    </w:p>
    <w:p>
      <w:pPr>
        <w:spacing w:after="0" w:before="0" w:line="240"/>
        <w:ind w:firstLine="0"/>
        <w:jc w:val="both"/>
      </w:pPr>
      <w:r>
        <w:rPr>
          <w:rFonts w:ascii="Times New Roman" w:cs="Times New Roman" w:eastAsia="Times New Roman" w:hAnsi="Times New Roman"/>
          <w:sz w:val="20"/>
          <w:szCs w:val="20"/>
        </w:rPr>
        <w:t xml:space="preserve">Table 11 reports three quantities that address the behaviour of each detector more directly than the aggregate metrics. Precision at a fixed recall of 0.5 is defined in Eq. (21) and measures over-detection at a common operating point. The localisation error in Eq. (22) is the mean Euclidean distance between matched predicted pixels and their ground-truth counterparts at the optimal dataset scale threshold. The edge width in Eq. (23) is the ratio of pixels above the threshold to pixels remaining after thinning, so a value near 1 means the response is already thin.</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sz w:val="20"/>
                <w:szCs w:val="20"/>
              </w:rPr>
              <w:t xml:space="preserve">P@R</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val="1"/>
                <w:iCs w:val="1"/>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i w:val="1"/>
                <w:iCs w:val="1"/>
                <w:sz w:val="20"/>
                <w:szCs w:val="20"/>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val="1"/>
                <w:iCs w:val="1"/>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 0.5</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(21)</w:t>
            </w:r>
          </w:p>
        </w:tc>
      </w:tr>
    </w:tbl>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L</w:t>
            </w:r>
            <w:r>
              <w:rPr>
                <w:rFonts w:ascii="Times New Roman" w:cs="Times New Roman" w:eastAsia="Times New Roman" w:hAnsi="Times New Roman"/>
                <w:sz w:val="20"/>
                <w:szCs w:val="20"/>
                <w:vertAlign w:val="subscript"/>
              </w:rPr>
              <w:t xml:space="preserve">err</w:t>
            </w:r>
            <w:r>
              <w:rPr>
                <w:rFonts w:ascii="Times New Roman" w:cs="Times New Roman" w:eastAsia="Times New Roman" w:hAnsi="Times New Roman"/>
                <w:sz w:val="20"/>
                <w:szCs w:val="20"/>
              </w:rPr>
              <w:t xml:space="preserve"> = (1 / |Match|) ∑ ‖ </w:t>
            </w:r>
            <w:r>
              <w:rPr>
                <w:rFonts w:ascii="Times New Roman" w:cs="Times New Roman" w:eastAsia="Times New Roman" w:hAnsi="Times New Roman"/>
                <w:i w:val="1"/>
                <w:iCs w:val="1"/>
                <w:sz w:val="20"/>
                <w:szCs w:val="20"/>
              </w:rPr>
              <w:t xml:space="preserve">p</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g</w:t>
            </w:r>
            <w:r>
              <w:rPr>
                <w:rFonts w:ascii="Times New Roman" w:cs="Times New Roman" w:eastAsia="Times New Roman" w:hAnsi="Times New Roman"/>
                <w:sz w:val="20"/>
                <w:szCs w:val="20"/>
              </w:rPr>
              <w:t xml:space="preserve"> ‖</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(22)</w:t>
            </w:r>
          </w:p>
        </w:tc>
      </w:tr>
    </w:tbl>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116"/>
        <w:gridCol w:w="561"/>
      </w:tblGrid>
      <w:tr>
        <w:tc>
          <w:tcPr>
            <w:tcW w:type="dxa" w:w="4116"/>
            <w:tcMar>
              <w:top w:type="dxa" w:w="60"/>
              <w:left w:type="dxa" w:w="0"/>
              <w:bottom w:type="dxa" w:w="60"/>
              <w:right w:type="dxa" w:w="0"/>
            </w:tcMar>
          </w:tcPr>
          <w:p>
            <w:pPr>
              <w:spacing w:line="240"/>
              <w:ind w:firstLine="0"/>
              <w:jc w:val="left"/>
            </w:pPr>
            <w:r>
              <w:rPr>
                <w:rFonts w:ascii="Times New Roman" w:cs="Times New Roman" w:eastAsia="Times New Roman" w:hAnsi="Times New Roman"/>
                <w:i w:val="1"/>
                <w:iCs w:val="1"/>
                <w:sz w:val="20"/>
                <w:szCs w:val="20"/>
              </w:rPr>
              <w:t xml:space="preserve">W</w:t>
            </w:r>
            <w:r>
              <w:rPr>
                <w:rFonts w:ascii="Times New Roman" w:cs="Times New Roman" w:eastAsia="Times New Roman" w:hAnsi="Times New Roman"/>
                <w:sz w:val="20"/>
                <w:szCs w:val="20"/>
                <w:vertAlign w:val="subscript"/>
              </w:rPr>
              <w:t xml:space="preserve">edge</w:t>
            </w:r>
            <w:r>
              <w:rPr>
                <w:rFonts w:ascii="Times New Roman" w:cs="Times New Roman" w:eastAsia="Times New Roman" w:hAnsi="Times New Roman"/>
                <w:sz w:val="20"/>
                <w:szCs w:val="20"/>
              </w:rPr>
              <w:t xml:space="preserve"> = |{ (u,v) : </w:t>
            </w:r>
            <w:r>
              <w:rPr>
                <w:rFonts w:ascii="Times New Roman" w:cs="Times New Roman" w:eastAsia="Times New Roman" w:hAnsi="Times New Roman"/>
                <w:i w:val="1"/>
                <w:iCs w:val="1"/>
                <w:sz w:val="20"/>
                <w:szCs w:val="20"/>
              </w:rPr>
              <w:t xml:space="preserve">E</w:t>
            </w:r>
            <w:r>
              <w:rPr>
                <w:rFonts w:ascii="Times New Roman" w:cs="Times New Roman" w:eastAsia="Times New Roman" w:hAnsi="Times New Roman"/>
                <w:sz w:val="20"/>
                <w:szCs w:val="20"/>
                <w:vertAlign w:val="subscript"/>
              </w:rPr>
              <w:t xml:space="preserve">norm</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t</w:t>
            </w:r>
            <w:r>
              <w:rPr>
                <w:rFonts w:ascii="Times New Roman" w:cs="Times New Roman" w:eastAsia="Times New Roman" w:hAnsi="Times New Roman"/>
                <w:sz w:val="20"/>
                <w:szCs w:val="20"/>
                <w:vertAlign w:val="subscript"/>
              </w:rPr>
              <w:t xml:space="preserve">ODS</w:t>
            </w:r>
            <w:r>
              <w:rPr>
                <w:rFonts w:ascii="Times New Roman" w:cs="Times New Roman" w:eastAsia="Times New Roman" w:hAnsi="Times New Roman"/>
                <w:sz w:val="20"/>
                <w:szCs w:val="20"/>
              </w:rPr>
              <w:t xml:space="preserve"> }| / |</w:t>
            </w:r>
            <w:r>
              <w:rPr>
                <w:rFonts w:ascii="Times New Roman" w:cs="Times New Roman" w:eastAsia="Times New Roman" w:hAnsi="Times New Roman"/>
                <w:i w:val="1"/>
                <w:iCs w:val="1"/>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val="1"/>
                <w:iCs w:val="1"/>
                <w:sz w:val="20"/>
                <w:szCs w:val="20"/>
              </w:rPr>
              <w:t xml:space="preserve">t</w:t>
            </w:r>
            <w:r>
              <w:rPr>
                <w:rFonts w:ascii="Times New Roman" w:cs="Times New Roman" w:eastAsia="Times New Roman" w:hAnsi="Times New Roman"/>
                <w:sz w:val="20"/>
                <w:szCs w:val="20"/>
                <w:vertAlign w:val="subscript"/>
              </w:rPr>
              <w:t xml:space="preserve">ODS</w:t>
            </w:r>
            <w:r>
              <w:rPr>
                <w:rFonts w:ascii="Times New Roman" w:cs="Times New Roman" w:eastAsia="Times New Roman" w:hAnsi="Times New Roman"/>
                <w:sz w:val="20"/>
                <w:szCs w:val="20"/>
              </w:rPr>
              <w:t xml:space="preserve">)|</w:t>
            </w:r>
          </w:p>
        </w:tc>
        <w:tc>
          <w:tcPr>
            <w:tcW w:type="dxa" w:w="561"/>
            <w:tcMar>
              <w:top w:type="dxa" w:w="60"/>
              <w:left w:type="dxa" w:w="0"/>
              <w:bottom w:type="dxa" w:w="60"/>
              <w:right w:type="dxa" w:w="0"/>
            </w:tcMar>
          </w:tcPr>
          <w:p>
            <w:pPr>
              <w:ind w:firstLine="0"/>
              <w:jc w:val="right"/>
            </w:pPr>
            <w:r>
              <w:rPr>
                <w:rFonts w:ascii="Times New Roman" w:cs="Times New Roman" w:eastAsia="Times New Roman" w:hAnsi="Times New Roman"/>
                <w:sz w:val="20"/>
                <w:szCs w:val="20"/>
              </w:rPr>
              <w:t xml:space="preserve">(23)</w:t>
            </w:r>
          </w:p>
        </w:tc>
      </w:tr>
    </w:tbl>
    <w:p>
      <w:pPr>
        <w:spacing w:after="0" w:before="0" w:line="240"/>
        <w:ind w:firstLine="0"/>
        <w:jc w:val="both"/>
      </w:pPr>
      <w:r>
        <w:rPr>
          <w:rFonts w:ascii="Times New Roman" w:cs="Times New Roman" w:eastAsia="Times New Roman" w:hAnsi="Times New Roman"/>
          <w:sz w:val="20"/>
          <w:szCs w:val="20"/>
        </w:rPr>
        <w:t xml:space="preserve">Precision at fixed recall rises from 0.405 for GWi to 0.564 for A-GWi, which quantifies the reduction in spurious response that the qualitative comparison in Section 5.6 describes. The localisation error lies between 1.30 and 1.49 pixels for all four methods, well inside the matching tolerance of 4.3 pixels for a 481 × 321 image, so localisation accuracy is not a source of difference here. The edge width is 2.33 for GWi and 2.80 for A-GWi, which reflects the wider Gaussian envelope of the kernel that the mechanism selects at most pixels. The difference between the two methods therefore comes from response selectivity rather than from response width.</w:t>
      </w:r>
    </w:p>
    <w:p>
      <w:pPr>
        <w:spacing w:after="0" w:before="0" w:line="240"/>
        <w:ind w:firstLine="227"/>
        <w:jc w:val="both"/>
      </w:pPr>
      <w:r>
        <w:rPr>
          <w:rFonts w:ascii="Times New Roman" w:cs="Times New Roman" w:eastAsia="Times New Roman" w:hAnsi="Times New Roman"/>
          <w:sz w:val="20"/>
          <w:szCs w:val="20"/>
        </w:rPr>
        <w:t xml:space="preserve">The previous version of this work reported a Shannon entropy of the magnitude maps in this role. That analysis has been removed. The values reported there were computed on normalised floating-point arrays, in which almost every pixel is a distinct symbol, so the quantity measured the diversity of floating-point values rather than the information content of the edge map. Entropy would also not support the intended claim after correction, because noise raises it as well.</w:t>
      </w:r>
    </w:p>
    <w:p>
      <w:pPr>
        <w:spacing w:after="200" w:before="200" w:line="240"/>
        <w:ind w:firstLine="0"/>
      </w:pPr>
      <w:r>
        <w:rPr>
          <w:rFonts w:ascii="Times New Roman" w:cs="Times New Roman" w:eastAsia="Times New Roman" w:hAnsi="Times New Roman"/>
          <w:b/>
          <w:bCs/>
          <w:sz w:val="20"/>
          <w:szCs w:val="20"/>
        </w:rPr>
        <w:t xml:space="preserve">5.6 Qualitative comparison</w:t>
      </w:r>
    </w:p>
    <w:p>
      <w:pPr>
        <w:spacing w:after="0" w:before="0" w:line="240"/>
        <w:ind w:firstLine="0"/>
        <w:jc w:val="both"/>
      </w:pPr>
      <w:r>
        <w:rPr>
          <w:rFonts w:ascii="Times New Roman" w:cs="Times New Roman" w:eastAsia="Times New Roman" w:hAnsi="Times New Roman"/>
          <w:sz w:val="20"/>
          <w:szCs w:val="20"/>
        </w:rPr>
        <w:t xml:space="preserve">Figures 5 and 6 show the six detectors on representative images from the two datasets, and Figure 10 shows the per-pixel parameters alongside the resulting edge maps. Two properties are visible across both datasets. A-GWi produces fewer spurious responses in homogeneous regions than either static Gabor baseline, which is the behaviour quantified by the precision at fixed recall in Table 11. The response is not narrower than that of GWi, as the measured edge width shows, which is consistent with the wide Gaussian envelope of the low-frequency kernel that the mechanism selects at most pixels. The difference between the methods is therefore in selectivity rather than in the spatial extent of the response.</w:t>
      </w:r>
    </w:p>
    <w:p>
      <w:pPr>
        <w:spacing w:after="0" w:before="0" w:line="240"/>
        <w:ind w:firstLine="227"/>
        <w:jc w:val="both"/>
      </w:pPr>
      <w:r>
        <w:rPr>
          <w:rFonts w:ascii="Times New Roman" w:cs="Times New Roman" w:eastAsia="Times New Roman" w:hAnsi="Times New Roman"/>
          <w:sz w:val="20"/>
          <w:szCs w:val="20"/>
        </w:rPr>
        <w:t xml:space="preserve">The frequency map in Figure 10 is close to uniform at the lower bound over most of each image, which is the visual counterpart of the ablation in Table 8. The activity map concentrates along object boundaries and stays low across homogeneous regions, so the driving signal is informative even though the mapping in Eq. (7) compresses it to a narrow range of frequencies at the setting used here.</w:t>
      </w:r>
    </w:p>
    <w:p>
      <w:pPr>
        <w:sectPr>
          <w:type w:val="continuous"/>
          <w:pgSz w:w="11906" w:h="16838" w:orient="portrait"/>
          <w:pgMar w:top="1077" w:right="1077" w:bottom="1077" w:left="1077" w:header="708" w:footer="708" w:gutter="0"/>
          <w:pgNumType/>
          <w:cols w:space="397" w:num="2" w:equalWidth="true"/>
          <w:docGrid w:linePitch="360"/>
        </w:sectPr>
      </w:pPr>
    </w:p>
    <w:p>
      <w:pPr>
        <w:spacing w:after="120" w:before="240" w:line="240"/>
        <w:ind w:firstLine="0"/>
        <w:jc w:val="center"/>
      </w:pPr>
      <w:r>
        <w:rPr>
          <w:rFonts w:ascii="Times New Roman" w:cs="Times New Roman" w:eastAsia="Times New Roman" w:hAnsi="Times New Roman"/>
          <w:b/>
          <w:bCs/>
          <w:sz w:val="18"/>
          <w:szCs w:val="18"/>
        </w:rPr>
        <w:t xml:space="preserve">Table 11.</w:t>
      </w:r>
      <w:r>
        <w:rPr>
          <w:rFonts w:ascii="Times New Roman" w:cs="Times New Roman" w:eastAsia="Times New Roman" w:hAnsi="Times New Roman"/>
          <w:sz w:val="18"/>
          <w:szCs w:val="18"/>
        </w:rPr>
        <w:t xml:space="preserve"> Error characteristics on the Berkeley Segmentation Dataset 500. Precision is measured at a fixed recall of 0.5, with the standard deviation across images in parentheses. GWC is the complex Gabor wavelet, GWi the imaginary-only Gabor wavelet, and A-GWi the Adaptive Imaginary Gabor Wavelet. Best value per column in bold</w:t>
      </w:r>
    </w:p>
    <w:tbl>
      <w:tblPr>
        <w:tblW w:type="dxa" w:w="9752"/>
        <w:tblBorders>
          <w:top w:val="none" w:color="FFFFFF" w:sz="0"/>
          <w:left w:val="none" w:color="FFFFFF" w:sz="0"/>
          <w:bottom w:val="none" w:color="FFFFFF" w:sz="0"/>
          <w:right w:val="none" w:color="FFFFFF" w:sz="0"/>
          <w:insideH w:val="none" w:color="FFFFFF" w:sz="0"/>
          <w:insideV w:val="none" w:color="FFFFFF" w:sz="0"/>
        </w:tblBorders>
      </w:tblPr>
      <w:tblGrid>
        <w:gridCol w:w="2000"/>
        <w:gridCol w:w="2900"/>
        <w:gridCol w:w="2900"/>
        <w:gridCol w:w="1952"/>
      </w:tblGrid>
      <w:tr>
        <w:trPr>
          <w:tblHeader/>
        </w:trPr>
        <w:tc>
          <w:tcPr>
            <w:tcW w:type="dxa" w:w="20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Method</w:t>
            </w:r>
          </w:p>
        </w:tc>
        <w:tc>
          <w:tcPr>
            <w:tcW w:type="dxa" w:w="29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Precision at recall 0.5</w:t>
            </w:r>
          </w:p>
        </w:tc>
        <w:tc>
          <w:tcPr>
            <w:tcW w:type="dxa" w:w="29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Localisation error (pixels)</w:t>
            </w:r>
          </w:p>
        </w:tc>
        <w:tc>
          <w:tcPr>
            <w:tcW w:type="dxa" w:w="195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Edge width</w:t>
            </w:r>
          </w:p>
        </w:tc>
      </w:tr>
      <w:t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Canny</w:t>
            </w:r>
          </w:p>
        </w:tc>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0.589 (0.211)</w:t>
            </w:r>
          </w:p>
        </w:tc>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1.374</w:t>
            </w:r>
          </w:p>
        </w:tc>
        <w:tc>
          <w:tcPr>
            <w:tcW w:type="dxa" w:w="19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3.103</w:t>
            </w:r>
          </w:p>
        </w:tc>
      </w:tr>
      <w:t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GWC</w:t>
            </w:r>
          </w:p>
        </w:tc>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0.329 (0.156)</w:t>
            </w:r>
          </w:p>
        </w:tc>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1.491</w:t>
            </w:r>
          </w:p>
        </w:tc>
        <w:tc>
          <w:tcPr>
            <w:tcW w:type="dxa" w:w="19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4.705</w:t>
            </w:r>
          </w:p>
        </w:tc>
      </w:tr>
      <w:t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GWi</w:t>
            </w:r>
          </w:p>
        </w:tc>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0.405 (0.180)</w:t>
            </w:r>
          </w:p>
        </w:tc>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1.303</w:t>
            </w:r>
          </w:p>
        </w:tc>
        <w:tc>
          <w:tcPr>
            <w:tcW w:type="dxa" w:w="195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2.331</w:t>
            </w:r>
          </w:p>
        </w:tc>
      </w:tr>
      <w:tr>
        <w:tc>
          <w:tcPr>
            <w:tcW w:type="dxa" w:w="20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b w:val="false"/>
                <w:bCs w:val="false"/>
                <w:sz w:val="18"/>
                <w:szCs w:val="18"/>
              </w:rPr>
              <w:t xml:space="preserve">A-GWi</w:t>
            </w:r>
          </w:p>
        </w:tc>
        <w:tc>
          <w:tcPr>
            <w:tcW w:type="dxa" w:w="29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0.564 (0.190)</w:t>
            </w:r>
          </w:p>
        </w:tc>
        <w:tc>
          <w:tcPr>
            <w:tcW w:type="dxa" w:w="29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1.394</w:t>
            </w:r>
          </w:p>
        </w:tc>
        <w:tc>
          <w:tcPr>
            <w:tcW w:type="dxa" w:w="1952"/>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val="false"/>
                <w:bCs w:val="false"/>
                <w:sz w:val="18"/>
                <w:szCs w:val="18"/>
              </w:rPr>
              <w:t xml:space="preserve">2.803</w:t>
            </w:r>
          </w:p>
        </w:tc>
      </w:tr>
    </w:tbl>
    <w:p>
      <w:pPr>
        <w:spacing w:after="200" w:before="0" w:line="240"/>
        <w:ind w:firstLine="0"/>
        <w:jc w:val="both"/>
      </w:pPr>
      <w:r>
        <w:rPr>
          <w:rFonts w:ascii="Times New Roman" w:cs="Times New Roman" w:eastAsia="Times New Roman" w:hAnsi="Times New Roman"/>
          <w:sz w:val="20"/>
          <w:szCs w:val="20"/>
        </w:rPr>
        <w:t xml:space="preserve"/>
      </w:r>
    </w:p>
    <w:tbl>
      <w:tblPr>
        <w:tblW w:type="auto" w:w="100"/>
        <w:tblBorders>
          <w:top w:val="dashed" w:color="808080" w:sz="6"/>
          <w:left w:val="dashed" w:color="808080" w:sz="6"/>
          <w:bottom w:val="dashed" w:color="808080" w:sz="6"/>
          <w:right w:val="dashed" w:color="808080" w:sz="6"/>
          <w:insideH w:val="none" w:color="FFFFFF" w:sz="0"/>
          <w:insideV w:val="none" w:color="FFFFFF" w:sz="0"/>
        </w:tblBorders>
      </w:tblPr>
      <w:tblGrid>
        <w:gridCol w:w="9752"/>
      </w:tblGrid>
      <w:tr>
        <w:tc>
          <w:tcPr>
            <w:tcW w:type="dxa" w:w="9752"/>
            <w:tcMar>
              <w:top w:type="dxa" w:w="400"/>
              <w:left w:type="dxa" w:w="100"/>
              <w:bottom w:type="dxa" w:w="400"/>
              <w:right w:type="dxa" w:w="100"/>
            </w:tcMar>
          </w:tcPr>
          <w:p>
            <w:pPr>
              <w:ind w:firstLine="0"/>
              <w:jc w:val="center"/>
            </w:pPr>
            <w:r>
              <w:rPr>
                <w:rFonts w:ascii="Times New Roman" w:cs="Times New Roman" w:eastAsia="Times New Roman" w:hAnsi="Times New Roman"/>
                <w:i/>
                <w:iCs/>
                <w:sz w:val="18"/>
                <w:szCs w:val="18"/>
              </w:rPr>
              <w:t xml:space="preserve">[ Figure 5 placeholder: qualitative comparison, Berkeley Segmentation Dataset 500 ]</w:t>
            </w:r>
          </w:p>
        </w:tc>
      </w:tr>
    </w:tbl>
    <w:p>
      <w:pPr>
        <w:spacing w:after="200" w:before="200" w:line="240"/>
        <w:ind w:firstLine="0"/>
        <w:jc w:val="center"/>
      </w:pPr>
      <w:r>
        <w:rPr>
          <w:rFonts w:ascii="Times New Roman" w:cs="Times New Roman" w:eastAsia="Times New Roman" w:hAnsi="Times New Roman"/>
          <w:b/>
          <w:bCs/>
          <w:sz w:val="18"/>
          <w:szCs w:val="18"/>
        </w:rPr>
        <w:t xml:space="preserve">Figure 5.</w:t>
      </w:r>
      <w:r>
        <w:rPr>
          <w:rFonts w:ascii="Times New Roman" w:cs="Times New Roman" w:eastAsia="Times New Roman" w:hAnsi="Times New Roman"/>
          <w:sz w:val="18"/>
          <w:szCs w:val="18"/>
        </w:rPr>
        <w:t xml:space="preserve"> Qualitative comparison on the Berkeley Segmentation Dataset 500 for image identifiers 3063, 29030, 128035, and 35049. Rows: original image, ground truth, Canny, Sobel, Phase Congruency, complex Gabor wavelet (GWC), imaginary-only Gabor wavelet (GWi), and Adaptive Imaginary Gabor Wavelet (A-GWi). Edge maps are shown as dark edges on a light background</w:t>
      </w:r>
    </w:p>
    <w:tbl>
      <w:tblPr>
        <w:tblW w:type="auto" w:w="100"/>
        <w:tblBorders>
          <w:top w:val="dashed" w:color="808080" w:sz="6"/>
          <w:left w:val="dashed" w:color="808080" w:sz="6"/>
          <w:bottom w:val="dashed" w:color="808080" w:sz="6"/>
          <w:right w:val="dashed" w:color="808080" w:sz="6"/>
          <w:insideH w:val="none" w:color="FFFFFF" w:sz="0"/>
          <w:insideV w:val="none" w:color="FFFFFF" w:sz="0"/>
        </w:tblBorders>
      </w:tblPr>
      <w:tblGrid>
        <w:gridCol w:w="9752"/>
      </w:tblGrid>
      <w:tr>
        <w:tc>
          <w:tcPr>
            <w:tcW w:type="dxa" w:w="9752"/>
            <w:tcMar>
              <w:top w:type="dxa" w:w="400"/>
              <w:left w:type="dxa" w:w="100"/>
              <w:bottom w:type="dxa" w:w="400"/>
              <w:right w:type="dxa" w:w="100"/>
            </w:tcMar>
          </w:tcPr>
          <w:p>
            <w:pPr>
              <w:ind w:firstLine="0"/>
              <w:jc w:val="center"/>
            </w:pPr>
            <w:r>
              <w:rPr>
                <w:rFonts w:ascii="Times New Roman" w:cs="Times New Roman" w:eastAsia="Times New Roman" w:hAnsi="Times New Roman"/>
                <w:i/>
                <w:iCs/>
                <w:sz w:val="18"/>
                <w:szCs w:val="18"/>
              </w:rPr>
              <w:t xml:space="preserve">[ Figure 6 placeholder: qualitative comparison, Unified Dataset for Edge Detection ]</w:t>
            </w:r>
          </w:p>
        </w:tc>
      </w:tr>
    </w:tbl>
    <w:p>
      <w:pPr>
        <w:spacing w:after="200" w:before="200" w:line="240"/>
        <w:ind w:firstLine="0"/>
        <w:jc w:val="center"/>
      </w:pPr>
      <w:r>
        <w:rPr>
          <w:rFonts w:ascii="Times New Roman" w:cs="Times New Roman" w:eastAsia="Times New Roman" w:hAnsi="Times New Roman"/>
          <w:b/>
          <w:bCs/>
          <w:sz w:val="18"/>
          <w:szCs w:val="18"/>
        </w:rPr>
        <w:t xml:space="preserve">Figure 6.</w:t>
      </w:r>
      <w:r>
        <w:rPr>
          <w:rFonts w:ascii="Times New Roman" w:cs="Times New Roman" w:eastAsia="Times New Roman" w:hAnsi="Times New Roman"/>
          <w:sz w:val="18"/>
          <w:szCs w:val="18"/>
        </w:rPr>
        <w:t xml:space="preserve"> Qualitative comparison on the Unified Dataset for Edge Detection for image identifiers 04-0896x4, 05-WIREFRAME-2, and 28-img_043_SRF_2_HR. Rows as in Figure 5</w:t>
      </w:r>
    </w:p>
    <w:tbl>
      <w:tblPr>
        <w:tblW w:type="auto" w:w="100"/>
        <w:tblBorders>
          <w:top w:val="dashed" w:color="808080" w:sz="6"/>
          <w:left w:val="dashed" w:color="808080" w:sz="6"/>
          <w:bottom w:val="dashed" w:color="808080" w:sz="6"/>
          <w:right w:val="dashed" w:color="808080" w:sz="6"/>
          <w:insideH w:val="none" w:color="FFFFFF" w:sz="0"/>
          <w:insideV w:val="none" w:color="FFFFFF" w:sz="0"/>
        </w:tblBorders>
      </w:tblPr>
      <w:tblGrid>
        <w:gridCol w:w="9752"/>
      </w:tblGrid>
      <w:tr>
        <w:tc>
          <w:tcPr>
            <w:tcW w:type="dxa" w:w="9752"/>
            <w:tcMar>
              <w:top w:type="dxa" w:w="400"/>
              <w:left w:type="dxa" w:w="100"/>
              <w:bottom w:type="dxa" w:w="400"/>
              <w:right w:type="dxa" w:w="100"/>
            </w:tcMar>
          </w:tcPr>
          <w:p>
            <w:pPr>
              <w:ind w:firstLine="0"/>
              <w:jc w:val="center"/>
            </w:pPr>
            <w:r>
              <w:rPr>
                <w:rFonts w:ascii="Times New Roman" w:cs="Times New Roman" w:eastAsia="Times New Roman" w:hAnsi="Times New Roman"/>
                <w:i/>
                <w:iCs/>
                <w:sz w:val="18"/>
                <w:szCs w:val="18"/>
              </w:rPr>
              <w:t xml:space="preserve">[ Figure 10 placeholder: per-pixel parameter maps, six columns ]</w:t>
            </w:r>
          </w:p>
        </w:tc>
      </w:tr>
    </w:tbl>
    <w:p>
      <w:pPr>
        <w:spacing w:after="200" w:before="200" w:line="240"/>
        <w:ind w:firstLine="0"/>
        <w:jc w:val="center"/>
      </w:pPr>
      <w:r>
        <w:rPr>
          <w:rFonts w:ascii="Times New Roman" w:cs="Times New Roman" w:eastAsia="Times New Roman" w:hAnsi="Times New Roman"/>
          <w:b/>
          <w:bCs/>
          <w:sz w:val="18"/>
          <w:szCs w:val="18"/>
        </w:rPr>
        <w:t xml:space="preserve">Figure 10.</w:t>
      </w:r>
      <w:r>
        <w:rPr>
          <w:rFonts w:ascii="Times New Roman" w:cs="Times New Roman" w:eastAsia="Times New Roman" w:hAnsi="Times New Roman"/>
          <w:sz w:val="18"/>
          <w:szCs w:val="18"/>
        </w:rPr>
        <w:t xml:space="preserve"> Per-pixel parameters and the resulting edge maps for three images. Columns: input image; the local gradient activity estimate; the adaptive centre frequency; the adaptive scale; the response of the static imaginary-only Gabor wavelet (GWi); and the response of the Adaptive Imaginary Gabor Wavelet (A-GWi). The value range of each map is given in the column heading</w:t>
      </w:r>
    </w:p>
    <w:p>
      <w:pPr>
        <w:sectPr>
          <w:type w:val="continuous"/>
          <w:pgSz w:w="11906" w:h="16838" w:orient="portrait"/>
          <w:pgMar w:top="1077" w:right="1077" w:bottom="1077" w:left="1077" w:header="708" w:footer="708" w:gutter="0"/>
          <w:pgNumType/>
          <w:cols w:num="1"/>
          <w:docGrid w:linePitch="360"/>
        </w:sectPr>
      </w:pPr>
    </w:p>
    <w:p>
      <w:pPr>
        <w:spacing w:after="200" w:before="200" w:line="240"/>
        <w:ind w:firstLine="0"/>
      </w:pPr>
      <w:r>
        <w:rPr>
          <w:rFonts w:ascii="Times New Roman" w:cs="Times New Roman" w:eastAsia="Times New Roman" w:hAnsi="Times New Roman"/>
          <w:b/>
          <w:bCs/>
          <w:sz w:val="20"/>
          <w:szCs w:val="20"/>
        </w:rPr>
        <w:t xml:space="preserve">5.7 Runtime</w:t>
      </w:r>
    </w:p>
    <w:p>
      <w:pPr>
        <w:spacing w:after="0" w:before="0" w:line="240"/>
        <w:ind w:firstLine="0"/>
        <w:jc w:val="both"/>
      </w:pPr>
      <w:r>
        <w:rPr>
          <w:rFonts w:ascii="Times New Roman" w:cs="Times New Roman" w:eastAsia="Times New Roman" w:hAnsi="Times New Roman"/>
          <w:sz w:val="20"/>
          <w:szCs w:val="20"/>
        </w:rPr>
        <w:t xml:space="preserve">Table 12 reports the mean per-image runtime on the 200 BSDS500 test images, measured single-threaded with the just-in-time compiler warmed before timing. Each image is timed three times and the minimum is retained, which limits the influence of background system load; the standard deviation for A-GWi is 5.82 ms, under 1% of the mean.</w:t>
      </w:r>
    </w:p>
    <w:p>
      <w:pPr>
        <w:spacing w:after="0" w:before="0" w:line="240"/>
        <w:ind w:firstLine="227"/>
        <w:jc w:val="both"/>
      </w:pPr>
      <w:r>
        <w:rPr>
          <w:rFonts w:ascii="Times New Roman" w:cs="Times New Roman" w:eastAsia="Times New Roman" w:hAnsi="Times New Roman"/>
          <w:sz w:val="20"/>
          <w:szCs w:val="20"/>
        </w:rPr>
        <w:t xml:space="preserve">The gradient operators are fastest, at 1.66 ms for Sobel and 2.28 ms for Canny. The static Gabor banks are an order of magnitude slower because they filter eight orientations: GWi at 15.54 ms and GWC at 33.70 ms. The ratio of 2.17 between them matches the ratio of 2N to N convolutions and confirms that the imaginary-only formulation halves the filtering cost. Phase Congruency runs at 402.16 ms. A-GWi is the slowest at 604.41 ms, because it builds a kernel at every pixel rather than reusing a precomputed bank.</w:t>
      </w:r>
    </w:p>
    <w:p>
      <w:pPr>
        <w:spacing w:after="0" w:before="0" w:line="240"/>
        <w:ind w:firstLine="227"/>
        <w:jc w:val="both"/>
      </w:pPr>
      <w:r>
        <w:rPr>
          <w:rFonts w:ascii="Times New Roman" w:cs="Times New Roman" w:eastAsia="Times New Roman" w:hAnsi="Times New Roman"/>
          <w:sz w:val="20"/>
          <w:szCs w:val="20"/>
        </w:rPr>
        <w:t xml:space="preserve">Two comparisons place this cost in context, and one of them is unfavourable. Within the multi-scale and multi-orientation family, A-GWi is 1.5 times slower than Phase Congruency while reaching a higher ODS on BSDS500. Against Canny, however, A-GWi is 265 times slower for an accuracy difference that is not statistically significant on either dataset. For applications in which a single edge magnitude map is the required output, the gradient operator is the more efficient choice; the per-pixel formulation is of interest where the multi-orientation response is used downstream, or as a mechanism for setting kernel parameters without manual tuning.</w:t>
      </w:r>
    </w:p>
    <w:p>
      <w:pPr>
        <w:sectPr>
          <w:type w:val="continuous"/>
          <w:pgSz w:w="11906" w:h="16838" w:orient="portrait"/>
          <w:pgMar w:top="1077" w:right="1077" w:bottom="1077" w:left="1077" w:header="708" w:footer="708" w:gutter="0"/>
          <w:pgNumType/>
          <w:cols w:space="397" w:num="2" w:equalWidth="true"/>
          <w:docGrid w:linePitch="360"/>
        </w:sectPr>
      </w:pPr>
    </w:p>
    <w:p>
      <w:pPr>
        <w:spacing w:after="120" w:before="240" w:line="240"/>
        <w:ind w:firstLine="0"/>
        <w:jc w:val="center"/>
      </w:pPr>
      <w:r>
        <w:rPr>
          <w:rFonts w:ascii="Times New Roman" w:cs="Times New Roman" w:eastAsia="Times New Roman" w:hAnsi="Times New Roman"/>
          <w:b/>
          <w:bCs/>
          <w:sz w:val="18"/>
          <w:szCs w:val="18"/>
        </w:rPr>
        <w:t xml:space="preserve">Table 12.</w:t>
      </w:r>
      <w:r>
        <w:rPr>
          <w:rFonts w:ascii="Times New Roman" w:cs="Times New Roman" w:eastAsia="Times New Roman" w:hAnsi="Times New Roman"/>
          <w:sz w:val="18"/>
          <w:szCs w:val="18"/>
        </w:rPr>
        <w:t xml:space="preserve"> Mean per-image runtime on the 200 test images of the Berkeley Segmentation Dataset 500, single-threaded on an Intel Core i5-14400. Each image is timed three times and the minimum is retained. GWC is the complex Gabor wavelet, GWi the imaginary-only Gabor wavelet, and A-GWi the Adaptive Imaginary Gabor Wavelet</w:t>
      </w:r>
    </w:p>
    <w:tbl>
      <w:tblPr>
        <w:tblW w:type="dxa" w:w="9752"/>
        <w:tblBorders>
          <w:top w:val="none" w:color="FFFFFF" w:sz="0"/>
          <w:left w:val="none" w:color="FFFFFF" w:sz="0"/>
          <w:bottom w:val="none" w:color="FFFFFF" w:sz="0"/>
          <w:right w:val="none" w:color="FFFFFF" w:sz="0"/>
          <w:insideH w:val="none" w:color="FFFFFF" w:sz="0"/>
          <w:insideV w:val="none" w:color="FFFFFF" w:sz="0"/>
        </w:tblBorders>
      </w:tblPr>
      <w:tblGrid>
        <w:gridCol w:w="1750"/>
        <w:gridCol w:w="1300"/>
        <w:gridCol w:w="2200"/>
        <w:gridCol w:w="1400"/>
        <w:gridCol w:w="1400"/>
        <w:gridCol w:w="1702"/>
      </w:tblGrid>
      <w:tr>
        <w:trPr>
          <w:tblHeader/>
        </w:trPr>
        <w:tc>
          <w:tcPr>
            <w:tcW w:type="dxa" w:w="175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Method</w:t>
            </w:r>
          </w:p>
        </w:tc>
        <w:tc>
          <w:tcPr>
            <w:tcW w:type="dxa" w:w="13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Mean (ms)</w:t>
            </w:r>
          </w:p>
        </w:tc>
        <w:tc>
          <w:tcPr>
            <w:tcW w:type="dxa" w:w="22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Standard deviation (ms)</w:t>
            </w:r>
          </w:p>
        </w:tc>
        <w:tc>
          <w:tcPr>
            <w:tcW w:type="dxa" w:w="14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Minimum (ms)</w:t>
            </w:r>
          </w:p>
        </w:tc>
        <w:tc>
          <w:tcPr>
            <w:tcW w:type="dxa" w:w="14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Maximum (ms)</w:t>
            </w:r>
          </w:p>
        </w:tc>
        <w:tc>
          <w:tcPr>
            <w:tcW w:type="dxa" w:w="1702"/>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b/>
                <w:bCs/>
                <w:sz w:val="18"/>
                <w:szCs w:val="18"/>
              </w:rPr>
              <w:t xml:space="preserve">Speed relative to A-GWi</w:t>
            </w:r>
          </w:p>
        </w:tc>
      </w:tr>
      <w:tr>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Sobel</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1.66</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0.08</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1.52</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2.28</w:t>
            </w:r>
          </w:p>
        </w:tc>
        <w:tc>
          <w:tcPr>
            <w:tcW w:type="dxa" w:w="170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363× faster</w:t>
            </w:r>
          </w:p>
        </w:tc>
      </w:tr>
      <w:tr>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Canny</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2.28</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0.10</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2.12</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2.65</w:t>
            </w:r>
          </w:p>
        </w:tc>
        <w:tc>
          <w:tcPr>
            <w:tcW w:type="dxa" w:w="170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265× faster</w:t>
            </w:r>
          </w:p>
        </w:tc>
      </w:tr>
      <w:tr>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GWi</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15.54</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0.55</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14.85</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18.43</w:t>
            </w:r>
          </w:p>
        </w:tc>
        <w:tc>
          <w:tcPr>
            <w:tcW w:type="dxa" w:w="170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38.9× faster</w:t>
            </w:r>
          </w:p>
        </w:tc>
      </w:tr>
      <w:tr>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GWC</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33.70</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0.95</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32.37</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36.08</w:t>
            </w:r>
          </w:p>
        </w:tc>
        <w:tc>
          <w:tcPr>
            <w:tcW w:type="dxa" w:w="170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17.9× faster</w:t>
            </w:r>
          </w:p>
        </w:tc>
      </w:tr>
      <w:tr>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Phase Congruency</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402.16</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8.33</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390.31</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426.12</w:t>
            </w:r>
          </w:p>
        </w:tc>
        <w:tc>
          <w:tcPr>
            <w:tcW w:type="dxa" w:w="170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1.5× faster</w:t>
            </w:r>
          </w:p>
        </w:tc>
      </w:tr>
      <w:tr>
        <w:tc>
          <w:tcPr>
            <w:tcW w:type="dxa" w:w="175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left"/>
            </w:pPr>
            <w:r>
              <w:rPr>
                <w:rFonts w:ascii="Times New Roman" w:cs="Times New Roman" w:eastAsia="Times New Roman" w:hAnsi="Times New Roman"/>
                <w:sz w:val="18"/>
                <w:szCs w:val="18"/>
              </w:rPr>
              <w:t xml:space="preserve">A-GWi</w:t>
            </w:r>
          </w:p>
        </w:tc>
        <w:tc>
          <w:tcPr>
            <w:tcW w:type="dxa" w:w="13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604.41</w:t>
            </w:r>
          </w:p>
        </w:tc>
        <w:tc>
          <w:tcPr>
            <w:tcW w:type="dxa" w:w="22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5.82</w:t>
            </w:r>
          </w:p>
        </w:tc>
        <w:tc>
          <w:tcPr>
            <w:tcW w:type="dxa" w:w="14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596.49</w:t>
            </w:r>
          </w:p>
        </w:tc>
        <w:tc>
          <w:tcPr>
            <w:tcW w:type="dxa" w:w="14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629.34</w:t>
            </w:r>
          </w:p>
        </w:tc>
        <w:tc>
          <w:tcPr>
            <w:tcW w:type="dxa" w:w="1702"/>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30" w:before="30" w:line="240"/>
              <w:ind w:firstLine="0"/>
              <w:jc w:val="center"/>
            </w:pPr>
            <w:r>
              <w:rPr>
                <w:rFonts w:ascii="Times New Roman" w:cs="Times New Roman" w:eastAsia="Times New Roman" w:hAnsi="Times New Roman"/>
                <w:sz w:val="18"/>
                <w:szCs w:val="18"/>
              </w:rPr>
              <w:t xml:space="preserve">1.0× (reference)</w:t>
            </w:r>
          </w:p>
        </w:tc>
      </w:tr>
    </w:tbl>
    <w:p>
      <w:pPr>
        <w:spacing w:after="200" w:before="0" w:line="240"/>
        <w:ind w:firstLine="0"/>
        <w:jc w:val="both"/>
      </w:pPr>
      <w:r>
        <w:rPr>
          <w:rFonts w:ascii="Times New Roman" w:cs="Times New Roman" w:eastAsia="Times New Roman" w:hAnsi="Times New Roman"/>
          <w:sz w:val="20"/>
          <w:szCs w:val="20"/>
        </w:rPr>
        <w:t xml:space="preserve"/>
      </w:r>
    </w:p>
    <w:p>
      <w:pPr>
        <w:sectPr>
          <w:type w:val="continuous"/>
          <w:pgSz w:w="11906" w:h="16838" w:orient="portrait"/>
          <w:pgMar w:top="1077" w:right="1077" w:bottom="1077" w:left="1077" w:header="708" w:footer="708" w:gutter="0"/>
          <w:pgNumType/>
          <w:cols w:num="1"/>
          <w:docGrid w:linePitch="360"/>
        </w:sectPr>
      </w:pPr>
    </w:p>
    <w:p>
      <w:pPr>
        <w:spacing w:after="200" w:before="200" w:line="240"/>
        <w:ind w:firstLine="0"/>
      </w:pPr>
      <w:r>
        <w:rPr>
          <w:rFonts w:ascii="Times New Roman" w:cs="Times New Roman" w:eastAsia="Times New Roman" w:hAnsi="Times New Roman"/>
          <w:b/>
          <w:bCs/>
          <w:sz w:val="20"/>
          <w:szCs w:val="20"/>
        </w:rPr>
        <w:t xml:space="preserve">5.8 Limitations</w:t>
      </w:r>
    </w:p>
    <w:p>
      <w:pPr>
        <w:spacing w:after="0" w:before="0" w:line="240"/>
        <w:ind w:firstLine="0"/>
        <w:jc w:val="both"/>
      </w:pPr>
      <w:r>
        <w:rPr>
          <w:rFonts w:ascii="Times New Roman" w:cs="Times New Roman" w:eastAsia="Times New Roman" w:hAnsi="Times New Roman"/>
          <w:sz w:val="20"/>
          <w:szCs w:val="20"/>
        </w:rPr>
        <w:t xml:space="preserve">Four limitations follow from the results. First, the per-pixel construction has a high constant factor: each pixel requires its own kernel before the filtering step, which prevents the separable optimisation available to static kernels, and the measured cost is 604 ms per image. Second, the ablation shows that the per-pixel mechanism does not improve accuracy over the best static configuration on these benchmarks; its value lies in reaching that configuration without manual tuning, and a stronger claim is not supported. Third, the mapping in Eq. (7) is centred at a value that most pixels do not approach on natural-scene data, and the variant in which the modulation is made fully active performs worse, so the direction of the hypothesis relating activity to frequency is not confirmed. Fourth, the evaluation is limited to natural-scene benchmarks; validation on dense agricultural grain imagery, where the boundaries of touching kernels overlap at very high density, is left for future work and is the motivating downstream application.</w:t>
      </w:r>
    </w:p>
    <w:p>
      <w:pPr>
        <w:spacing w:after="200" w:before="400" w:line="240"/>
        <w:ind w:firstLine="0"/>
      </w:pPr>
      <w:r>
        <w:rPr>
          <w:rFonts w:ascii="Times New Roman" w:cs="Times New Roman" w:eastAsia="Times New Roman" w:hAnsi="Times New Roman"/>
          <w:b/>
          <w:bCs/>
          <w:sz w:val="20"/>
          <w:szCs w:val="20"/>
        </w:rPr>
        <w:t xml:space="preserve">6. CONCLUSIONS</w:t>
      </w:r>
    </w:p>
    <w:p>
      <w:pPr>
        <w:spacing w:after="0" w:before="0" w:line="240"/>
        <w:ind w:firstLine="0"/>
        <w:jc w:val="both"/>
      </w:pPr>
      <w:r>
        <w:rPr>
          <w:rFonts w:ascii="Times New Roman" w:cs="Times New Roman" w:eastAsia="Times New Roman" w:hAnsi="Times New Roman"/>
          <w:sz w:val="20"/>
          <w:szCs w:val="20"/>
        </w:rPr>
        <w:t xml:space="preserve">This paper presented the Adaptive Imaginary Gabor Wavelet, a handcrafted formulation in which the centre frequency and scale of an imaginary-only Gabor kernel are set at every pixel in closed form from a local gradient activity estimate, without training and without a graphics processing unit. On the Berkeley Segmentation Dataset 500 the method attains an optimal dataset scale F-measure of 0.534, against 0.417 for the static imaginary Gabor wavelet and 0.397 for the complex Gabor wavelet, and on the Unified Dataset for Edge Detection it attains 0.668 against 0.580 and 0.507. The margin over both static baselines is significant on both datasets with medium to large effect sizes, and it is the controlled comparison in the sense that the three methods share the kernel structure, the orientation count, the window size, and the preprocessing.</w:t>
      </w:r>
    </w:p>
    <w:p>
      <w:pPr>
        <w:spacing w:after="0" w:before="0" w:line="240"/>
        <w:ind w:firstLine="227"/>
        <w:jc w:val="both"/>
      </w:pPr>
      <w:r>
        <w:rPr>
          <w:rFonts w:ascii="Times New Roman" w:cs="Times New Roman" w:eastAsia="Times New Roman" w:hAnsi="Times New Roman"/>
          <w:sz w:val="20"/>
          <w:szCs w:val="20"/>
        </w:rPr>
        <w:t xml:space="preserve">The ablation qualifies what the mechanism contributes. A static kernel at the lower frequency bound reaches the same accuracy as the full formulation, and the difference between them is not significant, so the improvement over the static baseline at a wavelength of 4 pixels comes from the change in effective centre frequency rather than from per-pixel modulation. The mechanism reaches an effective operating point without a manually selected centre frequency, which is a weaker but supported claim. Making the modulation active across the full frequency range lowers accuracy, so the direction of the underlying hypothesis is not confirmed on these data. Against a gradient-magnitude Canny baseline, the accuracy difference is not significant on either dataset.</w:t>
      </w:r>
    </w:p>
    <w:p>
      <w:pPr>
        <w:spacing w:after="0" w:before="0" w:line="240"/>
        <w:ind w:firstLine="227"/>
        <w:jc w:val="both"/>
      </w:pPr>
      <w:r>
        <w:rPr>
          <w:rFonts w:ascii="Times New Roman" w:cs="Times New Roman" w:eastAsia="Times New Roman" w:hAnsi="Times New Roman"/>
          <w:sz w:val="20"/>
          <w:szCs w:val="20"/>
        </w:rPr>
        <w:t xml:space="preserve">Two properties distinguish the formulation from prior adaptive methods. The adaptation is deterministic and reproducible, computed from a closed-form mapping with no random initialisation and no learned weights. The pipeline runs on a single processor thread without a graphics processing unit. At 604 ms per image on a desktop Intel Core i5-14400 it is not real time, and deployment on embedded hardware would require the kernel quantization and lookup-table acceleration described below. No embedded platform was tested in this study, and the runtime is 265 times that of the gradient-magnitude Canny baseline, which reaches a comparable accuracy, so the formulation is not presented as the more efficient option for producing a single edge magnitude map.</w:t>
      </w:r>
    </w:p>
    <w:p>
      <w:pPr>
        <w:spacing w:after="0" w:before="0" w:line="240"/>
        <w:ind w:firstLine="227"/>
        <w:jc w:val="both"/>
      </w:pPr>
      <w:r>
        <w:rPr>
          <w:rFonts w:ascii="Times New Roman" w:cs="Times New Roman" w:eastAsia="Times New Roman" w:hAnsi="Times New Roman"/>
          <w:sz w:val="20"/>
          <w:szCs w:val="20"/>
        </w:rPr>
        <w:t xml:space="preserve">Future work follows three directions. Kernel quantization combined with a discrete lookup table over activity levels can reduce the per-pixel cost towards real-time throughput on embedded hardware. Recentring the sigmoid mapping on the empirical distribution of the activity estimate, and re-examining the direction of the frequency relation, may allow the mechanism to contribute beyond parameter selection. The extension to dense agricultural grain imagery is the motivating downstream application, where the method is intended to support kernel counting and aflatoxin contamination screening in shelled corn.</w:t>
      </w:r>
    </w:p>
    <w:p>
      <w:pPr>
        <w:spacing w:after="100" w:before="0" w:line="240"/>
        <w:ind w:firstLine="0"/>
        <w:jc w:val="both"/>
      </w:pPr>
      <w:r>
        <w:rPr>
          <w:rFonts w:ascii="Times New Roman" w:cs="Times New Roman" w:eastAsia="Times New Roman" w:hAnsi="Times New Roman"/>
          <w:sz w:val="20"/>
          <w:szCs w:val="20"/>
        </w:rPr>
        <w:t xml:space="preserve"/>
      </w:r>
    </w:p>
    <w:p>
      <w:pPr>
        <w:spacing w:after="200" w:before="400"/>
        <w:ind w:firstLine="0"/>
      </w:pPr>
      <w:r>
        <w:rPr>
          <w:rFonts w:ascii="Times New Roman" w:cs="Times New Roman" w:eastAsia="Times New Roman" w:hAnsi="Times New Roman"/>
          <w:b/>
          <w:bCs/>
          <w:sz w:val="20"/>
          <w:szCs w:val="20"/>
        </w:rPr>
        <w:t xml:space="preserve">AUTHOR CONTRIBUTIONS</w:t>
      </w:r>
    </w:p>
    <w:p>
      <w:pPr>
        <w:spacing w:after="0" w:before="0" w:line="240"/>
        <w:ind w:firstLine="0"/>
        <w:jc w:val="both"/>
      </w:pPr>
      <w:r>
        <w:rPr>
          <w:rFonts w:ascii="Times New Roman" w:cs="Times New Roman" w:eastAsia="Times New Roman" w:hAnsi="Times New Roman"/>
          <w:sz w:val="20"/>
          <w:szCs w:val="20"/>
        </w:rPr>
        <w:t xml:space="preserve">Conceptualization, K. Yudhistiro, R.S. Basuki, and N. Rijati; methodology and software, K. Yudhistiro; validation, all authors; formal analysis, data curation, and visualization, K. Yudhistiro; writing, original draft, K. Yudhistiro; writing, review and editing, R.S. Basuki and N. Rijati; supervision, R.S. Basuki and N. Rijati.</w:t>
      </w:r>
    </w:p>
    <w:p>
      <w:pPr>
        <w:spacing w:after="200" w:before="400"/>
        <w:ind w:firstLine="0"/>
      </w:pPr>
      <w:r>
        <w:rPr>
          <w:rFonts w:ascii="Times New Roman" w:cs="Times New Roman" w:eastAsia="Times New Roman" w:hAnsi="Times New Roman"/>
          <w:b/>
          <w:bCs/>
          <w:sz w:val="20"/>
          <w:szCs w:val="20"/>
        </w:rPr>
        <w:t xml:space="preserve">ACKNOWLEDGMENT</w:t>
      </w:r>
    </w:p>
    <w:p>
      <w:pPr>
        <w:spacing w:after="0" w:before="0" w:line="240"/>
        <w:ind w:firstLine="0"/>
        <w:jc w:val="both"/>
      </w:pPr>
      <w:r>
        <w:rPr>
          <w:rFonts w:ascii="Times New Roman" w:cs="Times New Roman" w:eastAsia="Times New Roman" w:hAnsi="Times New Roman"/>
          <w:sz w:val="20"/>
          <w:szCs w:val="20"/>
        </w:rPr>
        <w:t xml:space="preserve">This work is supported by Universitas Dian Nuswantoro, Semarang, Indonesia, for research facilities and support.</w:t>
      </w:r>
    </w:p>
    <w:p>
      <w:pPr>
        <w:spacing w:after="200" w:before="400"/>
        <w:ind w:firstLine="0"/>
      </w:pPr>
      <w:r>
        <w:rPr>
          <w:rFonts w:ascii="Times New Roman" w:cs="Times New Roman" w:eastAsia="Times New Roman" w:hAnsi="Times New Roman"/>
          <w:b/>
          <w:bCs/>
          <w:sz w:val="20"/>
          <w:szCs w:val="20"/>
        </w:rPr>
        <w:t xml:space="preserve">DATA AVAILABILITY</w:t>
      </w:r>
    </w:p>
    <w:p>
      <w:pPr>
        <w:spacing w:after="0" w:before="0" w:line="240"/>
        <w:ind w:firstLine="0"/>
        <w:jc w:val="both"/>
      </w:pPr>
      <w:r>
        <w:rPr>
          <w:rFonts w:ascii="Times New Roman" w:cs="Times New Roman" w:eastAsia="Times New Roman" w:hAnsi="Times New Roman"/>
          <w:sz w:val="20"/>
          <w:szCs w:val="20"/>
        </w:rPr>
        <w:t xml:space="preserve">All evaluation code, ablation scripts, runtime logs, and figure-generation scripts are released at https://github.com/kukuhyudhistiro/agwi to enable reproduction.</w:t>
      </w:r>
    </w:p>
    <w:p>
      <w:pPr>
        <w:spacing w:after="200" w:before="400"/>
        <w:ind w:firstLine="0"/>
      </w:pPr>
      <w:r>
        <w:rPr>
          <w:rFonts w:ascii="Times New Roman" w:cs="Times New Roman" w:eastAsia="Times New Roman" w:hAnsi="Times New Roman"/>
          <w:b/>
          <w:bCs/>
          <w:sz w:val="20"/>
          <w:szCs w:val="20"/>
        </w:rPr>
        <w:t xml:space="preserve">REFERENCES</w:t>
      </w:r>
    </w:p>
    <w:p>
      <w:pPr>
        <w:spacing w:after="100" w:line="240"/>
        <w:ind w:left="340" w:hanging="340"/>
        <w:jc w:val="both"/>
      </w:pPr>
      <w:r>
        <w:rPr>
          <w:rFonts w:ascii="Times New Roman" w:cs="Times New Roman" w:eastAsia="Times New Roman" w:hAnsi="Times New Roman"/>
          <w:sz w:val="18"/>
          <w:szCs w:val="18"/>
        </w:rPr>
        <w:t xml:space="preserve">[1] Li, H., Xu, K. (2025). Innovative adaptive edge detection for noisy images using wavelet and Gaussian method. Scientific Reports, 15: 5838. https://doi.org/10.1038/s41598-025-86860-9</w:t>
      </w:r>
    </w:p>
    <w:p>
      <w:pPr>
        <w:spacing w:after="100" w:line="240"/>
        <w:ind w:left="340" w:hanging="340"/>
        <w:jc w:val="both"/>
      </w:pPr>
      <w:r>
        <w:rPr>
          <w:rFonts w:ascii="Times New Roman" w:cs="Times New Roman" w:eastAsia="Times New Roman" w:hAnsi="Times New Roman"/>
          <w:sz w:val="18"/>
          <w:szCs w:val="18"/>
        </w:rPr>
        <w:t xml:space="preserve">[2] Li, Y., Bi, Y., Zhang, W., Ren, J., Chen, J. (2023). M2GF: Multi-scale and multi-directional Gabor filters for image edge detection. Applied Sciences, 13(16): 9409. https://doi.org/10.3390/app13169409</w:t>
      </w:r>
    </w:p>
    <w:p>
      <w:pPr>
        <w:spacing w:after="100" w:line="240"/>
        <w:ind w:left="340" w:hanging="340"/>
        <w:jc w:val="both"/>
      </w:pPr>
      <w:r>
        <w:rPr>
          <w:rFonts w:ascii="Times New Roman" w:cs="Times New Roman" w:eastAsia="Times New Roman" w:hAnsi="Times New Roman"/>
          <w:sz w:val="18"/>
          <w:szCs w:val="18"/>
        </w:rPr>
        <w:t xml:space="preserve">[3] Deshmukh, M.T., Wankhede, P.R., Chakole, N., Kale, P.D., Jadhav, M.R., Kulkarni, M.B., Bhaiyya, M. (2025). Towards intelligent food safety: Machine learning approaches for aflatoxin detection and risk prediction. Trends in Food Science &amp; Technology, 161: 105055. https://doi.org/10.1016/j.tifs.2025.105055</w:t>
      </w:r>
    </w:p>
    <w:p>
      <w:pPr>
        <w:spacing w:after="100" w:line="240"/>
        <w:ind w:left="340" w:hanging="340"/>
        <w:jc w:val="both"/>
      </w:pPr>
      <w:r>
        <w:rPr>
          <w:rFonts w:ascii="Times New Roman" w:cs="Times New Roman" w:eastAsia="Times New Roman" w:hAnsi="Times New Roman"/>
          <w:sz w:val="18"/>
          <w:szCs w:val="18"/>
        </w:rPr>
        <w:t xml:space="preserve">[4] Canny, J. (1986). A computational approach to edge detection. IEEE Transactions on Pattern Analysis and Machine Intelligence, 8(6): 679-698. https://doi.org/10.1109/TPAMI.1986.4767851</w:t>
      </w:r>
    </w:p>
    <w:p>
      <w:pPr>
        <w:spacing w:after="100" w:line="240"/>
        <w:ind w:left="340" w:hanging="340"/>
        <w:jc w:val="both"/>
      </w:pPr>
      <w:r>
        <w:rPr>
          <w:rFonts w:ascii="Times New Roman" w:cs="Times New Roman" w:eastAsia="Times New Roman" w:hAnsi="Times New Roman"/>
          <w:sz w:val="18"/>
          <w:szCs w:val="18"/>
        </w:rPr>
        <w:t xml:space="preserve">[5] Sobel, I., Feldman, G. (1968). A 3x3 isotropic gradient operator for image processing. Stanford Artificial Intelligence Project, Stanford University, Stanford, California, USA.</w:t>
      </w:r>
    </w:p>
    <w:p>
      <w:pPr>
        <w:spacing w:after="100" w:line="240"/>
        <w:ind w:left="340" w:hanging="340"/>
        <w:jc w:val="both"/>
      </w:pPr>
      <w:r>
        <w:rPr>
          <w:rFonts w:ascii="Times New Roman" w:cs="Times New Roman" w:eastAsia="Times New Roman" w:hAnsi="Times New Roman"/>
          <w:sz w:val="18"/>
          <w:szCs w:val="18"/>
        </w:rPr>
        <w:t xml:space="preserve">[6] Marr, D., Hildreth, E. (1980). Theory of edge detection. Proceedings of the Royal Society of London B, 207(1167): 187-217. https://doi.org/10.1098/rspb.1980.0020</w:t>
      </w:r>
    </w:p>
    <w:p>
      <w:pPr>
        <w:spacing w:after="100" w:line="240"/>
        <w:ind w:left="340" w:hanging="340"/>
        <w:jc w:val="both"/>
      </w:pPr>
      <w:r>
        <w:rPr>
          <w:rFonts w:ascii="Times New Roman" w:cs="Times New Roman" w:eastAsia="Times New Roman" w:hAnsi="Times New Roman"/>
          <w:sz w:val="18"/>
          <w:szCs w:val="18"/>
        </w:rPr>
        <w:t xml:space="preserve">[7] Daugman, J.G. (1980). Two-dimensional spectral analysis of cortical receptive field profiles. Vision Research, 20(10): 847-856. https://doi.org/10.1016/0042-6989(80)90065-6</w:t>
      </w:r>
    </w:p>
    <w:p>
      <w:pPr>
        <w:spacing w:after="100" w:line="240"/>
        <w:ind w:left="340" w:hanging="340"/>
        <w:jc w:val="both"/>
      </w:pPr>
      <w:r>
        <w:rPr>
          <w:rFonts w:ascii="Times New Roman" w:cs="Times New Roman" w:eastAsia="Times New Roman" w:hAnsi="Times New Roman"/>
          <w:sz w:val="18"/>
          <w:szCs w:val="18"/>
        </w:rPr>
        <w:t xml:space="preserve">[8] Daugman, J.G. (1985). Uncertainty relation for resolution in space, spatial frequency, and orientation optimized by two-dimensional visual cortical filters. Journal of the Optical Society of America A, 2(7): 1160-1169. https://doi.org/10.1364/JOSAA.2.001160</w:t>
      </w:r>
    </w:p>
    <w:p>
      <w:pPr>
        <w:spacing w:after="100" w:line="240"/>
        <w:ind w:left="340" w:hanging="340"/>
        <w:jc w:val="both"/>
      </w:pPr>
      <w:r>
        <w:rPr>
          <w:rFonts w:ascii="Times New Roman" w:cs="Times New Roman" w:eastAsia="Times New Roman" w:hAnsi="Times New Roman"/>
          <w:sz w:val="18"/>
          <w:szCs w:val="18"/>
        </w:rPr>
        <w:t xml:space="preserve">[9] Kamanga, I.A. (2022). Improved edge detection using variable thresholding technique and convolution of Gabor with Gaussian filters. Signal &amp; Image Processing: An International Journal, 13(5): 1-15. https://doi.org/10.5121/sipij.2022.13501</w:t>
      </w:r>
    </w:p>
    <w:p>
      <w:pPr>
        <w:spacing w:after="100" w:line="240"/>
        <w:ind w:left="340" w:hanging="340"/>
        <w:jc w:val="both"/>
      </w:pPr>
      <w:r>
        <w:rPr>
          <w:rFonts w:ascii="Times New Roman" w:cs="Times New Roman" w:eastAsia="Times New Roman" w:hAnsi="Times New Roman"/>
          <w:sz w:val="18"/>
          <w:szCs w:val="18"/>
        </w:rPr>
        <w:t xml:space="preserve">[10] Sun, X., Sun, X.F. (2024). An edge detection algorithm based upon the adaptive multi-directional anisotropic Gaussian filter and its applications. The Journal of Supercomputing, 80(11): 15183-15214. https://doi.org/10.1007/s11227-024-06044-6</w:t>
      </w:r>
    </w:p>
    <w:p>
      <w:pPr>
        <w:spacing w:after="100" w:line="240"/>
        <w:ind w:left="340" w:hanging="340"/>
        <w:jc w:val="both"/>
      </w:pPr>
      <w:r>
        <w:rPr>
          <w:rFonts w:ascii="Times New Roman" w:cs="Times New Roman" w:eastAsia="Times New Roman" w:hAnsi="Times New Roman"/>
          <w:sz w:val="18"/>
          <w:szCs w:val="18"/>
        </w:rPr>
        <w:t xml:space="preserve">[11] Bradley, D., Roth, G. (2007). Adaptive thresholding using the integral image. Journal of Graphics Tools, 12(2): 13-21. https://doi.org/10.1080/2151237X.2007.10129236</w:t>
      </w:r>
    </w:p>
    <w:p>
      <w:pPr>
        <w:spacing w:after="100" w:line="240"/>
        <w:ind w:left="340" w:hanging="340"/>
        <w:jc w:val="both"/>
      </w:pPr>
      <w:r>
        <w:rPr>
          <w:rFonts w:ascii="Times New Roman" w:cs="Times New Roman" w:eastAsia="Times New Roman" w:hAnsi="Times New Roman"/>
          <w:sz w:val="18"/>
          <w:szCs w:val="18"/>
        </w:rPr>
        <w:t xml:space="preserve">[12] Ding, H., Huang, S., Lin, C. (2025). Learning Gabor layer for edge detection network. Digital Signal Processing, 160: 105438. https://doi.org/10.1016/j.dsp.2025.105438</w:t>
      </w:r>
    </w:p>
    <w:p>
      <w:pPr>
        <w:spacing w:after="100" w:line="240"/>
        <w:ind w:left="340" w:hanging="340"/>
        <w:jc w:val="both"/>
      </w:pPr>
      <w:r>
        <w:rPr>
          <w:rFonts w:ascii="Times New Roman" w:cs="Times New Roman" w:eastAsia="Times New Roman" w:hAnsi="Times New Roman"/>
          <w:sz w:val="18"/>
          <w:szCs w:val="18"/>
        </w:rPr>
        <w:t xml:space="preserve">[13] Gong, X., Xia, X., Zhu, W., Zhang, B., Doermann, D., Zhuo, L. (2021). Deformable Gabor feature networks for biomedical image classification. In Proceedings of the IEEE/CVF Winter Conference on Applications of Computer Vision, Waikoloa, USA, pp. 4004-4012. https://doi.org/10.1109/WACV48630.2021.00405</w:t>
      </w:r>
    </w:p>
    <w:p>
      <w:pPr>
        <w:spacing w:after="100" w:line="240"/>
        <w:ind w:left="340" w:hanging="340"/>
        <w:jc w:val="both"/>
      </w:pPr>
      <w:r>
        <w:rPr>
          <w:rFonts w:ascii="Times New Roman" w:cs="Times New Roman" w:eastAsia="Times New Roman" w:hAnsi="Times New Roman"/>
          <w:sz w:val="18"/>
          <w:szCs w:val="18"/>
        </w:rPr>
        <w:t xml:space="preserve">[14] Yuan, Y., Wang, L.N., Zhong, G., Gao, W., Jiao, W., Dong, J., Shen, B., Xia, D., Xiang, W. (2022). Adaptive Gabor convolutional networks. Pattern Recognition, 124: 108495. https://doi.org/10.1016/j.patcog.2021.108495</w:t>
      </w:r>
    </w:p>
    <w:p>
      <w:pPr>
        <w:spacing w:after="100" w:line="240"/>
        <w:ind w:left="340" w:hanging="340"/>
        <w:jc w:val="both"/>
      </w:pPr>
      <w:r>
        <w:rPr>
          <w:rFonts w:ascii="Times New Roman" w:cs="Times New Roman" w:eastAsia="Times New Roman" w:hAnsi="Times New Roman"/>
          <w:sz w:val="18"/>
          <w:szCs w:val="18"/>
        </w:rPr>
        <w:t xml:space="preserve">[15] Luan, S., Chen, C., Zhang, B., Han, J., Liu, J. (2018). Gabor convolutional networks. IEEE Transactions on Image Processing, 27(9): 4357-4366. https://doi.org/10.1109/TIP.2018.2835143</w:t>
      </w:r>
    </w:p>
    <w:p>
      <w:pPr>
        <w:spacing w:after="100" w:line="240"/>
        <w:ind w:left="340" w:hanging="340"/>
        <w:jc w:val="both"/>
      </w:pPr>
      <w:r>
        <w:rPr>
          <w:rFonts w:ascii="Times New Roman" w:cs="Times New Roman" w:eastAsia="Times New Roman" w:hAnsi="Times New Roman"/>
          <w:sz w:val="18"/>
          <w:szCs w:val="18"/>
        </w:rPr>
        <w:t xml:space="preserve">[16] Liu, C., Ding, W., Wang, X., Zhang, B. (2018). Hybrid Gabor convolutional networks. Pattern Recognition Letters, 116: 164-169. https://doi.org/10.1016/j.patrec.2018.10.014</w:t>
      </w:r>
    </w:p>
    <w:p>
      <w:pPr>
        <w:spacing w:after="100" w:line="240"/>
        <w:ind w:left="340" w:hanging="340"/>
        <w:jc w:val="both"/>
      </w:pPr>
      <w:r>
        <w:rPr>
          <w:rFonts w:ascii="Times New Roman" w:cs="Times New Roman" w:eastAsia="Times New Roman" w:hAnsi="Times New Roman"/>
          <w:sz w:val="18"/>
          <w:szCs w:val="18"/>
        </w:rPr>
        <w:t xml:space="preserve">[17] Alekseev, A., Bobe, A. (2019). GaborNet: Gabor filters with learnable parameters in deep convolutional neural networks. In Proceedings of the International Conference on Engineering and Telecommunication, Dolgoprudny, Russia, pp. 1-4. https://doi.org/10.1109/ENT47717.2019.9030571</w:t>
      </w:r>
    </w:p>
    <w:p>
      <w:pPr>
        <w:spacing w:after="100" w:line="240"/>
        <w:ind w:left="340" w:hanging="340"/>
        <w:jc w:val="both"/>
      </w:pPr>
      <w:r>
        <w:rPr>
          <w:rFonts w:ascii="Times New Roman" w:cs="Times New Roman" w:eastAsia="Times New Roman" w:hAnsi="Times New Roman"/>
          <w:sz w:val="18"/>
          <w:szCs w:val="18"/>
        </w:rPr>
        <w:t xml:space="preserve">[18] Perez, J.C., Alfarra, M., Jeanneret, G., Bibi, A., Thabet, A., Ghanem, B., Arbelaez, P. (2020). Gabor layers enhance network robustness. In Computer Vision - ECCV 2020, Lecture Notes in Computer Science, vol. 12354. Springer, Cham, pp. 450-466. https://doi.org/10.1007/978-3-030-58545-7_26</w:t>
      </w:r>
    </w:p>
    <w:p>
      <w:pPr>
        <w:spacing w:after="100" w:line="240"/>
        <w:ind w:left="340" w:hanging="340"/>
        <w:jc w:val="both"/>
      </w:pPr>
      <w:r>
        <w:rPr>
          <w:rFonts w:ascii="Times New Roman" w:cs="Times New Roman" w:eastAsia="Times New Roman" w:hAnsi="Times New Roman"/>
          <w:sz w:val="18"/>
          <w:szCs w:val="18"/>
        </w:rPr>
        <w:t xml:space="preserve">[19] Richards, F., Paiement, A., Xie, X., Sola, E., Duc, P.A. (2022). Learnable Gabor modulated complex-valued networks for orientation robustness. Pattern Recognition, 121: 108340.</w:t>
      </w:r>
    </w:p>
    <w:p>
      <w:pPr>
        <w:spacing w:after="100" w:line="240"/>
        <w:ind w:left="340" w:hanging="340"/>
        <w:jc w:val="both"/>
      </w:pPr>
      <w:r>
        <w:rPr>
          <w:rFonts w:ascii="Times New Roman" w:cs="Times New Roman" w:eastAsia="Times New Roman" w:hAnsi="Times New Roman"/>
          <w:sz w:val="18"/>
          <w:szCs w:val="18"/>
        </w:rPr>
        <w:t xml:space="preserve">[20] Yao, X., Song, T. (2022). Rotation invariant Gabor convolutional neural network for image classification. Pattern Recognition Letters, 162: 22-30. https://doi.org/10.1016/j.patrec.2022.08.010</w:t>
      </w:r>
    </w:p>
    <w:p>
      <w:pPr>
        <w:spacing w:after="100" w:line="240"/>
        <w:ind w:left="340" w:hanging="340"/>
        <w:jc w:val="both"/>
      </w:pPr>
      <w:r>
        <w:rPr>
          <w:rFonts w:ascii="Times New Roman" w:cs="Times New Roman" w:eastAsia="Times New Roman" w:hAnsi="Times New Roman"/>
          <w:sz w:val="18"/>
          <w:szCs w:val="18"/>
        </w:rPr>
        <w:t xml:space="preserve">[21] Zhu, L., Chen, T., Yin, J., See, S., Liu, J. (2023). Learning Gabor texture features for fine-grained recognition. In Proceedings of the IEEE/CVF International Conference on Computer Vision, Paris, France, pp. 1621-1631. https://doi.org/10.1109/ICCV51070.2023.00156</w:t>
      </w:r>
    </w:p>
    <w:p>
      <w:pPr>
        <w:spacing w:after="100" w:line="240"/>
        <w:ind w:left="340" w:hanging="340"/>
        <w:jc w:val="both"/>
      </w:pPr>
      <w:r>
        <w:rPr>
          <w:rFonts w:ascii="Times New Roman" w:cs="Times New Roman" w:eastAsia="Times New Roman" w:hAnsi="Times New Roman"/>
          <w:sz w:val="18"/>
          <w:szCs w:val="18"/>
        </w:rPr>
        <w:t xml:space="preserve">[22] Zhang, Y., Zhou, D., Chen, S., Gao, S., Ma, Y. (2016). Single-image crowd counting via multi-column convolutional neural network. In Proceedings of the IEEE Conference on Computer Vision and Pattern Recognition, Las Vegas, USA, pp. 589-597. https://doi.org/10.1109/CVPR.2016.70</w:t>
      </w:r>
    </w:p>
    <w:p>
      <w:pPr>
        <w:spacing w:after="100" w:line="240"/>
        <w:ind w:left="340" w:hanging="340"/>
        <w:jc w:val="both"/>
      </w:pPr>
      <w:r>
        <w:rPr>
          <w:rFonts w:ascii="Times New Roman" w:cs="Times New Roman" w:eastAsia="Times New Roman" w:hAnsi="Times New Roman"/>
          <w:sz w:val="18"/>
          <w:szCs w:val="18"/>
        </w:rPr>
        <w:t xml:space="preserve">[23] Wan, J., Chan, A.B. (2019). Adaptive density map generation for crowd counting. In Proceedings of the IEEE/CVF International Conference on Computer Vision, Seoul, Korea, pp. 1130-1139. https://doi.org/10.1109/ICCV.2019.00122</w:t>
      </w:r>
    </w:p>
    <w:p>
      <w:pPr>
        <w:spacing w:after="100" w:line="240"/>
        <w:ind w:left="340" w:hanging="340"/>
        <w:jc w:val="both"/>
      </w:pPr>
      <w:r>
        <w:rPr>
          <w:rFonts w:ascii="Times New Roman" w:cs="Times New Roman" w:eastAsia="Times New Roman" w:hAnsi="Times New Roman"/>
          <w:sz w:val="18"/>
          <w:szCs w:val="18"/>
        </w:rPr>
        <w:t xml:space="preserve">[24] Li, Y., Zhang, X., Chen, D. (2018). CSRNet: Dilated convolutional neural networks for understanding the highly congested scenes. In Proceedings of the IEEE Conference on Computer Vision and Pattern Recognition, Salt Lake City, USA, pp. 1091-1100. https://doi.org/10.1109/CVPR.2018.00120</w:t>
      </w:r>
    </w:p>
    <w:p>
      <w:pPr>
        <w:spacing w:after="100" w:line="240"/>
        <w:ind w:left="340" w:hanging="340"/>
        <w:jc w:val="both"/>
      </w:pPr>
      <w:r>
        <w:rPr>
          <w:rFonts w:ascii="Times New Roman" w:cs="Times New Roman" w:eastAsia="Times New Roman" w:hAnsi="Times New Roman"/>
          <w:sz w:val="18"/>
          <w:szCs w:val="18"/>
        </w:rPr>
        <w:t xml:space="preserve">[25] Kovesi, P. (1999). Image features from phase congruency. Videre: Journal of Computer Vision Research, 1(3): 1-26.</w:t>
      </w:r>
    </w:p>
    <w:p>
      <w:pPr>
        <w:spacing w:after="100" w:line="240"/>
        <w:ind w:left="340" w:hanging="340"/>
        <w:jc w:val="both"/>
      </w:pPr>
      <w:r>
        <w:rPr>
          <w:rFonts w:ascii="Times New Roman" w:cs="Times New Roman" w:eastAsia="Times New Roman" w:hAnsi="Times New Roman"/>
          <w:sz w:val="18"/>
          <w:szCs w:val="18"/>
        </w:rPr>
        <w:t xml:space="preserve">[26] Avci, I. (2022). Threshold values of different classical edge detection algorithms. Traitement du Signal, 39(5): 1775-1780. https://doi.org/10.18280/ts.390536</w:t>
      </w:r>
    </w:p>
    <w:p>
      <w:pPr>
        <w:spacing w:after="100" w:line="240"/>
        <w:ind w:left="340" w:hanging="340"/>
        <w:jc w:val="both"/>
      </w:pPr>
      <w:r>
        <w:rPr>
          <w:rFonts w:ascii="Times New Roman" w:cs="Times New Roman" w:eastAsia="Times New Roman" w:hAnsi="Times New Roman"/>
          <w:sz w:val="18"/>
          <w:szCs w:val="18"/>
        </w:rPr>
        <w:t xml:space="preserve">[27] Su, Z., Liu, W., Yu, Z., Hu, D., Liao, Q., Tian, Q., Pietikainen, M., Liu, L. (2021). Pixel difference networks for efficient edge detection. In Proceedings of the IEEE/CVF International Conference on Computer Vision, Montreal, Canada, pp. 5117-5127. https://doi.org/10.1109/ICCV48922.2021.00507</w:t>
      </w:r>
    </w:p>
    <w:p>
      <w:pPr>
        <w:spacing w:after="100" w:line="240"/>
        <w:ind w:left="340" w:hanging="340"/>
        <w:jc w:val="both"/>
      </w:pPr>
      <w:r>
        <w:rPr>
          <w:rFonts w:ascii="Times New Roman" w:cs="Times New Roman" w:eastAsia="Times New Roman" w:hAnsi="Times New Roman"/>
          <w:sz w:val="18"/>
          <w:szCs w:val="18"/>
        </w:rPr>
        <w:t xml:space="preserve">[28] Lin, C., Zhang, Z., Peng, J., Li, F., Pan, Y., Zhang, Y. (2024). A lightweight contour detection network inspired by biology. Complex &amp; Intelligent Systems, 10(3): 4275-4291. https://doi.org/10.1007/s40747-024-01393-4</w:t>
      </w:r>
    </w:p>
    <w:p>
      <w:pPr>
        <w:spacing w:after="100" w:line="240"/>
        <w:ind w:left="340" w:hanging="340"/>
        <w:jc w:val="both"/>
      </w:pPr>
      <w:r>
        <w:rPr>
          <w:rFonts w:ascii="Times New Roman" w:cs="Times New Roman" w:eastAsia="Times New Roman" w:hAnsi="Times New Roman"/>
          <w:sz w:val="18"/>
          <w:szCs w:val="18"/>
        </w:rPr>
        <w:t xml:space="preserve">[29] Cao, Y., Song, Y. (2024). New approach for brain tumor segmentation based on Gabor convolution and attention mechanism. Applied Sciences, 14(11): 4919. https://doi.org/10.3390/app14114919</w:t>
      </w:r>
    </w:p>
    <w:p>
      <w:pPr>
        <w:spacing w:after="100" w:line="240"/>
        <w:ind w:left="340" w:hanging="340"/>
        <w:jc w:val="both"/>
      </w:pPr>
      <w:r>
        <w:rPr>
          <w:rFonts w:ascii="Times New Roman" w:cs="Times New Roman" w:eastAsia="Times New Roman" w:hAnsi="Times New Roman"/>
          <w:sz w:val="18"/>
          <w:szCs w:val="18"/>
        </w:rPr>
        <w:t xml:space="preserve">[30] Hu, X.D., Wang, X.Q., Meng, F.J., Hua, X., Yan, Y.J., Li, Y.Y., Huang, J., Jiang, X.L. (2020). Gabor-CNN for object detection based on small samples. Defence Technology, 16(6): 1116-1129. https://doi.org/10.1016/j.dt.2019.12.002</w:t>
      </w:r>
    </w:p>
    <w:p>
      <w:pPr>
        <w:spacing w:after="100" w:line="240"/>
        <w:ind w:left="340" w:hanging="340"/>
        <w:jc w:val="both"/>
      </w:pPr>
      <w:r>
        <w:rPr>
          <w:rFonts w:ascii="Times New Roman" w:cs="Times New Roman" w:eastAsia="Times New Roman" w:hAnsi="Times New Roman"/>
          <w:sz w:val="18"/>
          <w:szCs w:val="18"/>
        </w:rPr>
        <w:t xml:space="preserve">[31] Lee, G.G.C., Huang, C.H., Chen, C.F., Wang, T.P. (2017). Complexity-aware Gabor filter bank architecture using principal component analysis. Journal of Signal Processing Systems, 89(3): 431-444. https://doi.org/10.1007/s11265-017-1246-6</w:t>
      </w:r>
    </w:p>
    <w:p>
      <w:pPr>
        <w:spacing w:after="100" w:line="240"/>
        <w:ind w:left="340" w:hanging="340"/>
        <w:jc w:val="both"/>
      </w:pPr>
      <w:r>
        <w:rPr>
          <w:rFonts w:ascii="Times New Roman" w:cs="Times New Roman" w:eastAsia="Times New Roman" w:hAnsi="Times New Roman"/>
          <w:sz w:val="18"/>
          <w:szCs w:val="18"/>
        </w:rPr>
        <w:t xml:space="preserve">[32] Gabor, D. (1946). Theory of communication. Part 1: The analysis of information. Journal of the Institution of Electrical Engineers III, 93(26): 429-441. https://doi.org/10.1049/ji-3-2.1946.0074</w:t>
      </w:r>
    </w:p>
    <w:p>
      <w:pPr>
        <w:spacing w:after="100" w:line="240"/>
        <w:ind w:left="340" w:hanging="340"/>
        <w:jc w:val="both"/>
      </w:pPr>
      <w:r>
        <w:rPr>
          <w:rFonts w:ascii="Times New Roman" w:cs="Times New Roman" w:eastAsia="Times New Roman" w:hAnsi="Times New Roman"/>
          <w:sz w:val="18"/>
          <w:szCs w:val="18"/>
        </w:rPr>
        <w:t xml:space="preserve">[33] Jiang, W., Lam, K.M., Shen, T.Z. (2009). Efficient edge detection using simplified Gabor wavelets. IEEE Transactions on Systems, Man, and Cybernetics, Part B, 39(4): 1036-1047. https://doi.org/10.1109/TSMCB.2008.2011646</w:t>
      </w:r>
    </w:p>
    <w:p>
      <w:pPr>
        <w:spacing w:after="100" w:line="240"/>
        <w:ind w:left="340" w:hanging="340"/>
        <w:jc w:val="both"/>
      </w:pPr>
      <w:r>
        <w:rPr>
          <w:rFonts w:ascii="Times New Roman" w:cs="Times New Roman" w:eastAsia="Times New Roman" w:hAnsi="Times New Roman"/>
          <w:sz w:val="18"/>
          <w:szCs w:val="18"/>
        </w:rPr>
        <w:t xml:space="preserve">[34] De Brabandere, B., Jia, X., Tuytelaars, T., Van Gool, L. (2016). Dynamic filter networks. In Advances in Neural Information Processing Systems 29, Barcelona, Spain, pp. 667-675.</w:t>
      </w:r>
    </w:p>
    <w:p>
      <w:pPr>
        <w:spacing w:after="100" w:line="240"/>
        <w:ind w:left="340" w:hanging="340"/>
        <w:jc w:val="both"/>
      </w:pPr>
      <w:r>
        <w:rPr>
          <w:rFonts w:ascii="Times New Roman" w:cs="Times New Roman" w:eastAsia="Times New Roman" w:hAnsi="Times New Roman"/>
          <w:sz w:val="18"/>
          <w:szCs w:val="18"/>
        </w:rPr>
        <w:t xml:space="preserve">[35] Su, H., Jampani, V., Sun, D., Gallo, O., Learned-Miller, E., Kautz, J. (2019). Pixel-adaptive convolutional neural networks. In Proceedings of the IEEE/CVF Conference on Computer Vision and Pattern Recognition, Long Beach, USA, pp. 11166-11175. https://doi.org/10.1109/CVPR.2019.01142</w:t>
      </w:r>
    </w:p>
    <w:p>
      <w:pPr>
        <w:spacing w:after="100" w:line="240"/>
        <w:ind w:left="340" w:hanging="340"/>
        <w:jc w:val="both"/>
      </w:pPr>
      <w:r>
        <w:rPr>
          <w:rFonts w:ascii="Times New Roman" w:cs="Times New Roman" w:eastAsia="Times New Roman" w:hAnsi="Times New Roman"/>
          <w:sz w:val="18"/>
          <w:szCs w:val="18"/>
        </w:rPr>
        <w:t xml:space="preserve">[36] Dai, J., Qi, H., Xiong, Y., Li, Y., Zhang, G., Hu, H., Wei, Y. (2017). Deformable convolutional networks. In Proceedings of the IEEE International Conference on Computer Vision, Venice, Italy, pp. 764-773. https://doi.org/10.1109/ICCV.2017.89</w:t>
      </w:r>
    </w:p>
    <w:p>
      <w:pPr>
        <w:spacing w:after="100" w:line="240"/>
        <w:ind w:left="340" w:hanging="340"/>
        <w:jc w:val="both"/>
      </w:pPr>
      <w:r>
        <w:rPr>
          <w:rFonts w:ascii="Times New Roman" w:cs="Times New Roman" w:eastAsia="Times New Roman" w:hAnsi="Times New Roman"/>
          <w:sz w:val="18"/>
          <w:szCs w:val="18"/>
        </w:rPr>
        <w:t xml:space="preserve">[37] Arbelaez, P., Maire, M., Fowlkes, C., Malik, J. (2011). Contour detection and hierarchical image segmentation. IEEE Transactions on Pattern Analysis and Machine Intelligence, 33(5): 898-916. https://doi.org/10.1109/TPAMI.2010.161</w:t>
      </w:r>
    </w:p>
    <w:p>
      <w:pPr>
        <w:spacing w:after="100" w:line="240"/>
        <w:ind w:left="340" w:hanging="340"/>
        <w:jc w:val="both"/>
      </w:pPr>
      <w:r>
        <w:rPr>
          <w:rFonts w:ascii="Times New Roman" w:cs="Times New Roman" w:eastAsia="Times New Roman" w:hAnsi="Times New Roman"/>
          <w:sz w:val="18"/>
          <w:szCs w:val="18"/>
        </w:rPr>
        <w:t xml:space="preserve">[38] Hong, L., Wan, Y., Jain, A. (1998). Fingerprint image enhancement: Algorithm and performance evaluation. IEEE Transactions on Pattern Analysis and Machine Intelligence, 20(8): 777-789. https://doi.org/10.1109/34.709565</w:t>
      </w:r>
    </w:p>
    <w:p>
      <w:pPr>
        <w:spacing w:after="100" w:line="240"/>
        <w:ind w:left="340" w:hanging="340"/>
        <w:jc w:val="both"/>
      </w:pPr>
      <w:r>
        <w:rPr>
          <w:rFonts w:ascii="Times New Roman" w:cs="Times New Roman" w:eastAsia="Times New Roman" w:hAnsi="Times New Roman"/>
          <w:sz w:val="18"/>
          <w:szCs w:val="18"/>
        </w:rPr>
        <w:t xml:space="preserve">[39] Soria, X., Pomboza-Junez, G., Sappa, A.D. (2022). LDC: Lightweight dense CNN for edge detection. IEEE Access, 10: 68281-68290. https://doi.org/10.1109/ACCESS.2022.3186344</w:t>
      </w:r>
    </w:p>
    <w:p>
      <w:pPr>
        <w:spacing w:after="100" w:line="240"/>
        <w:ind w:left="340" w:hanging="340"/>
        <w:jc w:val="both"/>
      </w:pPr>
      <w:r>
        <w:rPr>
          <w:rFonts w:ascii="Times New Roman" w:cs="Times New Roman" w:eastAsia="Times New Roman" w:hAnsi="Times New Roman"/>
          <w:sz w:val="18"/>
          <w:szCs w:val="18"/>
        </w:rPr>
        <w:t xml:space="preserve">[40] Xie, S., Tu, Z. (2015). Holistically-nested edge detection. In Proceedings of the IEEE International Conference on Computer Vision, Santiago, Chile, pp. 1395-1403. https://doi.org/10.1109/ICCV.2015.164</w:t>
      </w:r>
    </w:p>
    <w:p>
      <w:pPr>
        <w:spacing w:after="100" w:line="240"/>
        <w:ind w:left="340" w:hanging="340"/>
        <w:jc w:val="both"/>
      </w:pPr>
      <w:r>
        <w:rPr>
          <w:rFonts w:ascii="Times New Roman" w:cs="Times New Roman" w:eastAsia="Times New Roman" w:hAnsi="Times New Roman"/>
          <w:sz w:val="18"/>
          <w:szCs w:val="18"/>
        </w:rPr>
        <w:t xml:space="preserve">[41] Wilcoxon, F. (1945). Individual comparisons by ranking methods. Biometrics Bulletin, 1(6): 80-83. https://doi.org/10.2307/3001968</w:t>
      </w:r>
    </w:p>
    <w:p>
      <w:pPr>
        <w:spacing w:after="100" w:line="240"/>
        <w:ind w:left="340" w:hanging="340"/>
        <w:jc w:val="both"/>
      </w:pPr>
      <w:r>
        <w:rPr>
          <w:rFonts w:ascii="Times New Roman" w:cs="Times New Roman" w:eastAsia="Times New Roman" w:hAnsi="Times New Roman"/>
          <w:sz w:val="18"/>
          <w:szCs w:val="18"/>
        </w:rPr>
        <w:t xml:space="preserve">[42] Cliff, N. (1993). Dominance statistics: Ordinal analyses to answer ordinal questions. Psychological Bulletin, 114(3): 494-509. https://doi.org/10.1037/0033-2909.114.3.494</w:t>
      </w:r>
    </w:p>
    <w:p>
      <w:pPr>
        <w:sectPr>
          <w:type w:val="continuous"/>
          <w:pgSz w:w="11906" w:h="16838" w:orient="portrait"/>
          <w:pgMar w:top="1077" w:right="1077" w:bottom="1077" w:left="1077" w:header="708" w:footer="708" w:gutter="0"/>
          <w:pgNumType/>
          <w:cols w:space="397" w:num="2" w:equalWidth="true"/>
          <w:docGrid w:linePitch="360"/>
        </w:sectPr>
      </w:pPr>
    </w:p>
    <w:p>
      <w:pPr>
        <w:spacing w:after="200" w:before="400"/>
        <w:ind w:firstLine="0"/>
      </w:pPr>
      <w:r>
        <w:rPr>
          <w:rFonts w:ascii="Times New Roman" w:cs="Times New Roman" w:eastAsia="Times New Roman" w:hAnsi="Times New Roman"/>
          <w:b/>
          <w:bCs/>
          <w:sz w:val="20"/>
          <w:szCs w:val="20"/>
        </w:rPr>
        <w:t xml:space="preserve">NOMENCLATURE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700"/>
        <w:gridCol w:w="3000"/>
      </w:tblGrid>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b/>
                <w:bCs/>
                <w:sz w:val="18"/>
                <w:szCs w:val="18"/>
              </w:rPr>
              <w:t xml:space="preserve">Latin symbols</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AP</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average precision,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B</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blue channel of a colour image, range 0 to 255</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c</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scale coefficient in the frequency-scale relation,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cntP</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number of matched predicted pixels,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cntR</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number of matched ground-truth pixels,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E</w:t>
            </w:r>
            <w:r>
              <w:rPr>
                <w:rFonts w:ascii="Times New Roman" w:cs="Times New Roman" w:eastAsia="Times New Roman" w:hAnsi="Times New Roman"/>
                <w:i/>
                <w:iCs/>
                <w:sz w:val="18"/>
                <w:szCs w:val="18"/>
                <w:vertAlign w:val="subscript"/>
              </w:rPr>
              <w:t xml:space="preserve">AGWi</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edge magnitude map of the proposed method,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E</w:t>
            </w:r>
            <w:r>
              <w:rPr>
                <w:rFonts w:ascii="Times New Roman" w:cs="Times New Roman" w:eastAsia="Times New Roman" w:hAnsi="Times New Roman"/>
                <w:i/>
                <w:iCs/>
                <w:sz w:val="18"/>
                <w:szCs w:val="18"/>
                <w:vertAlign w:val="subscript"/>
              </w:rPr>
              <w:t xml:space="preserve">grad</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gradient energy magnitude,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E</w:t>
            </w:r>
            <w:r>
              <w:rPr>
                <w:rFonts w:ascii="Times New Roman" w:cs="Times New Roman" w:eastAsia="Times New Roman" w:hAnsi="Times New Roman"/>
                <w:i/>
                <w:iCs/>
                <w:sz w:val="18"/>
                <w:szCs w:val="18"/>
                <w:vertAlign w:val="subscript"/>
              </w:rPr>
              <w:t xml:space="preserve">norm</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normalised edge magnitude map,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F</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F-measure,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F</w:t>
            </w:r>
            <w:r>
              <w:rPr>
                <w:rFonts w:ascii="Times New Roman" w:cs="Times New Roman" w:eastAsia="Times New Roman" w:hAnsi="Times New Roman"/>
                <w:i/>
                <w:iCs/>
                <w:sz w:val="18"/>
                <w:szCs w:val="18"/>
                <w:vertAlign w:val="subscript"/>
              </w:rPr>
              <w:t xml:space="preserve">s</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stratum F-measure,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f</w:t>
            </w:r>
            <w:r>
              <w:rPr>
                <w:rFonts w:ascii="Times New Roman" w:cs="Times New Roman" w:eastAsia="Times New Roman" w:hAnsi="Times New Roman"/>
                <w:i/>
                <w:iCs/>
                <w:sz w:val="18"/>
                <w:szCs w:val="18"/>
                <w:vertAlign w:val="subscript"/>
              </w:rPr>
              <w:t xml:space="preserve">0</w:t>
            </w:r>
            <w:r>
              <w:rPr>
                <w:rFonts w:ascii="Times New Roman" w:cs="Times New Roman" w:eastAsia="Times New Roman" w:hAnsi="Times New Roman"/>
                <w:sz w:val="18"/>
                <w:szCs w:val="18"/>
              </w:rPr>
              <w:t xml:space="preserve">,</w:t>
            </w:r>
            <w:r>
              <w:rPr>
                <w:rFonts w:ascii="Times New Roman" w:cs="Times New Roman" w:eastAsia="Times New Roman" w:hAnsi="Times New Roman"/>
                <w:i/>
                <w:iCs/>
                <w:sz w:val="18"/>
                <w:szCs w:val="18"/>
              </w:rPr>
              <w:t xml:space="preserve">adapt</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per-pixel adaptive centre frequency, cycles per pixel</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f</w:t>
            </w:r>
            <w:r>
              <w:rPr>
                <w:rFonts w:ascii="Times New Roman" w:cs="Times New Roman" w:eastAsia="Times New Roman" w:hAnsi="Times New Roman"/>
                <w:i/>
                <w:iCs/>
                <w:sz w:val="18"/>
                <w:szCs w:val="18"/>
                <w:vertAlign w:val="subscript"/>
              </w:rPr>
              <w:t xml:space="preserve">max</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upper bound of the adaptive frequency, cycles per pixel</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f</w:t>
            </w:r>
            <w:r>
              <w:rPr>
                <w:rFonts w:ascii="Times New Roman" w:cs="Times New Roman" w:eastAsia="Times New Roman" w:hAnsi="Times New Roman"/>
                <w:i/>
                <w:iCs/>
                <w:sz w:val="18"/>
                <w:szCs w:val="18"/>
                <w:vertAlign w:val="subscript"/>
              </w:rPr>
              <w:t xml:space="preserve">min</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lower bound of the adaptive frequency, cycles per pixel</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G</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green channel of a colour image, range 0 to 255</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G</w:t>
            </w:r>
            <w:r>
              <w:rPr>
                <w:rFonts w:ascii="Times New Roman" w:cs="Times New Roman" w:eastAsia="Times New Roman" w:hAnsi="Times New Roman"/>
                <w:i/>
                <w:iCs/>
                <w:sz w:val="18"/>
                <w:szCs w:val="18"/>
                <w:vertAlign w:val="subscript"/>
              </w:rPr>
              <w:t xml:space="preserve">x</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G</w:t>
            </w:r>
            <w:r>
              <w:rPr>
                <w:rFonts w:ascii="Times New Roman" w:cs="Times New Roman" w:eastAsia="Times New Roman" w:hAnsi="Times New Roman"/>
                <w:i/>
                <w:iCs/>
                <w:sz w:val="18"/>
                <w:szCs w:val="18"/>
                <w:vertAlign w:val="subscript"/>
              </w:rPr>
              <w:t xml:space="preserve">y</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Sobel gradient components,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H</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W</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image height and width, pixels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I</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input image</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I</w:t>
            </w:r>
            <w:r>
              <w:rPr>
                <w:rFonts w:ascii="Times New Roman" w:cs="Times New Roman" w:eastAsia="Times New Roman" w:hAnsi="Times New Roman"/>
                <w:i/>
                <w:iCs/>
                <w:sz w:val="18"/>
                <w:szCs w:val="18"/>
                <w:vertAlign w:val="subscript"/>
              </w:rPr>
              <w:t xml:space="preserve">gray</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grayscale image, range 0 to 255</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I</w:t>
            </w:r>
            <w:r>
              <w:rPr>
                <w:rFonts w:ascii="Times New Roman" w:cs="Times New Roman" w:eastAsia="Times New Roman" w:hAnsi="Times New Roman"/>
                <w:i/>
                <w:iCs/>
                <w:sz w:val="18"/>
                <w:szCs w:val="18"/>
                <w:vertAlign w:val="subscript"/>
              </w:rPr>
              <w:t xml:space="preserve">norm</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normalised grayscale image, range 0 to 1</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k</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kernel size, pixels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k</w:t>
            </w:r>
            <w:r>
              <w:rPr>
                <w:rFonts w:ascii="Times New Roman" w:cs="Times New Roman" w:eastAsia="Times New Roman" w:hAnsi="Times New Roman"/>
                <w:i/>
                <w:iCs/>
                <w:sz w:val="18"/>
                <w:szCs w:val="18"/>
                <w:vertAlign w:val="subscript"/>
              </w:rPr>
              <w:t xml:space="preserve">s</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sigmoid steepness,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L</w:t>
            </w:r>
            <w:r>
              <w:rPr>
                <w:rFonts w:ascii="Times New Roman" w:cs="Times New Roman" w:eastAsia="Times New Roman" w:hAnsi="Times New Roman"/>
                <w:i/>
                <w:iCs/>
                <w:sz w:val="18"/>
                <w:szCs w:val="18"/>
                <w:vertAlign w:val="subscript"/>
              </w:rPr>
              <w:t xml:space="preserve">err</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localisation error, pixels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M</w:t>
            </w:r>
            <w:r>
              <w:rPr>
                <w:rFonts w:ascii="Times New Roman" w:cs="Times New Roman" w:eastAsia="Times New Roman" w:hAnsi="Times New Roman"/>
                <w:i/>
                <w:iCs/>
                <w:sz w:val="18"/>
                <w:szCs w:val="18"/>
                <w:vertAlign w:val="subscript"/>
              </w:rPr>
              <w:t xml:space="preserve">o</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absolute response at orientation o,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M</w:t>
            </w:r>
            <w:r>
              <w:rPr>
                <w:rFonts w:ascii="Times New Roman" w:cs="Times New Roman" w:eastAsia="Times New Roman" w:hAnsi="Times New Roman"/>
                <w:i/>
                <w:iCs/>
                <w:sz w:val="18"/>
                <w:szCs w:val="18"/>
                <w:vertAlign w:val="subscript"/>
              </w:rPr>
              <w:t xml:space="preserve">s</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binary mask of activity stratum s,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m</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n</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kernel sample indices, pixels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m′</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n′</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kernel indices rotated by the orientation angle, pixels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N</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number of orientations,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ODS</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optimal dataset scale F-measure,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OIS</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optimal image scale F-measure,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o</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orientation index,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P</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precision,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R</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recall; also the red channel of a colour image, range 0 to 255</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R</w:t>
            </w:r>
            <w:r>
              <w:rPr>
                <w:rFonts w:ascii="Times New Roman" w:cs="Times New Roman" w:eastAsia="Times New Roman" w:hAnsi="Times New Roman"/>
                <w:i/>
                <w:iCs/>
                <w:sz w:val="18"/>
                <w:szCs w:val="18"/>
                <w:vertAlign w:val="subscript"/>
              </w:rPr>
              <w:t xml:space="preserve">o</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convolution response at orientation o,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S</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logistic function,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sumP</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total number of predicted pixels,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sumR</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total number of ground-truth pixels,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t</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threshold,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u</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v</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pixel coordinates in the image plane, pixels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W</w:t>
            </w:r>
            <w:r>
              <w:rPr>
                <w:rFonts w:ascii="Times New Roman" w:cs="Times New Roman" w:eastAsia="Times New Roman" w:hAnsi="Times New Roman"/>
                <w:i/>
                <w:iCs/>
                <w:sz w:val="18"/>
                <w:szCs w:val="18"/>
                <w:vertAlign w:val="subscript"/>
              </w:rPr>
              <w:t xml:space="preserve">edge</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edge width,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b/>
                <w:bCs/>
                <w:sz w:val="18"/>
                <w:szCs w:val="18"/>
              </w:rPr>
              <w:t xml:space="preserve">Greek symbols</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γ</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aspect ratio of the Gaussian envelope,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θ</w:t>
            </w:r>
            <w:r>
              <w:rPr>
                <w:rFonts w:ascii="Times New Roman" w:cs="Times New Roman" w:eastAsia="Times New Roman" w:hAnsi="Times New Roman"/>
                <w:i/>
                <w:iCs/>
                <w:sz w:val="18"/>
                <w:szCs w:val="18"/>
                <w:vertAlign w:val="subscript"/>
              </w:rPr>
              <w:t xml:space="preserve">o</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orientation angle of the o-th kernel, rad</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ρ</w:t>
            </w:r>
            <w:r>
              <w:rPr>
                <w:rFonts w:ascii="Times New Roman" w:cs="Times New Roman" w:eastAsia="Times New Roman" w:hAnsi="Times New Roman"/>
                <w:i/>
                <w:iCs/>
                <w:sz w:val="18"/>
                <w:szCs w:val="18"/>
                <w:vertAlign w:val="subscript"/>
              </w:rPr>
              <w:t xml:space="preserve">c</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sigmoid centre,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ρ</w:t>
            </w:r>
            <w:r>
              <w:rPr>
                <w:rFonts w:ascii="Times New Roman" w:cs="Times New Roman" w:eastAsia="Times New Roman" w:hAnsi="Times New Roman"/>
                <w:i/>
                <w:iCs/>
                <w:sz w:val="18"/>
                <w:szCs w:val="18"/>
                <w:vertAlign w:val="subscript"/>
              </w:rPr>
              <w:t xml:space="preserve">L</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local gradient activity estimate, dimensionless, range 0 to 1</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σ</w:t>
            </w:r>
            <w:r>
              <w:rPr>
                <w:rFonts w:ascii="Times New Roman" w:cs="Times New Roman" w:eastAsia="Times New Roman" w:hAnsi="Times New Roman"/>
                <w:i/>
                <w:iCs/>
                <w:sz w:val="18"/>
                <w:szCs w:val="18"/>
                <w:vertAlign w:val="subscript"/>
              </w:rPr>
              <w:t xml:space="preserve">adapt</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per-pixel adaptive Gaussian scale, pixels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σ</w:t>
            </w:r>
            <w:r>
              <w:rPr>
                <w:rFonts w:ascii="Times New Roman" w:cs="Times New Roman" w:eastAsia="Times New Roman" w:hAnsi="Times New Roman"/>
                <w:i/>
                <w:iCs/>
                <w:sz w:val="18"/>
                <w:szCs w:val="18"/>
                <w:vertAlign w:val="subscript"/>
              </w:rPr>
              <w:t xml:space="preserve">x</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σ</w:t>
            </w:r>
            <w:r>
              <w:rPr>
                <w:rFonts w:ascii="Times New Roman" w:cs="Times New Roman" w:eastAsia="Times New Roman" w:hAnsi="Times New Roman"/>
                <w:i/>
                <w:iCs/>
                <w:sz w:val="18"/>
                <w:szCs w:val="18"/>
                <w:vertAlign w:val="subscript"/>
              </w:rPr>
              <w:t xml:space="preserve">y</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Gaussian scale along the two kernel axes, pixels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τ</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matching tolerance, pixels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ψ</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phase offset of the Gabor kernel, rad</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ψ</w:t>
            </w:r>
            <w:r>
              <w:rPr>
                <w:rFonts w:ascii="Times New Roman" w:cs="Times New Roman" w:eastAsia="Times New Roman" w:hAnsi="Times New Roman"/>
                <w:i/>
                <w:iCs/>
                <w:sz w:val="18"/>
                <w:szCs w:val="18"/>
                <w:vertAlign w:val="subscript"/>
              </w:rPr>
              <w:t xml:space="preserve">imag</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imaginary-only Gabor kernel function, dimensionless</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b/>
                <w:bCs/>
                <w:sz w:val="18"/>
                <w:szCs w:val="18"/>
              </w:rPr>
              <w:t xml:space="preserve">Subscripts</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adapt</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adaptive value, computed per pixel</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c</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centre of the sigmoid mapping</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grad</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gradient quantity</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gray</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grayscale image</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imag</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imaginary part of the Gabor kernel</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L</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local quantity</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max</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upper bound</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min</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lower bound</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norm</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normalised quantity</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o</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orientation index</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s</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activity stratum; also the sigmoid steepness parameter</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x</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y</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component along the first or second kernel axis</w:t>
            </w:r>
          </w:p>
        </w:tc>
      </w:tr>
    </w:tbl>
    <w:p>
      <w:pPr>
        <w:spacing w:after="200" w:before="400"/>
        <w:ind w:firstLine="0"/>
      </w:pPr>
      <w:r>
        <w:rPr>
          <w:rFonts w:ascii="Times New Roman" w:cs="Times New Roman" w:eastAsia="Times New Roman" w:hAnsi="Times New Roman"/>
          <w:b/>
          <w:bCs/>
          <w:sz w:val="20"/>
          <w:szCs w:val="20"/>
        </w:rPr>
        <w:t xml:space="preserve">ABBREVIATIONS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700"/>
        <w:gridCol w:w="3000"/>
      </w:tblGrid>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A-GWi</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Adaptive Imaginary Gabor Wavelet</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AP</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average precision</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BSDS500</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Berkeley Segmentation Dataset 500</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GPU</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graphics processing unit</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GWC</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complex Gabor wavelet</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GWi</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imaginary-only Gabor wavelet</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ODS</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optimal dataset scale F-measure</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OIS</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optimal image scale F-measure</w:t>
            </w:r>
          </w:p>
        </w:tc>
      </w:tr>
      <w:tr>
        <w:tc>
          <w:tcPr>
            <w:tcW w:type="dxa" w:w="1700"/>
            <w:tcMar>
              <w:top w:type="dxa" w:w="20"/>
              <w:left w:type="dxa" w:w="0"/>
              <w:bottom w:type="dxa" w:w="20"/>
              <w:right w:type="dxa" w:w="100"/>
            </w:tcMar>
          </w:tcPr>
          <w:p>
            <w:pPr>
              <w:spacing w:line="240"/>
              <w:ind w:firstLine="0"/>
            </w:pPr>
            <w:r>
              <w:rPr>
                <w:rFonts w:ascii="Times New Roman" w:cs="Times New Roman" w:eastAsia="Times New Roman" w:hAnsi="Times New Roman"/>
                <w:i/>
                <w:iCs/>
                <w:sz w:val="18"/>
                <w:szCs w:val="18"/>
              </w:rPr>
              <w:t xml:space="preserve">UDED</w:t>
            </w:r>
          </w:p>
        </w:tc>
        <w:tc>
          <w:tcPr>
            <w:tcW w:type="dxa" w:w="3000"/>
            <w:tcMar>
              <w:top w:type="dxa" w:w="20"/>
              <w:left w:type="dxa" w:w="0"/>
              <w:bottom w:type="dxa" w:w="20"/>
              <w:right w:type="dxa" w:w="0"/>
            </w:tcMar>
          </w:tcPr>
          <w:p>
            <w:pPr>
              <w:spacing w:line="240"/>
              <w:ind w:firstLine="0"/>
            </w:pPr>
            <w:r>
              <w:rPr>
                <w:rFonts w:ascii="Times New Roman" w:cs="Times New Roman" w:eastAsia="Times New Roman" w:hAnsi="Times New Roman"/>
                <w:sz w:val="18"/>
                <w:szCs w:val="18"/>
              </w:rPr>
              <w:t xml:space="preserve">Unified Dataset for Edge Detection</w:t>
            </w:r>
          </w:p>
        </w:tc>
      </w:tr>
    </w:tbl>
    <w:sectPr>
      <w:type w:val="continuous"/>
      <w:pgSz w:w="11906" w:h="16838" w:orient="portrait"/>
      <w:pgMar w:top="1077" w:right="1077" w:bottom="1077" w:left="1077" w:header="708" w:footer="708" w:gutter="0"/>
      <w:pgNumType/>
      <w:cols w:space="397"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Imaginary Gabor Wavelet</dc:title>
  <dc:creator>Kukuh Yudhistiro</dc:creator>
  <cp:lastModifiedBy>Un-named</cp:lastModifiedBy>
  <cp:revision>1</cp:revision>
  <dcterms:created xsi:type="dcterms:W3CDTF">2026-08-14T08:05:09.337Z</dcterms:created>
  <dcterms:modified xsi:type="dcterms:W3CDTF">2026-08-14T08:05:09.337Z</dcterms:modified>
</cp:coreProperties>
</file>

<file path=docProps/custom.xml><?xml version="1.0" encoding="utf-8"?>
<Properties xmlns="http://schemas.openxmlformats.org/officeDocument/2006/custom-properties" xmlns:vt="http://schemas.openxmlformats.org/officeDocument/2006/docPropsVTypes"/>
</file>