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11BE0" w14:textId="77777777" w:rsidR="005F1C8E" w:rsidRPr="005F1C8E" w:rsidRDefault="005F1C8E" w:rsidP="005F1C8E">
      <w:pPr>
        <w:rPr>
          <w:b/>
          <w:bCs/>
        </w:rPr>
      </w:pPr>
      <w:r w:rsidRPr="005F1C8E">
        <w:rPr>
          <w:b/>
          <w:bCs/>
        </w:rPr>
        <w:t>The key venues &amp; how they work</w:t>
      </w:r>
    </w:p>
    <w:p w14:paraId="01C7228A" w14:textId="77777777" w:rsidR="005F1C8E" w:rsidRPr="005F1C8E" w:rsidRDefault="005F1C8E" w:rsidP="005F1C8E">
      <w:pPr>
        <w:rPr>
          <w:b/>
          <w:bCs/>
        </w:rPr>
      </w:pPr>
      <w:r w:rsidRPr="005F1C8E">
        <w:rPr>
          <w:b/>
          <w:bCs/>
        </w:rPr>
        <w:t xml:space="preserve">1) </w:t>
      </w:r>
      <w:proofErr w:type="spellStart"/>
      <w:r w:rsidRPr="005F1C8E">
        <w:rPr>
          <w:b/>
          <w:bCs/>
        </w:rPr>
        <w:t>Aquis</w:t>
      </w:r>
      <w:proofErr w:type="spellEnd"/>
      <w:r w:rsidRPr="005F1C8E">
        <w:rPr>
          <w:b/>
          <w:bCs/>
        </w:rPr>
        <w:t xml:space="preserve"> Market at Close (</w:t>
      </w:r>
      <w:proofErr w:type="spellStart"/>
      <w:r w:rsidRPr="005F1C8E">
        <w:rPr>
          <w:b/>
          <w:bCs/>
        </w:rPr>
        <w:t>MaC</w:t>
      </w:r>
      <w:proofErr w:type="spellEnd"/>
      <w:r w:rsidRPr="005F1C8E">
        <w:rPr>
          <w:b/>
          <w:bCs/>
        </w:rPr>
        <w:t>)</w:t>
      </w:r>
    </w:p>
    <w:p w14:paraId="4F84CA85" w14:textId="77777777" w:rsidR="005F1C8E" w:rsidRPr="005F1C8E" w:rsidRDefault="005F1C8E" w:rsidP="005F1C8E">
      <w:r w:rsidRPr="005F1C8E">
        <w:rPr>
          <w:b/>
          <w:bCs/>
        </w:rPr>
        <w:t>What it is:</w:t>
      </w:r>
      <w:r w:rsidRPr="005F1C8E">
        <w:t xml:space="preserve"> A lit, alternative closing auction that </w:t>
      </w:r>
      <w:r w:rsidRPr="005F1C8E">
        <w:rPr>
          <w:b/>
          <w:bCs/>
        </w:rPr>
        <w:t xml:space="preserve">executes at the </w:t>
      </w:r>
      <w:r w:rsidRPr="005F1C8E">
        <w:rPr>
          <w:b/>
          <w:bCs/>
          <w:i/>
          <w:iCs/>
        </w:rPr>
        <w:t>primary</w:t>
      </w:r>
      <w:r w:rsidRPr="005F1C8E">
        <w:rPr>
          <w:b/>
          <w:bCs/>
        </w:rPr>
        <w:t xml:space="preserve"> exchange’s official closing price</w:t>
      </w:r>
      <w:r w:rsidRPr="005F1C8E">
        <w:t xml:space="preserve"> (PCP) — designed to give cheaper, competing capacity at the close. </w:t>
      </w:r>
      <w:hyperlink r:id="rId5" w:tgtFrame="_blank" w:history="1">
        <w:r w:rsidRPr="005F1C8E">
          <w:rPr>
            <w:rStyle w:val="Hyperlink"/>
          </w:rPr>
          <w:t>aquis.eu</w:t>
        </w:r>
      </w:hyperlink>
    </w:p>
    <w:p w14:paraId="345A279C" w14:textId="77777777" w:rsidR="005F1C8E" w:rsidRPr="005F1C8E" w:rsidRDefault="005F1C8E" w:rsidP="005F1C8E">
      <w:r w:rsidRPr="005F1C8E">
        <w:rPr>
          <w:b/>
          <w:bCs/>
        </w:rPr>
        <w:t>Mechanics (4 phases):</w:t>
      </w:r>
    </w:p>
    <w:p w14:paraId="01AE6D9B" w14:textId="77777777" w:rsidR="005F1C8E" w:rsidRPr="005F1C8E" w:rsidRDefault="005F1C8E" w:rsidP="005F1C8E">
      <w:pPr>
        <w:numPr>
          <w:ilvl w:val="0"/>
          <w:numId w:val="1"/>
        </w:numPr>
      </w:pPr>
      <w:r w:rsidRPr="005F1C8E">
        <w:rPr>
          <w:b/>
          <w:bCs/>
        </w:rPr>
        <w:t>Unlocked phase</w:t>
      </w:r>
      <w:r w:rsidRPr="005F1C8E">
        <w:t xml:space="preserve"> starts when the primary begins its close auction; orders (incl. market orders) can be entered/amended/cancelled.</w:t>
      </w:r>
    </w:p>
    <w:p w14:paraId="1BAF964C" w14:textId="77777777" w:rsidR="005F1C8E" w:rsidRPr="005F1C8E" w:rsidRDefault="005F1C8E" w:rsidP="005F1C8E">
      <w:pPr>
        <w:numPr>
          <w:ilvl w:val="0"/>
          <w:numId w:val="1"/>
        </w:numPr>
      </w:pPr>
      <w:r w:rsidRPr="005F1C8E">
        <w:rPr>
          <w:b/>
          <w:bCs/>
        </w:rPr>
        <w:t>Random lock</w:t>
      </w:r>
      <w:r w:rsidRPr="005F1C8E">
        <w:t xml:space="preserve"> occurs mid-auction (random point within a 30-second window).</w:t>
      </w:r>
    </w:p>
    <w:p w14:paraId="3A25A3ED" w14:textId="77777777" w:rsidR="005F1C8E" w:rsidRPr="005F1C8E" w:rsidRDefault="005F1C8E" w:rsidP="005F1C8E">
      <w:pPr>
        <w:numPr>
          <w:ilvl w:val="0"/>
          <w:numId w:val="1"/>
        </w:numPr>
      </w:pPr>
      <w:r w:rsidRPr="005F1C8E">
        <w:rPr>
          <w:b/>
          <w:bCs/>
        </w:rPr>
        <w:t>Locked phase</w:t>
      </w:r>
      <w:r w:rsidRPr="005F1C8E">
        <w:t xml:space="preserve"> (no changes; matching by member/time priority).</w:t>
      </w:r>
    </w:p>
    <w:p w14:paraId="510E7C0F" w14:textId="77777777" w:rsidR="005F1C8E" w:rsidRPr="005F1C8E" w:rsidRDefault="005F1C8E" w:rsidP="005F1C8E">
      <w:pPr>
        <w:numPr>
          <w:ilvl w:val="0"/>
          <w:numId w:val="1"/>
        </w:numPr>
      </w:pPr>
      <w:r w:rsidRPr="005F1C8E">
        <w:rPr>
          <w:b/>
          <w:bCs/>
        </w:rPr>
        <w:t>Execution</w:t>
      </w:r>
      <w:r w:rsidRPr="005F1C8E">
        <w:t xml:space="preserve">: If the primary publishes a valid closing price, matched orders print </w:t>
      </w:r>
      <w:r w:rsidRPr="005F1C8E">
        <w:rPr>
          <w:b/>
          <w:bCs/>
        </w:rPr>
        <w:t>at that price</w:t>
      </w:r>
      <w:r w:rsidRPr="005F1C8E">
        <w:t xml:space="preserve">; </w:t>
      </w:r>
      <w:r w:rsidRPr="005F1C8E">
        <w:rPr>
          <w:b/>
          <w:bCs/>
        </w:rPr>
        <w:t>unmatched orders are cancelled</w:t>
      </w:r>
      <w:r w:rsidRPr="005F1C8E">
        <w:t xml:space="preserve"> (giving you time to re-route to the primary if needed). If the primary auction is extended or cancelled, </w:t>
      </w:r>
      <w:proofErr w:type="spellStart"/>
      <w:r w:rsidRPr="005F1C8E">
        <w:t>MaC</w:t>
      </w:r>
      <w:proofErr w:type="spellEnd"/>
      <w:r w:rsidRPr="005F1C8E">
        <w:t xml:space="preserve"> orders are rejected/cancelled for that stock. </w:t>
      </w:r>
      <w:hyperlink r:id="rId6" w:tgtFrame="_blank" w:history="1">
        <w:r w:rsidRPr="005F1C8E">
          <w:rPr>
            <w:rStyle w:val="Hyperlink"/>
          </w:rPr>
          <w:t>aquis.eu</w:t>
        </w:r>
      </w:hyperlink>
    </w:p>
    <w:p w14:paraId="33BA37CC" w14:textId="77777777" w:rsidR="005F1C8E" w:rsidRPr="005F1C8E" w:rsidRDefault="005F1C8E" w:rsidP="005F1C8E">
      <w:r w:rsidRPr="005F1C8E">
        <w:rPr>
          <w:b/>
          <w:bCs/>
        </w:rPr>
        <w:t>Notables:</w:t>
      </w:r>
      <w:r w:rsidRPr="005F1C8E">
        <w:t xml:space="preserve"> “Fraction of the cost” vs primary close fees; approved by FCA/AMF; no order-size caps; member/time matching priority. </w:t>
      </w:r>
      <w:hyperlink r:id="rId7" w:tgtFrame="_blank" w:history="1">
        <w:r w:rsidRPr="005F1C8E">
          <w:rPr>
            <w:rStyle w:val="Hyperlink"/>
          </w:rPr>
          <w:t>aquis.eu</w:t>
        </w:r>
      </w:hyperlink>
    </w:p>
    <w:p w14:paraId="09FB599D" w14:textId="77777777" w:rsidR="005F1C8E" w:rsidRPr="005F1C8E" w:rsidRDefault="005F1C8E" w:rsidP="005F1C8E">
      <w:r w:rsidRPr="005F1C8E">
        <w:pict w14:anchorId="5E10C968">
          <v:rect id="_x0000_i1067" style="width:0;height:1.5pt" o:hralign="center" o:hrstd="t" o:hr="t" fillcolor="#a0a0a0" stroked="f"/>
        </w:pict>
      </w:r>
    </w:p>
    <w:p w14:paraId="0AA9A0F9" w14:textId="77777777" w:rsidR="005F1C8E" w:rsidRPr="005F1C8E" w:rsidRDefault="005F1C8E" w:rsidP="005F1C8E">
      <w:pPr>
        <w:rPr>
          <w:b/>
          <w:bCs/>
        </w:rPr>
      </w:pPr>
      <w:r w:rsidRPr="005F1C8E">
        <w:rPr>
          <w:b/>
          <w:bCs/>
        </w:rPr>
        <w:t xml:space="preserve">2) Turquoise Plato Trade </w:t>
      </w:r>
      <w:proofErr w:type="gramStart"/>
      <w:r w:rsidRPr="005F1C8E">
        <w:rPr>
          <w:b/>
          <w:bCs/>
        </w:rPr>
        <w:t>At</w:t>
      </w:r>
      <w:proofErr w:type="gramEnd"/>
      <w:r w:rsidRPr="005F1C8E">
        <w:rPr>
          <w:b/>
          <w:bCs/>
        </w:rPr>
        <w:t xml:space="preserve"> Last™ (TAL)</w:t>
      </w:r>
    </w:p>
    <w:p w14:paraId="28912821" w14:textId="77777777" w:rsidR="005F1C8E" w:rsidRPr="005F1C8E" w:rsidRDefault="005F1C8E" w:rsidP="005F1C8E">
      <w:r w:rsidRPr="005F1C8E">
        <w:rPr>
          <w:b/>
          <w:bCs/>
        </w:rPr>
        <w:t>What it is:</w:t>
      </w:r>
      <w:r w:rsidRPr="005F1C8E">
        <w:t xml:space="preserve"> A </w:t>
      </w:r>
      <w:r w:rsidRPr="005F1C8E">
        <w:rPr>
          <w:b/>
          <w:bCs/>
        </w:rPr>
        <w:t>dark</w:t>
      </w:r>
      <w:r w:rsidRPr="005F1C8E">
        <w:t xml:space="preserve"> post-close matching phase that </w:t>
      </w:r>
      <w:r w:rsidRPr="005F1C8E">
        <w:rPr>
          <w:b/>
          <w:bCs/>
        </w:rPr>
        <w:t xml:space="preserve">prints at the </w:t>
      </w:r>
      <w:r w:rsidRPr="005F1C8E">
        <w:rPr>
          <w:b/>
          <w:bCs/>
          <w:i/>
          <w:iCs/>
        </w:rPr>
        <w:t>primary</w:t>
      </w:r>
      <w:r w:rsidRPr="005F1C8E">
        <w:rPr>
          <w:b/>
          <w:bCs/>
        </w:rPr>
        <w:t xml:space="preserve"> closing price</w:t>
      </w:r>
      <w:r w:rsidRPr="005F1C8E">
        <w:t xml:space="preserve">. Supports both </w:t>
      </w:r>
      <w:r w:rsidRPr="005F1C8E">
        <w:rPr>
          <w:b/>
          <w:bCs/>
        </w:rPr>
        <w:t>firm</w:t>
      </w:r>
      <w:r w:rsidRPr="005F1C8E">
        <w:t xml:space="preserve"> and </w:t>
      </w:r>
      <w:r w:rsidRPr="005F1C8E">
        <w:rPr>
          <w:b/>
          <w:bCs/>
        </w:rPr>
        <w:t>conditional (block)</w:t>
      </w:r>
      <w:r w:rsidRPr="005F1C8E">
        <w:t xml:space="preserve"> interest (via Plato Block Discovery). </w:t>
      </w:r>
      <w:hyperlink r:id="rId8" w:tgtFrame="_blank" w:history="1">
        <w:proofErr w:type="spellStart"/>
        <w:r w:rsidRPr="005F1C8E">
          <w:rPr>
            <w:rStyle w:val="Hyperlink"/>
          </w:rPr>
          <w:t>docs.londonstockexchange.com</w:t>
        </w:r>
      </w:hyperlink>
      <w:hyperlink r:id="rId9" w:tgtFrame="_blank" w:history="1">
        <w:r w:rsidRPr="005F1C8E">
          <w:rPr>
            <w:rStyle w:val="Hyperlink"/>
          </w:rPr>
          <w:t>The</w:t>
        </w:r>
        <w:proofErr w:type="spellEnd"/>
        <w:r w:rsidRPr="005F1C8E">
          <w:rPr>
            <w:rStyle w:val="Hyperlink"/>
          </w:rPr>
          <w:t xml:space="preserve"> TRADE</w:t>
        </w:r>
      </w:hyperlink>
    </w:p>
    <w:p w14:paraId="63BD5241" w14:textId="77777777" w:rsidR="005F1C8E" w:rsidRPr="005F1C8E" w:rsidRDefault="005F1C8E" w:rsidP="005F1C8E">
      <w:r w:rsidRPr="005F1C8E">
        <w:rPr>
          <w:b/>
          <w:bCs/>
        </w:rPr>
        <w:t>Mechanics &amp; window:</w:t>
      </w:r>
    </w:p>
    <w:p w14:paraId="71096067" w14:textId="77777777" w:rsidR="005F1C8E" w:rsidRPr="005F1C8E" w:rsidRDefault="005F1C8E" w:rsidP="005F1C8E">
      <w:pPr>
        <w:numPr>
          <w:ilvl w:val="0"/>
          <w:numId w:val="2"/>
        </w:numPr>
      </w:pPr>
      <w:r w:rsidRPr="005F1C8E">
        <w:t xml:space="preserve">During the day, Turquoise Plato matches at the </w:t>
      </w:r>
      <w:r w:rsidRPr="005F1C8E">
        <w:rPr>
          <w:b/>
          <w:bCs/>
        </w:rPr>
        <w:t>primary midpoint (RPW)</w:t>
      </w:r>
      <w:r w:rsidRPr="005F1C8E">
        <w:t xml:space="preserve">; after the primary’s closing auction finishes and publishes the official close, it switches into </w:t>
      </w:r>
      <w:r w:rsidRPr="005F1C8E">
        <w:rPr>
          <w:b/>
          <w:bCs/>
        </w:rPr>
        <w:t xml:space="preserve">Trade </w:t>
      </w:r>
      <w:proofErr w:type="gramStart"/>
      <w:r w:rsidRPr="005F1C8E">
        <w:rPr>
          <w:b/>
          <w:bCs/>
        </w:rPr>
        <w:t>At</w:t>
      </w:r>
      <w:proofErr w:type="gramEnd"/>
      <w:r w:rsidRPr="005F1C8E">
        <w:rPr>
          <w:b/>
          <w:bCs/>
        </w:rPr>
        <w:t xml:space="preserve"> Last</w:t>
      </w:r>
      <w:r w:rsidRPr="005F1C8E">
        <w:t xml:space="preserve"> and matches </w:t>
      </w:r>
      <w:r w:rsidRPr="005F1C8E">
        <w:rPr>
          <w:b/>
          <w:bCs/>
        </w:rPr>
        <w:t>at the PCP</w:t>
      </w:r>
      <w:r w:rsidRPr="005F1C8E">
        <w:t xml:space="preserve"> </w:t>
      </w:r>
      <w:r w:rsidRPr="005F1C8E">
        <w:rPr>
          <w:b/>
          <w:bCs/>
        </w:rPr>
        <w:t>until 16:45 UK time</w:t>
      </w:r>
      <w:r w:rsidRPr="005F1C8E">
        <w:t>.</w:t>
      </w:r>
    </w:p>
    <w:p w14:paraId="0FC432A0" w14:textId="77777777" w:rsidR="005F1C8E" w:rsidRPr="005F1C8E" w:rsidRDefault="005F1C8E" w:rsidP="005F1C8E">
      <w:pPr>
        <w:numPr>
          <w:ilvl w:val="0"/>
          <w:numId w:val="2"/>
        </w:numPr>
      </w:pPr>
      <w:r w:rsidRPr="005F1C8E">
        <w:t xml:space="preserve">TAL only runs if a </w:t>
      </w:r>
      <w:r w:rsidRPr="005F1C8E">
        <w:rPr>
          <w:b/>
          <w:bCs/>
        </w:rPr>
        <w:t>valid PCP</w:t>
      </w:r>
      <w:r w:rsidRPr="005F1C8E">
        <w:t xml:space="preserve"> is published </w:t>
      </w:r>
      <w:r w:rsidRPr="005F1C8E">
        <w:rPr>
          <w:b/>
          <w:bCs/>
        </w:rPr>
        <w:t>before 16:45</w:t>
      </w:r>
      <w:r w:rsidRPr="005F1C8E">
        <w:t xml:space="preserve">; </w:t>
      </w:r>
      <w:proofErr w:type="gramStart"/>
      <w:r w:rsidRPr="005F1C8E">
        <w:t>otherwise</w:t>
      </w:r>
      <w:proofErr w:type="gramEnd"/>
      <w:r w:rsidRPr="005F1C8E">
        <w:t xml:space="preserve"> it does not match that day. </w:t>
      </w:r>
      <w:hyperlink r:id="rId10" w:tgtFrame="_blank" w:history="1">
        <w:r w:rsidRPr="005F1C8E">
          <w:rPr>
            <w:rStyle w:val="Hyperlink"/>
          </w:rPr>
          <w:t>docs.londonstockexchange.com</w:t>
        </w:r>
      </w:hyperlink>
    </w:p>
    <w:p w14:paraId="74D6EA7B" w14:textId="77777777" w:rsidR="005F1C8E" w:rsidRPr="005F1C8E" w:rsidRDefault="005F1C8E" w:rsidP="005F1C8E">
      <w:r w:rsidRPr="005F1C8E">
        <w:rPr>
          <w:b/>
          <w:bCs/>
        </w:rPr>
        <w:t>Reg basis &amp; order types:</w:t>
      </w:r>
      <w:r w:rsidRPr="005F1C8E">
        <w:t xml:space="preserve"> Leverages </w:t>
      </w:r>
      <w:r w:rsidRPr="005F1C8E">
        <w:rPr>
          <w:b/>
          <w:bCs/>
        </w:rPr>
        <w:t>Reference Price Waiver (RPW)</w:t>
      </w:r>
      <w:r w:rsidRPr="005F1C8E">
        <w:t xml:space="preserve"> and </w:t>
      </w:r>
      <w:r w:rsidRPr="005F1C8E">
        <w:rPr>
          <w:b/>
          <w:bCs/>
        </w:rPr>
        <w:t>Large-in-Scale (LIS)</w:t>
      </w:r>
      <w:r w:rsidRPr="005F1C8E">
        <w:t xml:space="preserve"> waivers; accepts firm and conditional blocks; persists resting Plato interest into the TAL phase. Available on </w:t>
      </w:r>
      <w:r w:rsidRPr="005F1C8E">
        <w:rPr>
          <w:b/>
          <w:bCs/>
        </w:rPr>
        <w:t>TGHL (UK)</w:t>
      </w:r>
      <w:r w:rsidRPr="005F1C8E">
        <w:t xml:space="preserve"> and </w:t>
      </w:r>
      <w:r w:rsidRPr="005F1C8E">
        <w:rPr>
          <w:b/>
          <w:bCs/>
        </w:rPr>
        <w:t>TGHE/TQEX (EU)</w:t>
      </w:r>
      <w:r w:rsidRPr="005F1C8E">
        <w:t xml:space="preserve"> MTFs. </w:t>
      </w:r>
      <w:hyperlink r:id="rId11" w:tgtFrame="_blank" w:history="1">
        <w:r w:rsidRPr="005F1C8E">
          <w:rPr>
            <w:rStyle w:val="Hyperlink"/>
          </w:rPr>
          <w:t>docs.londonstockexchange.com+1</w:t>
        </w:r>
      </w:hyperlink>
      <w:hyperlink r:id="rId12" w:tgtFrame="_blank" w:history="1">
        <w:r w:rsidRPr="005F1C8E">
          <w:rPr>
            <w:rStyle w:val="Hyperlink"/>
          </w:rPr>
          <w:t>TradingHours</w:t>
        </w:r>
      </w:hyperlink>
    </w:p>
    <w:p w14:paraId="73EE6006" w14:textId="77777777" w:rsidR="005F1C8E" w:rsidRPr="005F1C8E" w:rsidRDefault="005F1C8E" w:rsidP="005F1C8E">
      <w:r w:rsidRPr="005F1C8E">
        <w:pict w14:anchorId="450B93B7">
          <v:rect id="_x0000_i1068" style="width:0;height:1.5pt" o:hralign="center" o:hrstd="t" o:hr="t" fillcolor="#a0a0a0" stroked="f"/>
        </w:pict>
      </w:r>
    </w:p>
    <w:p w14:paraId="1AE6C363" w14:textId="77777777" w:rsidR="005F1C8E" w:rsidRPr="005F1C8E" w:rsidRDefault="005F1C8E" w:rsidP="005F1C8E">
      <w:pPr>
        <w:rPr>
          <w:b/>
          <w:bCs/>
        </w:rPr>
      </w:pPr>
      <w:r w:rsidRPr="005F1C8E">
        <w:rPr>
          <w:b/>
          <w:bCs/>
        </w:rPr>
        <w:t xml:space="preserve">3) </w:t>
      </w:r>
      <w:proofErr w:type="spellStart"/>
      <w:r w:rsidRPr="005F1C8E">
        <w:rPr>
          <w:b/>
          <w:bCs/>
        </w:rPr>
        <w:t>Cboe</w:t>
      </w:r>
      <w:proofErr w:type="spellEnd"/>
      <w:r w:rsidRPr="005F1C8E">
        <w:rPr>
          <w:b/>
          <w:bCs/>
        </w:rPr>
        <w:t xml:space="preserve"> Closing Cross (3C)</w:t>
      </w:r>
    </w:p>
    <w:p w14:paraId="21E27486" w14:textId="77777777" w:rsidR="005F1C8E" w:rsidRPr="005F1C8E" w:rsidRDefault="005F1C8E" w:rsidP="005F1C8E">
      <w:r w:rsidRPr="005F1C8E">
        <w:rPr>
          <w:b/>
          <w:bCs/>
        </w:rPr>
        <w:t>What it is:</w:t>
      </w:r>
      <w:r w:rsidRPr="005F1C8E">
        <w:t xml:space="preserve"> A </w:t>
      </w:r>
      <w:r w:rsidRPr="005F1C8E">
        <w:rPr>
          <w:b/>
          <w:bCs/>
        </w:rPr>
        <w:t>post-market crossing session</w:t>
      </w:r>
      <w:r w:rsidRPr="005F1C8E">
        <w:t xml:space="preserve"> (not a “trade-at-close-price” book). You submit </w:t>
      </w:r>
      <w:r w:rsidRPr="005F1C8E">
        <w:rPr>
          <w:b/>
          <w:bCs/>
        </w:rPr>
        <w:t>limit orders</w:t>
      </w:r>
      <w:r w:rsidRPr="005F1C8E">
        <w:t xml:space="preserve"> after continuous trading ends; </w:t>
      </w:r>
      <w:proofErr w:type="spellStart"/>
      <w:r w:rsidRPr="005F1C8E">
        <w:t>Cboe</w:t>
      </w:r>
      <w:proofErr w:type="spellEnd"/>
      <w:r w:rsidRPr="005F1C8E">
        <w:t xml:space="preserve"> runs </w:t>
      </w:r>
      <w:r w:rsidRPr="005F1C8E">
        <w:rPr>
          <w:b/>
          <w:bCs/>
        </w:rPr>
        <w:t>back-to-back 15-second crossing periods</w:t>
      </w:r>
      <w:r w:rsidRPr="005F1C8E">
        <w:t xml:space="preserve"> over ~</w:t>
      </w:r>
      <w:r w:rsidRPr="005F1C8E">
        <w:rPr>
          <w:b/>
          <w:bCs/>
        </w:rPr>
        <w:t>25 minutes</w:t>
      </w:r>
      <w:r w:rsidRPr="005F1C8E">
        <w:t xml:space="preserve"> with its own </w:t>
      </w:r>
      <w:r w:rsidRPr="005F1C8E">
        <w:rPr>
          <w:b/>
          <w:bCs/>
        </w:rPr>
        <w:t>price-formation algorithm</w:t>
      </w:r>
      <w:r w:rsidRPr="005F1C8E">
        <w:t xml:space="preserve">. Prints are </w:t>
      </w:r>
      <w:r w:rsidRPr="005F1C8E">
        <w:rPr>
          <w:b/>
          <w:bCs/>
        </w:rPr>
        <w:t>not pegged to the primary close</w:t>
      </w:r>
      <w:r w:rsidRPr="005F1C8E">
        <w:t xml:space="preserve">; the cross chooses a single match price that maximises executable volume (tie-breaks to proximity to last price, then highest price). </w:t>
      </w:r>
      <w:hyperlink r:id="rId13" w:tgtFrame="_blank" w:history="1">
        <w:r w:rsidRPr="005F1C8E">
          <w:rPr>
            <w:rStyle w:val="Hyperlink"/>
          </w:rPr>
          <w:t>cdn.cboe.com</w:t>
        </w:r>
      </w:hyperlink>
    </w:p>
    <w:p w14:paraId="079CFE11" w14:textId="77777777" w:rsidR="005F1C8E" w:rsidRPr="005F1C8E" w:rsidRDefault="005F1C8E" w:rsidP="005F1C8E">
      <w:r w:rsidRPr="005F1C8E">
        <w:rPr>
          <w:b/>
          <w:bCs/>
        </w:rPr>
        <w:lastRenderedPageBreak/>
        <w:t>Key rules:</w:t>
      </w:r>
    </w:p>
    <w:p w14:paraId="2CCB8D4C" w14:textId="77777777" w:rsidR="005F1C8E" w:rsidRPr="005F1C8E" w:rsidRDefault="005F1C8E" w:rsidP="005F1C8E">
      <w:pPr>
        <w:numPr>
          <w:ilvl w:val="0"/>
          <w:numId w:val="3"/>
        </w:numPr>
      </w:pPr>
      <w:r w:rsidRPr="005F1C8E">
        <w:rPr>
          <w:b/>
          <w:bCs/>
        </w:rPr>
        <w:t>Limit orders only</w:t>
      </w:r>
      <w:r w:rsidRPr="005F1C8E">
        <w:t xml:space="preserve">, on-tick; optional </w:t>
      </w:r>
      <w:proofErr w:type="spellStart"/>
      <w:r w:rsidRPr="005F1C8E">
        <w:rPr>
          <w:b/>
          <w:bCs/>
        </w:rPr>
        <w:t>MinQty</w:t>
      </w:r>
      <w:proofErr w:type="spellEnd"/>
      <w:r w:rsidRPr="005F1C8E">
        <w:t xml:space="preserve">; no price improvement; </w:t>
      </w:r>
      <w:r w:rsidRPr="005F1C8E">
        <w:rPr>
          <w:b/>
          <w:bCs/>
        </w:rPr>
        <w:t>static price collars</w:t>
      </w:r>
      <w:r w:rsidRPr="005F1C8E">
        <w:t xml:space="preserve"> (±15%/±20% depending on liquidity) referenced to recent prices/CBBO/previous primary close.</w:t>
      </w:r>
    </w:p>
    <w:p w14:paraId="17F85C27" w14:textId="77777777" w:rsidR="005F1C8E" w:rsidRPr="005F1C8E" w:rsidRDefault="005F1C8E" w:rsidP="005F1C8E">
      <w:pPr>
        <w:numPr>
          <w:ilvl w:val="0"/>
          <w:numId w:val="3"/>
        </w:numPr>
      </w:pPr>
      <w:r w:rsidRPr="005F1C8E">
        <w:t xml:space="preserve">Identified under </w:t>
      </w:r>
      <w:r w:rsidRPr="005F1C8E">
        <w:rPr>
          <w:b/>
          <w:bCs/>
        </w:rPr>
        <w:t>BATE (BXE)</w:t>
      </w:r>
      <w:r w:rsidRPr="005F1C8E">
        <w:t xml:space="preserve"> / </w:t>
      </w:r>
      <w:r w:rsidRPr="005F1C8E">
        <w:rPr>
          <w:b/>
          <w:bCs/>
        </w:rPr>
        <w:t>CEUX (DXE)</w:t>
      </w:r>
      <w:r w:rsidRPr="005F1C8E">
        <w:t xml:space="preserve">; flagged as </w:t>
      </w:r>
      <w:r w:rsidRPr="005F1C8E">
        <w:rPr>
          <w:b/>
          <w:bCs/>
        </w:rPr>
        <w:t>Periodic Auction / out-of-session</w:t>
      </w:r>
      <w:r w:rsidRPr="005F1C8E">
        <w:t>.</w:t>
      </w:r>
    </w:p>
    <w:p w14:paraId="2DF3F8D8" w14:textId="77777777" w:rsidR="005F1C8E" w:rsidRPr="005F1C8E" w:rsidRDefault="005F1C8E" w:rsidP="005F1C8E">
      <w:pPr>
        <w:numPr>
          <w:ilvl w:val="0"/>
          <w:numId w:val="3"/>
        </w:numPr>
      </w:pPr>
      <w:r w:rsidRPr="005F1C8E">
        <w:t xml:space="preserve">Typical session: from continuous end to </w:t>
      </w:r>
      <w:r w:rsidRPr="005F1C8E">
        <w:rPr>
          <w:b/>
          <w:bCs/>
        </w:rPr>
        <w:t>+25 minutes</w:t>
      </w:r>
      <w:r w:rsidRPr="005F1C8E">
        <w:t xml:space="preserve">, with 15-second crosses. (Segment-specific start/end times vary.) </w:t>
      </w:r>
      <w:hyperlink r:id="rId14" w:tgtFrame="_blank" w:history="1">
        <w:r w:rsidRPr="005F1C8E">
          <w:rPr>
            <w:rStyle w:val="Hyperlink"/>
          </w:rPr>
          <w:t>cdn.cboe.com</w:t>
        </w:r>
      </w:hyperlink>
    </w:p>
    <w:p w14:paraId="039E448C" w14:textId="77777777" w:rsidR="005F1C8E" w:rsidRPr="005F1C8E" w:rsidRDefault="005F1C8E" w:rsidP="005F1C8E">
      <w:r w:rsidRPr="005F1C8E">
        <w:pict w14:anchorId="682EB3C3">
          <v:rect id="_x0000_i1069" style="width:0;height:1.5pt" o:hralign="center" o:hrstd="t" o:hr="t" fillcolor="#a0a0a0" stroked="f"/>
        </w:pict>
      </w:r>
    </w:p>
    <w:p w14:paraId="69B86CAC" w14:textId="77777777" w:rsidR="005F1C8E" w:rsidRPr="005F1C8E" w:rsidRDefault="005F1C8E" w:rsidP="005F1C8E">
      <w:pPr>
        <w:rPr>
          <w:b/>
          <w:bCs/>
        </w:rPr>
      </w:pPr>
      <w:r w:rsidRPr="005F1C8E">
        <w:rPr>
          <w:b/>
          <w:bCs/>
        </w:rPr>
        <w:t>Quick comparison (what prints where)</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15" w:type="dxa"/>
          <w:left w:w="15" w:type="dxa"/>
          <w:bottom w:w="15" w:type="dxa"/>
          <w:right w:w="15" w:type="dxa"/>
        </w:tblCellMar>
        <w:tblLook w:val="04A0" w:firstRow="1" w:lastRow="0" w:firstColumn="1" w:lastColumn="0" w:noHBand="0" w:noVBand="1"/>
      </w:tblPr>
      <w:tblGrid>
        <w:gridCol w:w="846"/>
        <w:gridCol w:w="1134"/>
        <w:gridCol w:w="1559"/>
        <w:gridCol w:w="1276"/>
        <w:gridCol w:w="1559"/>
        <w:gridCol w:w="2642"/>
      </w:tblGrid>
      <w:tr w:rsidR="005F1C8E" w:rsidRPr="005F1C8E" w14:paraId="5A74A041" w14:textId="77777777" w:rsidTr="000E3C79">
        <w:trPr>
          <w:tblHeader/>
          <w:tblCellSpacing w:w="15" w:type="dxa"/>
        </w:trPr>
        <w:tc>
          <w:tcPr>
            <w:tcW w:w="801" w:type="dxa"/>
            <w:vAlign w:val="center"/>
            <w:hideMark/>
          </w:tcPr>
          <w:p w14:paraId="632DFD11" w14:textId="77777777" w:rsidR="005F1C8E" w:rsidRPr="005F1C8E" w:rsidRDefault="005F1C8E" w:rsidP="005F1C8E">
            <w:pPr>
              <w:rPr>
                <w:b/>
                <w:bCs/>
              </w:rPr>
            </w:pPr>
            <w:r w:rsidRPr="005F1C8E">
              <w:rPr>
                <w:b/>
                <w:bCs/>
              </w:rPr>
              <w:t>Venue</w:t>
            </w:r>
          </w:p>
        </w:tc>
        <w:tc>
          <w:tcPr>
            <w:tcW w:w="1104" w:type="dxa"/>
            <w:vAlign w:val="center"/>
            <w:hideMark/>
          </w:tcPr>
          <w:p w14:paraId="7652554E" w14:textId="77777777" w:rsidR="005F1C8E" w:rsidRPr="005F1C8E" w:rsidRDefault="005F1C8E" w:rsidP="005F1C8E">
            <w:pPr>
              <w:rPr>
                <w:b/>
                <w:bCs/>
              </w:rPr>
            </w:pPr>
            <w:r w:rsidRPr="005F1C8E">
              <w:rPr>
                <w:b/>
                <w:bCs/>
              </w:rPr>
              <w:t>Price</w:t>
            </w:r>
          </w:p>
        </w:tc>
        <w:tc>
          <w:tcPr>
            <w:tcW w:w="1529" w:type="dxa"/>
            <w:vAlign w:val="center"/>
            <w:hideMark/>
          </w:tcPr>
          <w:p w14:paraId="4F9F9343" w14:textId="77777777" w:rsidR="005F1C8E" w:rsidRPr="005F1C8E" w:rsidRDefault="005F1C8E" w:rsidP="005F1C8E">
            <w:pPr>
              <w:rPr>
                <w:b/>
                <w:bCs/>
              </w:rPr>
            </w:pPr>
            <w:r w:rsidRPr="005F1C8E">
              <w:rPr>
                <w:b/>
                <w:bCs/>
              </w:rPr>
              <w:t>When it runs</w:t>
            </w:r>
          </w:p>
        </w:tc>
        <w:tc>
          <w:tcPr>
            <w:tcW w:w="1246" w:type="dxa"/>
            <w:vAlign w:val="center"/>
            <w:hideMark/>
          </w:tcPr>
          <w:p w14:paraId="37E149FB" w14:textId="77777777" w:rsidR="005F1C8E" w:rsidRPr="005F1C8E" w:rsidRDefault="005F1C8E" w:rsidP="005F1C8E">
            <w:pPr>
              <w:rPr>
                <w:b/>
                <w:bCs/>
              </w:rPr>
            </w:pPr>
            <w:r w:rsidRPr="005F1C8E">
              <w:rPr>
                <w:b/>
                <w:bCs/>
              </w:rPr>
              <w:t>Pre-trade model</w:t>
            </w:r>
          </w:p>
        </w:tc>
        <w:tc>
          <w:tcPr>
            <w:tcW w:w="1529" w:type="dxa"/>
            <w:vAlign w:val="center"/>
            <w:hideMark/>
          </w:tcPr>
          <w:p w14:paraId="58DFF773" w14:textId="77777777" w:rsidR="005F1C8E" w:rsidRPr="005F1C8E" w:rsidRDefault="005F1C8E" w:rsidP="005F1C8E">
            <w:pPr>
              <w:rPr>
                <w:b/>
                <w:bCs/>
              </w:rPr>
            </w:pPr>
            <w:r w:rsidRPr="005F1C8E">
              <w:rPr>
                <w:b/>
                <w:bCs/>
              </w:rPr>
              <w:t>Primary dependency</w:t>
            </w:r>
          </w:p>
        </w:tc>
        <w:tc>
          <w:tcPr>
            <w:tcW w:w="2597" w:type="dxa"/>
            <w:vAlign w:val="center"/>
            <w:hideMark/>
          </w:tcPr>
          <w:p w14:paraId="2324EBBE" w14:textId="77777777" w:rsidR="005F1C8E" w:rsidRPr="005F1C8E" w:rsidRDefault="005F1C8E" w:rsidP="005F1C8E">
            <w:pPr>
              <w:rPr>
                <w:b/>
                <w:bCs/>
              </w:rPr>
            </w:pPr>
            <w:r w:rsidRPr="005F1C8E">
              <w:rPr>
                <w:b/>
                <w:bCs/>
              </w:rPr>
              <w:t>Typical use case</w:t>
            </w:r>
          </w:p>
        </w:tc>
      </w:tr>
      <w:tr w:rsidR="005F1C8E" w:rsidRPr="005F1C8E" w14:paraId="34823A9B" w14:textId="77777777" w:rsidTr="000E3C79">
        <w:trPr>
          <w:tblCellSpacing w:w="15" w:type="dxa"/>
        </w:trPr>
        <w:tc>
          <w:tcPr>
            <w:tcW w:w="801" w:type="dxa"/>
            <w:vAlign w:val="center"/>
            <w:hideMark/>
          </w:tcPr>
          <w:p w14:paraId="4734BB59" w14:textId="77777777" w:rsidR="005F1C8E" w:rsidRPr="005F1C8E" w:rsidRDefault="005F1C8E" w:rsidP="005F1C8E">
            <w:proofErr w:type="spellStart"/>
            <w:r w:rsidRPr="005F1C8E">
              <w:rPr>
                <w:b/>
                <w:bCs/>
              </w:rPr>
              <w:t>Aquis</w:t>
            </w:r>
            <w:proofErr w:type="spellEnd"/>
            <w:r w:rsidRPr="005F1C8E">
              <w:rPr>
                <w:b/>
                <w:bCs/>
              </w:rPr>
              <w:t xml:space="preserve"> </w:t>
            </w:r>
            <w:proofErr w:type="spellStart"/>
            <w:r w:rsidRPr="005F1C8E">
              <w:rPr>
                <w:b/>
                <w:bCs/>
              </w:rPr>
              <w:t>MaC</w:t>
            </w:r>
            <w:proofErr w:type="spellEnd"/>
          </w:p>
        </w:tc>
        <w:tc>
          <w:tcPr>
            <w:tcW w:w="1104" w:type="dxa"/>
            <w:vAlign w:val="center"/>
            <w:hideMark/>
          </w:tcPr>
          <w:p w14:paraId="4D042816" w14:textId="77777777" w:rsidR="005F1C8E" w:rsidRPr="005F1C8E" w:rsidRDefault="005F1C8E" w:rsidP="005F1C8E">
            <w:r w:rsidRPr="005F1C8E">
              <w:rPr>
                <w:b/>
                <w:bCs/>
              </w:rPr>
              <w:t>Primary closing price</w:t>
            </w:r>
          </w:p>
        </w:tc>
        <w:tc>
          <w:tcPr>
            <w:tcW w:w="1529" w:type="dxa"/>
            <w:vAlign w:val="center"/>
            <w:hideMark/>
          </w:tcPr>
          <w:p w14:paraId="3382BD44" w14:textId="77777777" w:rsidR="005F1C8E" w:rsidRPr="005F1C8E" w:rsidRDefault="005F1C8E" w:rsidP="005F1C8E">
            <w:r w:rsidRPr="005F1C8E">
              <w:t>Parallel with primary close (locks mid-auction; executes right after close)</w:t>
            </w:r>
          </w:p>
        </w:tc>
        <w:tc>
          <w:tcPr>
            <w:tcW w:w="1246" w:type="dxa"/>
            <w:vAlign w:val="center"/>
            <w:hideMark/>
          </w:tcPr>
          <w:p w14:paraId="39A3BB69" w14:textId="77777777" w:rsidR="005F1C8E" w:rsidRPr="005F1C8E" w:rsidRDefault="005F1C8E" w:rsidP="005F1C8E">
            <w:r w:rsidRPr="005F1C8E">
              <w:rPr>
                <w:b/>
                <w:bCs/>
              </w:rPr>
              <w:t>Lit</w:t>
            </w:r>
            <w:r w:rsidRPr="005F1C8E">
              <w:t>, member/time priority</w:t>
            </w:r>
          </w:p>
        </w:tc>
        <w:tc>
          <w:tcPr>
            <w:tcW w:w="1529" w:type="dxa"/>
            <w:vAlign w:val="center"/>
            <w:hideMark/>
          </w:tcPr>
          <w:p w14:paraId="59597F96" w14:textId="77777777" w:rsidR="005F1C8E" w:rsidRPr="005F1C8E" w:rsidRDefault="005F1C8E" w:rsidP="005F1C8E">
            <w:r w:rsidRPr="005F1C8E">
              <w:t>Needs a valid PCP; cancels if primary auction extended/cancelled</w:t>
            </w:r>
          </w:p>
        </w:tc>
        <w:tc>
          <w:tcPr>
            <w:tcW w:w="2597" w:type="dxa"/>
            <w:vAlign w:val="center"/>
            <w:hideMark/>
          </w:tcPr>
          <w:p w14:paraId="59809287" w14:textId="77777777" w:rsidR="005F1C8E" w:rsidRPr="005F1C8E" w:rsidRDefault="005F1C8E" w:rsidP="005F1C8E">
            <w:r w:rsidRPr="005F1C8E">
              <w:t xml:space="preserve">Cheaper PCP fills; keep some flow out of crowded primary; get </w:t>
            </w:r>
            <w:r w:rsidRPr="005F1C8E">
              <w:rPr>
                <w:b/>
                <w:bCs/>
              </w:rPr>
              <w:t>price certainty</w:t>
            </w:r>
            <w:r w:rsidRPr="005F1C8E">
              <w:t xml:space="preserve"> with earlier lock. </w:t>
            </w:r>
            <w:hyperlink r:id="rId15" w:tgtFrame="_blank" w:history="1">
              <w:r w:rsidRPr="005F1C8E">
                <w:rPr>
                  <w:rStyle w:val="Hyperlink"/>
                </w:rPr>
                <w:t>aquis.eu</w:t>
              </w:r>
            </w:hyperlink>
          </w:p>
        </w:tc>
      </w:tr>
      <w:tr w:rsidR="005F1C8E" w:rsidRPr="005F1C8E" w14:paraId="679CDFF1" w14:textId="77777777" w:rsidTr="000E3C79">
        <w:trPr>
          <w:tblCellSpacing w:w="15" w:type="dxa"/>
        </w:trPr>
        <w:tc>
          <w:tcPr>
            <w:tcW w:w="801" w:type="dxa"/>
            <w:vAlign w:val="center"/>
            <w:hideMark/>
          </w:tcPr>
          <w:p w14:paraId="030F25ED" w14:textId="77777777" w:rsidR="005F1C8E" w:rsidRPr="005F1C8E" w:rsidRDefault="005F1C8E" w:rsidP="005F1C8E">
            <w:r w:rsidRPr="005F1C8E">
              <w:rPr>
                <w:b/>
                <w:bCs/>
              </w:rPr>
              <w:t>Turquoise TAL</w:t>
            </w:r>
          </w:p>
        </w:tc>
        <w:tc>
          <w:tcPr>
            <w:tcW w:w="1104" w:type="dxa"/>
            <w:vAlign w:val="center"/>
            <w:hideMark/>
          </w:tcPr>
          <w:p w14:paraId="772EB1DD" w14:textId="77777777" w:rsidR="005F1C8E" w:rsidRPr="005F1C8E" w:rsidRDefault="005F1C8E" w:rsidP="005F1C8E">
            <w:r w:rsidRPr="005F1C8E">
              <w:rPr>
                <w:b/>
                <w:bCs/>
              </w:rPr>
              <w:t>Primary closing price</w:t>
            </w:r>
          </w:p>
        </w:tc>
        <w:tc>
          <w:tcPr>
            <w:tcW w:w="1529" w:type="dxa"/>
            <w:vAlign w:val="center"/>
            <w:hideMark/>
          </w:tcPr>
          <w:p w14:paraId="556A510A" w14:textId="77777777" w:rsidR="005F1C8E" w:rsidRPr="005F1C8E" w:rsidRDefault="005F1C8E" w:rsidP="005F1C8E">
            <w:r w:rsidRPr="005F1C8E">
              <w:t xml:space="preserve">After the primary publishes PCP, up to </w:t>
            </w:r>
            <w:r w:rsidRPr="005F1C8E">
              <w:rPr>
                <w:b/>
                <w:bCs/>
              </w:rPr>
              <w:t>16:45 UK</w:t>
            </w:r>
          </w:p>
        </w:tc>
        <w:tc>
          <w:tcPr>
            <w:tcW w:w="1246" w:type="dxa"/>
            <w:vAlign w:val="center"/>
            <w:hideMark/>
          </w:tcPr>
          <w:p w14:paraId="6AB3D0CF" w14:textId="77777777" w:rsidR="005F1C8E" w:rsidRPr="005F1C8E" w:rsidRDefault="005F1C8E" w:rsidP="005F1C8E">
            <w:r w:rsidRPr="005F1C8E">
              <w:rPr>
                <w:b/>
                <w:bCs/>
              </w:rPr>
              <w:t>Dark</w:t>
            </w:r>
            <w:r w:rsidRPr="005F1C8E">
              <w:t xml:space="preserve">, RPW + </w:t>
            </w:r>
            <w:r w:rsidRPr="005F1C8E">
              <w:rPr>
                <w:b/>
                <w:bCs/>
              </w:rPr>
              <w:t>LIS</w:t>
            </w:r>
            <w:r w:rsidRPr="005F1C8E">
              <w:t xml:space="preserve"> (firm &amp; conditional)</w:t>
            </w:r>
          </w:p>
        </w:tc>
        <w:tc>
          <w:tcPr>
            <w:tcW w:w="1529" w:type="dxa"/>
            <w:vAlign w:val="center"/>
            <w:hideMark/>
          </w:tcPr>
          <w:p w14:paraId="0F5E8FC9" w14:textId="77777777" w:rsidR="005F1C8E" w:rsidRPr="005F1C8E" w:rsidRDefault="005F1C8E" w:rsidP="005F1C8E">
            <w:r w:rsidRPr="005F1C8E">
              <w:t>Runs only if PCP available before 16:45</w:t>
            </w:r>
          </w:p>
        </w:tc>
        <w:tc>
          <w:tcPr>
            <w:tcW w:w="2597" w:type="dxa"/>
            <w:vAlign w:val="center"/>
            <w:hideMark/>
          </w:tcPr>
          <w:p w14:paraId="39BECBCA" w14:textId="77777777" w:rsidR="005F1C8E" w:rsidRPr="005F1C8E" w:rsidRDefault="005F1C8E" w:rsidP="005F1C8E">
            <w:r w:rsidRPr="005F1C8E">
              <w:rPr>
                <w:b/>
                <w:bCs/>
              </w:rPr>
              <w:t>Block/conditional</w:t>
            </w:r>
            <w:r w:rsidRPr="005F1C8E">
              <w:t xml:space="preserve"> interest at PCP; extra PCP capacity post-close. </w:t>
            </w:r>
            <w:hyperlink r:id="rId16" w:tgtFrame="_blank" w:history="1">
              <w:r w:rsidRPr="005F1C8E">
                <w:rPr>
                  <w:rStyle w:val="Hyperlink"/>
                </w:rPr>
                <w:t>docs.londonstockexchange.com</w:t>
              </w:r>
            </w:hyperlink>
          </w:p>
        </w:tc>
      </w:tr>
      <w:tr w:rsidR="005F1C8E" w:rsidRPr="005F1C8E" w14:paraId="3E4A8851" w14:textId="77777777" w:rsidTr="000E3C79">
        <w:trPr>
          <w:tblCellSpacing w:w="15" w:type="dxa"/>
        </w:trPr>
        <w:tc>
          <w:tcPr>
            <w:tcW w:w="801" w:type="dxa"/>
            <w:vAlign w:val="center"/>
            <w:hideMark/>
          </w:tcPr>
          <w:p w14:paraId="08481F68" w14:textId="77777777" w:rsidR="005F1C8E" w:rsidRPr="005F1C8E" w:rsidRDefault="005F1C8E" w:rsidP="005F1C8E">
            <w:proofErr w:type="spellStart"/>
            <w:r w:rsidRPr="005F1C8E">
              <w:rPr>
                <w:b/>
                <w:bCs/>
              </w:rPr>
              <w:t>Cboe</w:t>
            </w:r>
            <w:proofErr w:type="spellEnd"/>
            <w:r w:rsidRPr="005F1C8E">
              <w:rPr>
                <w:b/>
                <w:bCs/>
              </w:rPr>
              <w:t xml:space="preserve"> 3C</w:t>
            </w:r>
          </w:p>
        </w:tc>
        <w:tc>
          <w:tcPr>
            <w:tcW w:w="1104" w:type="dxa"/>
            <w:vAlign w:val="center"/>
            <w:hideMark/>
          </w:tcPr>
          <w:p w14:paraId="51E9A01D" w14:textId="77777777" w:rsidR="005F1C8E" w:rsidRPr="005F1C8E" w:rsidRDefault="005F1C8E" w:rsidP="005F1C8E">
            <w:r w:rsidRPr="005F1C8E">
              <w:rPr>
                <w:b/>
                <w:bCs/>
              </w:rPr>
              <w:t>Own cross price (not PCP)</w:t>
            </w:r>
          </w:p>
        </w:tc>
        <w:tc>
          <w:tcPr>
            <w:tcW w:w="1529" w:type="dxa"/>
            <w:vAlign w:val="center"/>
            <w:hideMark/>
          </w:tcPr>
          <w:p w14:paraId="0AB04F61" w14:textId="77777777" w:rsidR="005F1C8E" w:rsidRPr="005F1C8E" w:rsidRDefault="005F1C8E" w:rsidP="005F1C8E">
            <w:r w:rsidRPr="005F1C8E">
              <w:t>Post-close, ~</w:t>
            </w:r>
            <w:r w:rsidRPr="005F1C8E">
              <w:rPr>
                <w:b/>
                <w:bCs/>
              </w:rPr>
              <w:t>25 min</w:t>
            </w:r>
            <w:r w:rsidRPr="005F1C8E">
              <w:t xml:space="preserve"> in 15-sec windows</w:t>
            </w:r>
          </w:p>
        </w:tc>
        <w:tc>
          <w:tcPr>
            <w:tcW w:w="1246" w:type="dxa"/>
            <w:vAlign w:val="center"/>
            <w:hideMark/>
          </w:tcPr>
          <w:p w14:paraId="28E203B9" w14:textId="77777777" w:rsidR="005F1C8E" w:rsidRPr="005F1C8E" w:rsidRDefault="005F1C8E" w:rsidP="005F1C8E">
            <w:r w:rsidRPr="005F1C8E">
              <w:t xml:space="preserve">Periodic cross; </w:t>
            </w:r>
            <w:r w:rsidRPr="005F1C8E">
              <w:rPr>
                <w:b/>
                <w:bCs/>
              </w:rPr>
              <w:t>limit-only</w:t>
            </w:r>
            <w:r w:rsidRPr="005F1C8E">
              <w:t>; static collars</w:t>
            </w:r>
          </w:p>
        </w:tc>
        <w:tc>
          <w:tcPr>
            <w:tcW w:w="1529" w:type="dxa"/>
            <w:vAlign w:val="center"/>
            <w:hideMark/>
          </w:tcPr>
          <w:p w14:paraId="01B58EA0" w14:textId="77777777" w:rsidR="005F1C8E" w:rsidRPr="005F1C8E" w:rsidRDefault="005F1C8E" w:rsidP="005F1C8E">
            <w:r w:rsidRPr="005F1C8E">
              <w:t>Independent of PCP</w:t>
            </w:r>
          </w:p>
        </w:tc>
        <w:tc>
          <w:tcPr>
            <w:tcW w:w="2597" w:type="dxa"/>
            <w:vAlign w:val="center"/>
            <w:hideMark/>
          </w:tcPr>
          <w:p w14:paraId="2D2D4F5E" w14:textId="77777777" w:rsidR="005F1C8E" w:rsidRPr="005F1C8E" w:rsidRDefault="005F1C8E" w:rsidP="005F1C8E">
            <w:r w:rsidRPr="005F1C8E">
              <w:t xml:space="preserve">Work residual at your chosen limit after the close; discretionary end-of-day rebalancing. </w:t>
            </w:r>
            <w:hyperlink r:id="rId17" w:tgtFrame="_blank" w:history="1">
              <w:r w:rsidRPr="005F1C8E">
                <w:rPr>
                  <w:rStyle w:val="Hyperlink"/>
                </w:rPr>
                <w:t>cdn.cboe.com</w:t>
              </w:r>
            </w:hyperlink>
          </w:p>
        </w:tc>
      </w:tr>
    </w:tbl>
    <w:p w14:paraId="4C5C5AA0" w14:textId="77777777" w:rsidR="005F1C8E" w:rsidRPr="005F1C8E" w:rsidRDefault="005F1C8E" w:rsidP="005F1C8E">
      <w:r w:rsidRPr="005F1C8E">
        <w:pict w14:anchorId="62B32956">
          <v:rect id="_x0000_i1070" style="width:0;height:1.5pt" o:hralign="center" o:hrstd="t" o:hr="t" fillcolor="#a0a0a0" stroked="f"/>
        </w:pict>
      </w:r>
    </w:p>
    <w:p w14:paraId="0E0D85BE" w14:textId="77777777" w:rsidR="005F1C8E" w:rsidRPr="005F1C8E" w:rsidRDefault="005F1C8E" w:rsidP="005F1C8E">
      <w:pPr>
        <w:rPr>
          <w:b/>
          <w:bCs/>
        </w:rPr>
      </w:pPr>
      <w:r w:rsidRPr="005F1C8E">
        <w:rPr>
          <w:b/>
          <w:bCs/>
        </w:rPr>
        <w:t>Pros &amp; cons in practice</w:t>
      </w:r>
    </w:p>
    <w:p w14:paraId="37D086CB" w14:textId="77777777" w:rsidR="005F1C8E" w:rsidRPr="005F1C8E" w:rsidRDefault="005F1C8E" w:rsidP="005F1C8E">
      <w:proofErr w:type="spellStart"/>
      <w:r w:rsidRPr="005F1C8E">
        <w:rPr>
          <w:b/>
          <w:bCs/>
        </w:rPr>
        <w:t>Aquis</w:t>
      </w:r>
      <w:proofErr w:type="spellEnd"/>
      <w:r w:rsidRPr="005F1C8E">
        <w:rPr>
          <w:b/>
          <w:bCs/>
        </w:rPr>
        <w:t xml:space="preserve"> </w:t>
      </w:r>
      <w:proofErr w:type="spellStart"/>
      <w:r w:rsidRPr="005F1C8E">
        <w:rPr>
          <w:b/>
          <w:bCs/>
        </w:rPr>
        <w:t>MaC</w:t>
      </w:r>
      <w:proofErr w:type="spellEnd"/>
      <w:r w:rsidRPr="005F1C8E">
        <w:br/>
      </w:r>
      <w:r w:rsidRPr="005F1C8E">
        <w:rPr>
          <w:b/>
          <w:bCs/>
        </w:rPr>
        <w:t>Pros:</w:t>
      </w:r>
      <w:r w:rsidRPr="005F1C8E">
        <w:t xml:space="preserve"> PCP prints with </w:t>
      </w:r>
      <w:r w:rsidRPr="005F1C8E">
        <w:rPr>
          <w:b/>
          <w:bCs/>
        </w:rPr>
        <w:t>earlier lock</w:t>
      </w:r>
      <w:r w:rsidRPr="005F1C8E">
        <w:t xml:space="preserve"> (reduces last-second imbalance games); </w:t>
      </w:r>
      <w:r w:rsidRPr="005F1C8E">
        <w:rPr>
          <w:b/>
          <w:bCs/>
        </w:rPr>
        <w:t>cost savings</w:t>
      </w:r>
      <w:r w:rsidRPr="005F1C8E">
        <w:t xml:space="preserve"> vs primaries; unmatched orders cancelled in time to redirect; simple connectivity (same as </w:t>
      </w:r>
      <w:proofErr w:type="spellStart"/>
      <w:r w:rsidRPr="005F1C8E">
        <w:t>Aquis</w:t>
      </w:r>
      <w:proofErr w:type="spellEnd"/>
      <w:r w:rsidRPr="005F1C8E">
        <w:t xml:space="preserve"> lit). </w:t>
      </w:r>
      <w:r w:rsidRPr="005F1C8E">
        <w:rPr>
          <w:b/>
          <w:bCs/>
        </w:rPr>
        <w:t>Cons:</w:t>
      </w:r>
      <w:r w:rsidRPr="005F1C8E">
        <w:t xml:space="preserve"> </w:t>
      </w:r>
      <w:r w:rsidRPr="005F1C8E">
        <w:rPr>
          <w:b/>
          <w:bCs/>
        </w:rPr>
        <w:t>Fill risk</w:t>
      </w:r>
      <w:r w:rsidRPr="005F1C8E">
        <w:t xml:space="preserve"> if no contra; still </w:t>
      </w:r>
      <w:r w:rsidRPr="005F1C8E">
        <w:rPr>
          <w:b/>
          <w:bCs/>
        </w:rPr>
        <w:t>not the official auction</w:t>
      </w:r>
      <w:r w:rsidRPr="005F1C8E">
        <w:t xml:space="preserve">; operational dependency on the primary (extensions cancel </w:t>
      </w:r>
      <w:proofErr w:type="spellStart"/>
      <w:r w:rsidRPr="005F1C8E">
        <w:t>MaC</w:t>
      </w:r>
      <w:proofErr w:type="spellEnd"/>
      <w:r w:rsidRPr="005F1C8E">
        <w:t xml:space="preserve"> participation); fragmenting size away from the primary can dilute your auction leverage. </w:t>
      </w:r>
      <w:hyperlink r:id="rId18" w:tgtFrame="_blank" w:history="1">
        <w:r w:rsidRPr="005F1C8E">
          <w:rPr>
            <w:rStyle w:val="Hyperlink"/>
          </w:rPr>
          <w:t>aquis.eu</w:t>
        </w:r>
      </w:hyperlink>
    </w:p>
    <w:p w14:paraId="55CFD922" w14:textId="77777777" w:rsidR="005F1C8E" w:rsidRPr="005F1C8E" w:rsidRDefault="005F1C8E" w:rsidP="005F1C8E">
      <w:r w:rsidRPr="005F1C8E">
        <w:rPr>
          <w:b/>
          <w:bCs/>
        </w:rPr>
        <w:t>Turquoise TAL</w:t>
      </w:r>
      <w:r w:rsidRPr="005F1C8E">
        <w:br/>
      </w:r>
      <w:r w:rsidRPr="005F1C8E">
        <w:rPr>
          <w:b/>
          <w:bCs/>
        </w:rPr>
        <w:t>Pros:</w:t>
      </w:r>
      <w:r w:rsidRPr="005F1C8E">
        <w:t xml:space="preserve"> PCP prints </w:t>
      </w:r>
      <w:r w:rsidRPr="005F1C8E">
        <w:rPr>
          <w:b/>
          <w:bCs/>
        </w:rPr>
        <w:t>after</w:t>
      </w:r>
      <w:r w:rsidRPr="005F1C8E">
        <w:t xml:space="preserve"> the primary; supports </w:t>
      </w:r>
      <w:r w:rsidRPr="005F1C8E">
        <w:rPr>
          <w:b/>
          <w:bCs/>
        </w:rPr>
        <w:t>conditional/LIS blocks</w:t>
      </w:r>
      <w:r w:rsidRPr="005F1C8E">
        <w:t xml:space="preserve"> — good for sizeable, low-footprint crosses; re-uses your Plato workflow. </w:t>
      </w:r>
      <w:r w:rsidRPr="005F1C8E">
        <w:rPr>
          <w:b/>
          <w:bCs/>
        </w:rPr>
        <w:t>Cons:</w:t>
      </w:r>
      <w:r w:rsidRPr="005F1C8E">
        <w:t xml:space="preserve"> No TAL if the </w:t>
      </w:r>
      <w:r w:rsidRPr="005F1C8E">
        <w:rPr>
          <w:b/>
          <w:bCs/>
        </w:rPr>
        <w:t xml:space="preserve">PCP isn’t available before </w:t>
      </w:r>
      <w:r w:rsidRPr="005F1C8E">
        <w:rPr>
          <w:b/>
          <w:bCs/>
        </w:rPr>
        <w:lastRenderedPageBreak/>
        <w:t>16:45</w:t>
      </w:r>
      <w:r w:rsidRPr="005F1C8E">
        <w:t xml:space="preserve">; not the official close; purely offsetting interest (no match → no fill). </w:t>
      </w:r>
      <w:hyperlink r:id="rId19" w:tgtFrame="_blank" w:history="1">
        <w:r w:rsidRPr="005F1C8E">
          <w:rPr>
            <w:rStyle w:val="Hyperlink"/>
          </w:rPr>
          <w:t>docs.londonstockexchange.com</w:t>
        </w:r>
      </w:hyperlink>
    </w:p>
    <w:p w14:paraId="21C9E0D1" w14:textId="77777777" w:rsidR="005F1C8E" w:rsidRPr="005F1C8E" w:rsidRDefault="005F1C8E" w:rsidP="005F1C8E">
      <w:proofErr w:type="spellStart"/>
      <w:r w:rsidRPr="005F1C8E">
        <w:rPr>
          <w:b/>
          <w:bCs/>
        </w:rPr>
        <w:t>Cboe</w:t>
      </w:r>
      <w:proofErr w:type="spellEnd"/>
      <w:r w:rsidRPr="005F1C8E">
        <w:rPr>
          <w:b/>
          <w:bCs/>
        </w:rPr>
        <w:t xml:space="preserve"> 3C</w:t>
      </w:r>
      <w:r w:rsidRPr="005F1C8E">
        <w:br/>
      </w:r>
      <w:r w:rsidRPr="005F1C8E">
        <w:rPr>
          <w:b/>
          <w:bCs/>
        </w:rPr>
        <w:t>Pros:</w:t>
      </w:r>
      <w:r w:rsidRPr="005F1C8E">
        <w:t xml:space="preserve"> </w:t>
      </w:r>
      <w:r w:rsidRPr="005F1C8E">
        <w:rPr>
          <w:b/>
          <w:bCs/>
        </w:rPr>
        <w:t>Extra post-close liquidity window</w:t>
      </w:r>
      <w:r w:rsidRPr="005F1C8E">
        <w:t xml:space="preserve">; </w:t>
      </w:r>
      <w:r w:rsidRPr="005F1C8E">
        <w:rPr>
          <w:b/>
          <w:bCs/>
        </w:rPr>
        <w:t>price discretion</w:t>
      </w:r>
      <w:r w:rsidRPr="005F1C8E">
        <w:t xml:space="preserve"> (set your limit); frequent mini-crosses can find contra without live-</w:t>
      </w:r>
      <w:proofErr w:type="spellStart"/>
      <w:r w:rsidRPr="005F1C8E">
        <w:t>auction</w:t>
      </w:r>
      <w:proofErr w:type="spellEnd"/>
      <w:r w:rsidRPr="005F1C8E">
        <w:t xml:space="preserve"> signalling; risk controls via </w:t>
      </w:r>
      <w:r w:rsidRPr="005F1C8E">
        <w:rPr>
          <w:b/>
          <w:bCs/>
        </w:rPr>
        <w:t>static collars</w:t>
      </w:r>
      <w:r w:rsidRPr="005F1C8E">
        <w:t xml:space="preserve">. </w:t>
      </w:r>
      <w:r w:rsidRPr="005F1C8E">
        <w:rPr>
          <w:b/>
          <w:bCs/>
        </w:rPr>
        <w:t>Cons:</w:t>
      </w:r>
      <w:r w:rsidRPr="005F1C8E">
        <w:t xml:space="preserve"> </w:t>
      </w:r>
      <w:r w:rsidRPr="005F1C8E">
        <w:rPr>
          <w:b/>
          <w:bCs/>
        </w:rPr>
        <w:t>Not at PCP</w:t>
      </w:r>
      <w:r w:rsidRPr="005F1C8E">
        <w:t xml:space="preserve"> (basis risk vs official close); </w:t>
      </w:r>
      <w:r w:rsidRPr="005F1C8E">
        <w:rPr>
          <w:b/>
          <w:bCs/>
        </w:rPr>
        <w:t>limit-only</w:t>
      </w:r>
      <w:r w:rsidRPr="005F1C8E">
        <w:t xml:space="preserve">; not part of the benchmarked close; liquidity varies by name; some instruments (e.g., REGM ETFs) excluded. </w:t>
      </w:r>
      <w:hyperlink r:id="rId20" w:tgtFrame="_blank" w:history="1">
        <w:r w:rsidRPr="005F1C8E">
          <w:rPr>
            <w:rStyle w:val="Hyperlink"/>
          </w:rPr>
          <w:t>cdn.cboe.com</w:t>
        </w:r>
      </w:hyperlink>
    </w:p>
    <w:p w14:paraId="58C2883E" w14:textId="77777777" w:rsidR="005F1C8E" w:rsidRPr="005F1C8E" w:rsidRDefault="005F1C8E" w:rsidP="005F1C8E">
      <w:r w:rsidRPr="005F1C8E">
        <w:pict w14:anchorId="0E45BEDB">
          <v:rect id="_x0000_i1071" style="width:0;height:1.5pt" o:hralign="center" o:hrstd="t" o:hr="t" fillcolor="#a0a0a0" stroked="f"/>
        </w:pict>
      </w:r>
    </w:p>
    <w:p w14:paraId="39F195F4" w14:textId="77777777" w:rsidR="005F1C8E" w:rsidRPr="005F1C8E" w:rsidRDefault="005F1C8E" w:rsidP="005F1C8E">
      <w:pPr>
        <w:rPr>
          <w:b/>
          <w:bCs/>
        </w:rPr>
      </w:pPr>
      <w:r w:rsidRPr="005F1C8E">
        <w:rPr>
          <w:b/>
          <w:bCs/>
        </w:rPr>
        <w:t>Liquidity &amp; market-structure context</w:t>
      </w:r>
    </w:p>
    <w:p w14:paraId="04128CE8" w14:textId="77777777" w:rsidR="005F1C8E" w:rsidRPr="005F1C8E" w:rsidRDefault="005F1C8E" w:rsidP="005F1C8E">
      <w:pPr>
        <w:numPr>
          <w:ilvl w:val="0"/>
          <w:numId w:val="4"/>
        </w:numPr>
      </w:pPr>
      <w:r w:rsidRPr="005F1C8E">
        <w:t xml:space="preserve">Across Europe, </w:t>
      </w:r>
      <w:r w:rsidRPr="005F1C8E">
        <w:rPr>
          <w:b/>
          <w:bCs/>
        </w:rPr>
        <w:t>closing mechanisms</w:t>
      </w:r>
      <w:r w:rsidRPr="005F1C8E">
        <w:t xml:space="preserve"> (primary + alternatives) are a big deal: ~</w:t>
      </w:r>
      <w:r w:rsidRPr="005F1C8E">
        <w:rPr>
          <w:b/>
          <w:bCs/>
        </w:rPr>
        <w:t>18%</w:t>
      </w:r>
      <w:r w:rsidRPr="005F1C8E">
        <w:t xml:space="preserve"> of consolidated turnover in STOXX 600 names (Jan-2021 to Sep-2022). That’s why venues compete hard around the close. </w:t>
      </w:r>
      <w:hyperlink r:id="rId21" w:tgtFrame="_blank" w:history="1">
        <w:r w:rsidRPr="005F1C8E">
          <w:rPr>
            <w:rStyle w:val="Hyperlink"/>
          </w:rPr>
          <w:t>SSRN</w:t>
        </w:r>
      </w:hyperlink>
    </w:p>
    <w:p w14:paraId="56B45CE6" w14:textId="77777777" w:rsidR="005F1C8E" w:rsidRPr="005F1C8E" w:rsidRDefault="005F1C8E" w:rsidP="005F1C8E">
      <w:pPr>
        <w:numPr>
          <w:ilvl w:val="0"/>
          <w:numId w:val="4"/>
        </w:numPr>
      </w:pPr>
      <w:proofErr w:type="spellStart"/>
      <w:r w:rsidRPr="005F1C8E">
        <w:t>Aquis</w:t>
      </w:r>
      <w:proofErr w:type="spellEnd"/>
      <w:r w:rsidRPr="005F1C8E">
        <w:t xml:space="preserve"> positions </w:t>
      </w:r>
      <w:proofErr w:type="spellStart"/>
      <w:r w:rsidRPr="005F1C8E">
        <w:t>MaC</w:t>
      </w:r>
      <w:proofErr w:type="spellEnd"/>
      <w:r w:rsidRPr="005F1C8E">
        <w:t xml:space="preserve"> as </w:t>
      </w:r>
      <w:r w:rsidRPr="005F1C8E">
        <w:rPr>
          <w:b/>
          <w:bCs/>
        </w:rPr>
        <w:t>“Europe’s largest closing auction”</w:t>
      </w:r>
      <w:r w:rsidRPr="005F1C8E">
        <w:t xml:space="preserve"> and highlights lower fees; treat that as a </w:t>
      </w:r>
      <w:r w:rsidRPr="005F1C8E">
        <w:rPr>
          <w:b/>
          <w:bCs/>
        </w:rPr>
        <w:t>marketing claim</w:t>
      </w:r>
      <w:r w:rsidRPr="005F1C8E">
        <w:t xml:space="preserve"> and check internal fill stats by name. </w:t>
      </w:r>
      <w:hyperlink r:id="rId22" w:tgtFrame="_blank" w:history="1">
        <w:r w:rsidRPr="005F1C8E">
          <w:rPr>
            <w:rStyle w:val="Hyperlink"/>
          </w:rPr>
          <w:t>aquis.eu</w:t>
        </w:r>
      </w:hyperlink>
    </w:p>
    <w:p w14:paraId="605CBB5E" w14:textId="77777777" w:rsidR="005F1C8E" w:rsidRPr="005F1C8E" w:rsidRDefault="005F1C8E" w:rsidP="005F1C8E">
      <w:pPr>
        <w:numPr>
          <w:ilvl w:val="0"/>
          <w:numId w:val="4"/>
        </w:numPr>
      </w:pPr>
      <w:r w:rsidRPr="005F1C8E">
        <w:t xml:space="preserve">Turquoise publicly notes TAL’s </w:t>
      </w:r>
      <w:r w:rsidRPr="005F1C8E">
        <w:rPr>
          <w:b/>
          <w:bCs/>
        </w:rPr>
        <w:t>firm + conditional</w:t>
      </w:r>
      <w:r w:rsidRPr="005F1C8E">
        <w:t xml:space="preserve"> support and post-close window, specifically </w:t>
      </w:r>
      <w:r w:rsidRPr="005F1C8E">
        <w:rPr>
          <w:b/>
          <w:bCs/>
        </w:rPr>
        <w:t>to 16:45 UK</w:t>
      </w:r>
      <w:r w:rsidRPr="005F1C8E">
        <w:t xml:space="preserve">. </w:t>
      </w:r>
      <w:hyperlink r:id="rId23" w:tgtFrame="_blank" w:history="1">
        <w:proofErr w:type="spellStart"/>
        <w:r w:rsidRPr="005F1C8E">
          <w:rPr>
            <w:rStyle w:val="Hyperlink"/>
          </w:rPr>
          <w:t>docs.londonstockexchange.com</w:t>
        </w:r>
      </w:hyperlink>
      <w:hyperlink r:id="rId24" w:tgtFrame="_blank" w:history="1">
        <w:r w:rsidRPr="005F1C8E">
          <w:rPr>
            <w:rStyle w:val="Hyperlink"/>
          </w:rPr>
          <w:t>The</w:t>
        </w:r>
        <w:proofErr w:type="spellEnd"/>
        <w:r w:rsidRPr="005F1C8E">
          <w:rPr>
            <w:rStyle w:val="Hyperlink"/>
          </w:rPr>
          <w:t xml:space="preserve"> TRADE</w:t>
        </w:r>
      </w:hyperlink>
    </w:p>
    <w:p w14:paraId="608D00DA" w14:textId="77777777" w:rsidR="005F1C8E" w:rsidRPr="005F1C8E" w:rsidRDefault="005F1C8E" w:rsidP="005F1C8E">
      <w:pPr>
        <w:numPr>
          <w:ilvl w:val="0"/>
          <w:numId w:val="4"/>
        </w:numPr>
      </w:pPr>
      <w:proofErr w:type="spellStart"/>
      <w:r w:rsidRPr="005F1C8E">
        <w:t>Cboe</w:t>
      </w:r>
      <w:proofErr w:type="spellEnd"/>
      <w:r w:rsidRPr="005F1C8E">
        <w:t xml:space="preserve"> publishes detailed </w:t>
      </w:r>
      <w:r w:rsidRPr="005F1C8E">
        <w:rPr>
          <w:b/>
          <w:bCs/>
        </w:rPr>
        <w:t>3C</w:t>
      </w:r>
      <w:r w:rsidRPr="005F1C8E">
        <w:t xml:space="preserve"> specs: </w:t>
      </w:r>
      <w:r w:rsidRPr="005F1C8E">
        <w:rPr>
          <w:b/>
          <w:bCs/>
        </w:rPr>
        <w:t>15-second</w:t>
      </w:r>
      <w:r w:rsidRPr="005F1C8E">
        <w:t xml:space="preserve"> crossing periods across </w:t>
      </w:r>
      <w:r w:rsidRPr="005F1C8E">
        <w:rPr>
          <w:b/>
          <w:bCs/>
        </w:rPr>
        <w:t>~25 minutes</w:t>
      </w:r>
      <w:r w:rsidRPr="005F1C8E">
        <w:t xml:space="preserve">, </w:t>
      </w:r>
      <w:r w:rsidRPr="005F1C8E">
        <w:rPr>
          <w:b/>
          <w:bCs/>
        </w:rPr>
        <w:t>limit-only</w:t>
      </w:r>
      <w:r w:rsidRPr="005F1C8E">
        <w:t xml:space="preserve">, </w:t>
      </w:r>
      <w:r w:rsidRPr="005F1C8E">
        <w:rPr>
          <w:b/>
          <w:bCs/>
        </w:rPr>
        <w:t>collars</w:t>
      </w:r>
      <w:r w:rsidRPr="005F1C8E">
        <w:t xml:space="preserve">, and </w:t>
      </w:r>
      <w:r w:rsidRPr="005F1C8E">
        <w:rPr>
          <w:b/>
          <w:bCs/>
        </w:rPr>
        <w:t>price-formation</w:t>
      </w:r>
      <w:r w:rsidRPr="005F1C8E">
        <w:t xml:space="preserve"> logic distinct from PCP. </w:t>
      </w:r>
      <w:hyperlink r:id="rId25" w:tgtFrame="_blank" w:history="1">
        <w:r w:rsidRPr="005F1C8E">
          <w:rPr>
            <w:rStyle w:val="Hyperlink"/>
          </w:rPr>
          <w:t>cdn.cboe.com</w:t>
        </w:r>
      </w:hyperlink>
    </w:p>
    <w:p w14:paraId="1C66A721" w14:textId="77777777" w:rsidR="005F1C8E" w:rsidRPr="005F1C8E" w:rsidRDefault="005F1C8E" w:rsidP="005F1C8E">
      <w:r w:rsidRPr="005F1C8E">
        <w:pict w14:anchorId="24B79FA4">
          <v:rect id="_x0000_i1072" style="width:0;height:1.5pt" o:hralign="center" o:hrstd="t" o:hr="t" fillcolor="#a0a0a0" stroked="f"/>
        </w:pict>
      </w:r>
    </w:p>
    <w:p w14:paraId="2926611A" w14:textId="77777777" w:rsidR="005F1C8E" w:rsidRPr="005F1C8E" w:rsidRDefault="005F1C8E" w:rsidP="005F1C8E">
      <w:pPr>
        <w:rPr>
          <w:b/>
          <w:bCs/>
        </w:rPr>
      </w:pPr>
      <w:r w:rsidRPr="005F1C8E">
        <w:rPr>
          <w:b/>
          <w:bCs/>
        </w:rPr>
        <w:t>Routing playbook (what most buy-/sell-sides do)</w:t>
      </w:r>
    </w:p>
    <w:p w14:paraId="4067DA31" w14:textId="77777777" w:rsidR="005F1C8E" w:rsidRPr="005F1C8E" w:rsidRDefault="005F1C8E" w:rsidP="005F1C8E">
      <w:pPr>
        <w:numPr>
          <w:ilvl w:val="0"/>
          <w:numId w:val="5"/>
        </w:numPr>
      </w:pPr>
      <w:r w:rsidRPr="005F1C8E">
        <w:rPr>
          <w:b/>
          <w:bCs/>
        </w:rPr>
        <w:t>Anchor in the primary</w:t>
      </w:r>
      <w:r w:rsidRPr="005F1C8E">
        <w:t xml:space="preserve"> for benchmarked flow (you need official close participation).</w:t>
      </w:r>
    </w:p>
    <w:p w14:paraId="6B2A6908" w14:textId="77777777" w:rsidR="005F1C8E" w:rsidRPr="005F1C8E" w:rsidRDefault="005F1C8E" w:rsidP="005F1C8E">
      <w:pPr>
        <w:numPr>
          <w:ilvl w:val="0"/>
          <w:numId w:val="5"/>
        </w:numPr>
      </w:pPr>
      <w:r w:rsidRPr="005F1C8E">
        <w:rPr>
          <w:b/>
          <w:bCs/>
        </w:rPr>
        <w:t xml:space="preserve">Layer </w:t>
      </w:r>
      <w:proofErr w:type="spellStart"/>
      <w:r w:rsidRPr="005F1C8E">
        <w:rPr>
          <w:b/>
          <w:bCs/>
        </w:rPr>
        <w:t>MaC</w:t>
      </w:r>
      <w:proofErr w:type="spellEnd"/>
      <w:r w:rsidRPr="005F1C8E">
        <w:t xml:space="preserve"> for price-certain PCP fills at lower cost and to avoid adding to visible primary imbalances; consider the lock timing so you can still redirect if size doesn’t match. </w:t>
      </w:r>
      <w:hyperlink r:id="rId26" w:tgtFrame="_blank" w:history="1">
        <w:r w:rsidRPr="005F1C8E">
          <w:rPr>
            <w:rStyle w:val="Hyperlink"/>
          </w:rPr>
          <w:t>aquis.eu</w:t>
        </w:r>
      </w:hyperlink>
    </w:p>
    <w:p w14:paraId="550C52F0" w14:textId="77777777" w:rsidR="005F1C8E" w:rsidRPr="005F1C8E" w:rsidRDefault="005F1C8E" w:rsidP="005F1C8E">
      <w:pPr>
        <w:numPr>
          <w:ilvl w:val="0"/>
          <w:numId w:val="5"/>
        </w:numPr>
      </w:pPr>
      <w:r w:rsidRPr="005F1C8E">
        <w:rPr>
          <w:b/>
          <w:bCs/>
        </w:rPr>
        <w:t>Use TAL</w:t>
      </w:r>
      <w:r w:rsidRPr="005F1C8E">
        <w:t xml:space="preserve"> to sweep </w:t>
      </w:r>
      <w:r w:rsidRPr="005F1C8E">
        <w:rPr>
          <w:b/>
          <w:bCs/>
        </w:rPr>
        <w:t>dark/LIS PCP</w:t>
      </w:r>
      <w:r w:rsidRPr="005F1C8E">
        <w:t xml:space="preserve"> interest after the close (firm + conditional). Great for high-touch/PT names where you have blocks to pair. </w:t>
      </w:r>
      <w:hyperlink r:id="rId27" w:tgtFrame="_blank" w:history="1">
        <w:r w:rsidRPr="005F1C8E">
          <w:rPr>
            <w:rStyle w:val="Hyperlink"/>
          </w:rPr>
          <w:t>docs.londonstockexchange.com</w:t>
        </w:r>
      </w:hyperlink>
    </w:p>
    <w:p w14:paraId="54D6A4EB" w14:textId="77777777" w:rsidR="005F1C8E" w:rsidRPr="005F1C8E" w:rsidRDefault="005F1C8E" w:rsidP="005F1C8E">
      <w:pPr>
        <w:numPr>
          <w:ilvl w:val="0"/>
          <w:numId w:val="5"/>
        </w:numPr>
      </w:pPr>
      <w:r w:rsidRPr="005F1C8E">
        <w:rPr>
          <w:b/>
          <w:bCs/>
        </w:rPr>
        <w:t>Work residuals in 3C</w:t>
      </w:r>
      <w:r w:rsidRPr="005F1C8E">
        <w:t xml:space="preserve"> if you want discretion on price </w:t>
      </w:r>
      <w:r w:rsidRPr="005F1C8E">
        <w:rPr>
          <w:b/>
          <w:bCs/>
        </w:rPr>
        <w:t>post-close</w:t>
      </w:r>
      <w:r w:rsidRPr="005F1C8E">
        <w:t xml:space="preserve"> (accepting basis risk vs PCP). The 15-sec cadence can find natural contra with less crowding. </w:t>
      </w:r>
      <w:hyperlink r:id="rId28" w:tgtFrame="_blank" w:history="1">
        <w:r w:rsidRPr="005F1C8E">
          <w:rPr>
            <w:rStyle w:val="Hyperlink"/>
          </w:rPr>
          <w:t>cdn.cboe.com</w:t>
        </w:r>
      </w:hyperlink>
    </w:p>
    <w:p w14:paraId="49819C25" w14:textId="77777777" w:rsidR="005F1C8E" w:rsidRPr="005F1C8E" w:rsidRDefault="005F1C8E" w:rsidP="005F1C8E">
      <w:r w:rsidRPr="005F1C8E">
        <w:pict w14:anchorId="33742661">
          <v:rect id="_x0000_i1073" style="width:0;height:1.5pt" o:hralign="center" o:hrstd="t" o:hr="t" fillcolor="#a0a0a0" stroked="f"/>
        </w:pict>
      </w:r>
    </w:p>
    <w:p w14:paraId="0C5009F1" w14:textId="77777777" w:rsidR="005F1C8E" w:rsidRPr="005F1C8E" w:rsidRDefault="005F1C8E" w:rsidP="005F1C8E">
      <w:pPr>
        <w:rPr>
          <w:b/>
          <w:bCs/>
        </w:rPr>
      </w:pPr>
      <w:r w:rsidRPr="005F1C8E">
        <w:rPr>
          <w:b/>
          <w:bCs/>
        </w:rPr>
        <w:t>Handy venue specifics (quick reference)</w:t>
      </w:r>
    </w:p>
    <w:p w14:paraId="759A1580" w14:textId="77777777" w:rsidR="005F1C8E" w:rsidRPr="005F1C8E" w:rsidRDefault="005F1C8E" w:rsidP="005F1C8E">
      <w:pPr>
        <w:numPr>
          <w:ilvl w:val="0"/>
          <w:numId w:val="6"/>
        </w:numPr>
      </w:pPr>
      <w:proofErr w:type="spellStart"/>
      <w:r w:rsidRPr="005F1C8E">
        <w:rPr>
          <w:b/>
          <w:bCs/>
        </w:rPr>
        <w:t>Aquis</w:t>
      </w:r>
      <w:proofErr w:type="spellEnd"/>
      <w:r w:rsidRPr="005F1C8E">
        <w:rPr>
          <w:b/>
          <w:bCs/>
        </w:rPr>
        <w:t xml:space="preserve"> </w:t>
      </w:r>
      <w:proofErr w:type="spellStart"/>
      <w:r w:rsidRPr="005F1C8E">
        <w:rPr>
          <w:b/>
          <w:bCs/>
        </w:rPr>
        <w:t>MaC</w:t>
      </w:r>
      <w:proofErr w:type="spellEnd"/>
      <w:r w:rsidRPr="005F1C8E">
        <w:rPr>
          <w:b/>
          <w:bCs/>
        </w:rPr>
        <w:t xml:space="preserve"> (AQXE/AQEU)</w:t>
      </w:r>
      <w:r w:rsidRPr="005F1C8E">
        <w:t xml:space="preserve">: sequential phases; random lock mid-auction; cancels if primary extends; executes at PCP; member/time priority; “fraction of cost”. </w:t>
      </w:r>
      <w:hyperlink r:id="rId29" w:tgtFrame="_blank" w:history="1">
        <w:r w:rsidRPr="005F1C8E">
          <w:rPr>
            <w:rStyle w:val="Hyperlink"/>
          </w:rPr>
          <w:t>aquis.eu+1</w:t>
        </w:r>
      </w:hyperlink>
    </w:p>
    <w:p w14:paraId="3337BD1F" w14:textId="77777777" w:rsidR="005F1C8E" w:rsidRPr="005F1C8E" w:rsidRDefault="005F1C8E" w:rsidP="005F1C8E">
      <w:pPr>
        <w:numPr>
          <w:ilvl w:val="0"/>
          <w:numId w:val="6"/>
        </w:numPr>
      </w:pPr>
      <w:r w:rsidRPr="005F1C8E">
        <w:rPr>
          <w:b/>
          <w:bCs/>
        </w:rPr>
        <w:t>Turquoise TAL (TGHL UK / TGHE/TQEX EU)</w:t>
      </w:r>
      <w:r w:rsidRPr="005F1C8E">
        <w:t xml:space="preserve">: day = midpoint; </w:t>
      </w:r>
      <w:r w:rsidRPr="005F1C8E">
        <w:rPr>
          <w:b/>
          <w:bCs/>
        </w:rPr>
        <w:t>TAL = PCP</w:t>
      </w:r>
      <w:r w:rsidRPr="005F1C8E">
        <w:t xml:space="preserve"> after close, </w:t>
      </w:r>
      <w:r w:rsidRPr="005F1C8E">
        <w:rPr>
          <w:b/>
          <w:bCs/>
        </w:rPr>
        <w:t>until 16:45 UK</w:t>
      </w:r>
      <w:r w:rsidRPr="005F1C8E">
        <w:t xml:space="preserve">; </w:t>
      </w:r>
      <w:r w:rsidRPr="005F1C8E">
        <w:rPr>
          <w:b/>
          <w:bCs/>
        </w:rPr>
        <w:t>RPW + LIS</w:t>
      </w:r>
      <w:r w:rsidRPr="005F1C8E">
        <w:t xml:space="preserve">, </w:t>
      </w:r>
      <w:r w:rsidRPr="005F1C8E">
        <w:rPr>
          <w:b/>
          <w:bCs/>
        </w:rPr>
        <w:t>firm + conditional</w:t>
      </w:r>
      <w:r w:rsidRPr="005F1C8E">
        <w:t xml:space="preserve"> allowed; Plato interest persists into TAL. </w:t>
      </w:r>
      <w:hyperlink r:id="rId30" w:tgtFrame="_blank" w:history="1">
        <w:r w:rsidRPr="005F1C8E">
          <w:rPr>
            <w:rStyle w:val="Hyperlink"/>
          </w:rPr>
          <w:t>docs.londonstockexchange.com+1</w:t>
        </w:r>
      </w:hyperlink>
      <w:hyperlink r:id="rId31" w:tgtFrame="_blank" w:history="1">
        <w:r w:rsidRPr="005F1C8E">
          <w:rPr>
            <w:rStyle w:val="Hyperlink"/>
          </w:rPr>
          <w:t>TradingHours</w:t>
        </w:r>
      </w:hyperlink>
    </w:p>
    <w:p w14:paraId="7C5F1E35" w14:textId="77777777" w:rsidR="005F1C8E" w:rsidRPr="005F1C8E" w:rsidRDefault="005F1C8E" w:rsidP="005F1C8E">
      <w:pPr>
        <w:numPr>
          <w:ilvl w:val="0"/>
          <w:numId w:val="6"/>
        </w:numPr>
      </w:pPr>
      <w:proofErr w:type="spellStart"/>
      <w:r w:rsidRPr="005F1C8E">
        <w:rPr>
          <w:b/>
          <w:bCs/>
        </w:rPr>
        <w:t>Cboe</w:t>
      </w:r>
      <w:proofErr w:type="spellEnd"/>
      <w:r w:rsidRPr="005F1C8E">
        <w:rPr>
          <w:b/>
          <w:bCs/>
        </w:rPr>
        <w:t xml:space="preserve"> 3C (BATE/CEUX)</w:t>
      </w:r>
      <w:r w:rsidRPr="005F1C8E">
        <w:t xml:space="preserve">: </w:t>
      </w:r>
      <w:r w:rsidRPr="005F1C8E">
        <w:rPr>
          <w:b/>
          <w:bCs/>
        </w:rPr>
        <w:t>post-market</w:t>
      </w:r>
      <w:r w:rsidRPr="005F1C8E">
        <w:t xml:space="preserve"> 25-min session; </w:t>
      </w:r>
      <w:r w:rsidRPr="005F1C8E">
        <w:rPr>
          <w:b/>
          <w:bCs/>
        </w:rPr>
        <w:t>15-sec crosses</w:t>
      </w:r>
      <w:r w:rsidRPr="005F1C8E">
        <w:t xml:space="preserve">; </w:t>
      </w:r>
      <w:r w:rsidRPr="005F1C8E">
        <w:rPr>
          <w:b/>
          <w:bCs/>
        </w:rPr>
        <w:t>limit-only</w:t>
      </w:r>
      <w:r w:rsidRPr="005F1C8E">
        <w:t xml:space="preserve">; static collars (±15%/±20%); price chosen by crossing algorithm; not PCP. </w:t>
      </w:r>
      <w:hyperlink r:id="rId32" w:tgtFrame="_blank" w:history="1">
        <w:r w:rsidRPr="005F1C8E">
          <w:rPr>
            <w:rStyle w:val="Hyperlink"/>
          </w:rPr>
          <w:t>cdn.cboe.com</w:t>
        </w:r>
      </w:hyperlink>
    </w:p>
    <w:p w14:paraId="32BD16FA" w14:textId="77777777" w:rsidR="000E3C79" w:rsidRPr="000E3C79" w:rsidRDefault="000E3C79" w:rsidP="000E3C79">
      <w:pPr>
        <w:rPr>
          <w:b/>
          <w:bCs/>
        </w:rPr>
      </w:pPr>
      <w:r w:rsidRPr="000E3C79">
        <w:rPr>
          <w:b/>
          <w:bCs/>
        </w:rPr>
        <w:lastRenderedPageBreak/>
        <w:t>Explicit venue fees (close)</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455"/>
        <w:gridCol w:w="2624"/>
        <w:gridCol w:w="4917"/>
      </w:tblGrid>
      <w:tr w:rsidR="000E3C79" w:rsidRPr="000E3C79" w14:paraId="23635286" w14:textId="77777777" w:rsidTr="000E3C79">
        <w:trPr>
          <w:tblHeader/>
          <w:tblCellSpacing w:w="15" w:type="dxa"/>
        </w:trPr>
        <w:tc>
          <w:tcPr>
            <w:tcW w:w="0" w:type="auto"/>
            <w:vAlign w:val="center"/>
            <w:hideMark/>
          </w:tcPr>
          <w:p w14:paraId="1B273F00" w14:textId="77777777" w:rsidR="000E3C79" w:rsidRPr="000E3C79" w:rsidRDefault="000E3C79" w:rsidP="000E3C79">
            <w:pPr>
              <w:rPr>
                <w:b/>
                <w:bCs/>
              </w:rPr>
            </w:pPr>
            <w:r w:rsidRPr="000E3C79">
              <w:rPr>
                <w:b/>
                <w:bCs/>
              </w:rPr>
              <w:t>Venue</w:t>
            </w:r>
          </w:p>
        </w:tc>
        <w:tc>
          <w:tcPr>
            <w:tcW w:w="0" w:type="auto"/>
            <w:vAlign w:val="center"/>
            <w:hideMark/>
          </w:tcPr>
          <w:p w14:paraId="4BA8B618" w14:textId="77777777" w:rsidR="000E3C79" w:rsidRPr="000E3C79" w:rsidRDefault="000E3C79" w:rsidP="000E3C79">
            <w:pPr>
              <w:rPr>
                <w:b/>
                <w:bCs/>
              </w:rPr>
            </w:pPr>
            <w:r w:rsidRPr="000E3C79">
              <w:rPr>
                <w:b/>
                <w:bCs/>
              </w:rPr>
              <w:t>What you pay to execute</w:t>
            </w:r>
          </w:p>
        </w:tc>
        <w:tc>
          <w:tcPr>
            <w:tcW w:w="0" w:type="auto"/>
            <w:vAlign w:val="center"/>
            <w:hideMark/>
          </w:tcPr>
          <w:p w14:paraId="225EA16B" w14:textId="77777777" w:rsidR="000E3C79" w:rsidRPr="000E3C79" w:rsidRDefault="000E3C79" w:rsidP="000E3C79">
            <w:pPr>
              <w:rPr>
                <w:b/>
                <w:bCs/>
              </w:rPr>
            </w:pPr>
            <w:r w:rsidRPr="000E3C79">
              <w:rPr>
                <w:b/>
                <w:bCs/>
              </w:rPr>
              <w:t>Notes</w:t>
            </w:r>
          </w:p>
        </w:tc>
      </w:tr>
      <w:tr w:rsidR="000E3C79" w:rsidRPr="000E3C79" w14:paraId="53239B57" w14:textId="77777777" w:rsidTr="000E3C79">
        <w:trPr>
          <w:tblCellSpacing w:w="15" w:type="dxa"/>
        </w:trPr>
        <w:tc>
          <w:tcPr>
            <w:tcW w:w="0" w:type="auto"/>
            <w:vAlign w:val="center"/>
            <w:hideMark/>
          </w:tcPr>
          <w:p w14:paraId="3461B18D" w14:textId="77777777" w:rsidR="000E3C79" w:rsidRPr="000E3C79" w:rsidRDefault="000E3C79" w:rsidP="000E3C79">
            <w:r w:rsidRPr="000E3C79">
              <w:rPr>
                <w:b/>
                <w:bCs/>
              </w:rPr>
              <w:t>Primary exchange (example: LSE SETS close)</w:t>
            </w:r>
          </w:p>
        </w:tc>
        <w:tc>
          <w:tcPr>
            <w:tcW w:w="0" w:type="auto"/>
            <w:vAlign w:val="center"/>
            <w:hideMark/>
          </w:tcPr>
          <w:p w14:paraId="22E54405" w14:textId="77777777" w:rsidR="000E3C79" w:rsidRPr="000E3C79" w:rsidRDefault="000E3C79" w:rsidP="000E3C79">
            <w:r w:rsidRPr="000E3C79">
              <w:rPr>
                <w:b/>
                <w:bCs/>
              </w:rPr>
              <w:t>0.45 → 0.35 → 0.25 bps</w:t>
            </w:r>
            <w:r w:rsidRPr="000E3C79">
              <w:t xml:space="preserve"> (banded by monthly value traded). Minimum </w:t>
            </w:r>
            <w:r w:rsidRPr="000E3C79">
              <w:rPr>
                <w:b/>
                <w:bCs/>
              </w:rPr>
              <w:t>£0.11</w:t>
            </w:r>
            <w:r w:rsidRPr="000E3C79">
              <w:t xml:space="preserve"> per executed order.</w:t>
            </w:r>
          </w:p>
        </w:tc>
        <w:tc>
          <w:tcPr>
            <w:tcW w:w="0" w:type="auto"/>
            <w:vAlign w:val="center"/>
            <w:hideMark/>
          </w:tcPr>
          <w:p w14:paraId="506F2678" w14:textId="77777777" w:rsidR="000E3C79" w:rsidRPr="000E3C79" w:rsidRDefault="000E3C79" w:rsidP="000E3C79">
            <w:r w:rsidRPr="000E3C79">
              <w:t xml:space="preserve">LSE publishes a single equity value-traded scheme that applies to electronic executions (incl. auctions). No separate “close surcharge” is listed in the public tariff. Other schemes (e.g., LPS, Liquidity Taker Packages) can alter your effective rate. </w:t>
            </w:r>
            <w:hyperlink r:id="rId33" w:tgtFrame="_blank" w:history="1">
              <w:r w:rsidRPr="000E3C79">
                <w:rPr>
                  <w:rStyle w:val="Hyperlink"/>
                </w:rPr>
                <w:t>London Stock Exchange Docs</w:t>
              </w:r>
            </w:hyperlink>
          </w:p>
        </w:tc>
      </w:tr>
      <w:tr w:rsidR="000E3C79" w:rsidRPr="000E3C79" w14:paraId="18B38979" w14:textId="77777777" w:rsidTr="000E3C79">
        <w:trPr>
          <w:tblCellSpacing w:w="15" w:type="dxa"/>
        </w:trPr>
        <w:tc>
          <w:tcPr>
            <w:tcW w:w="0" w:type="auto"/>
            <w:vAlign w:val="center"/>
            <w:hideMark/>
          </w:tcPr>
          <w:p w14:paraId="180B38F7" w14:textId="77777777" w:rsidR="000E3C79" w:rsidRPr="000E3C79" w:rsidRDefault="000E3C79" w:rsidP="000E3C79">
            <w:proofErr w:type="spellStart"/>
            <w:r w:rsidRPr="000E3C79">
              <w:rPr>
                <w:b/>
                <w:bCs/>
              </w:rPr>
              <w:t>Aquis</w:t>
            </w:r>
            <w:proofErr w:type="spellEnd"/>
            <w:r w:rsidRPr="000E3C79">
              <w:rPr>
                <w:b/>
                <w:bCs/>
              </w:rPr>
              <w:t xml:space="preserve"> Market-at-Close (</w:t>
            </w:r>
            <w:proofErr w:type="spellStart"/>
            <w:r w:rsidRPr="000E3C79">
              <w:rPr>
                <w:b/>
                <w:bCs/>
              </w:rPr>
              <w:t>MaC</w:t>
            </w:r>
            <w:proofErr w:type="spellEnd"/>
            <w:r w:rsidRPr="000E3C79">
              <w:rPr>
                <w:b/>
                <w:bCs/>
              </w:rPr>
              <w:t>)</w:t>
            </w:r>
          </w:p>
        </w:tc>
        <w:tc>
          <w:tcPr>
            <w:tcW w:w="0" w:type="auto"/>
            <w:vAlign w:val="center"/>
            <w:hideMark/>
          </w:tcPr>
          <w:p w14:paraId="019525D7" w14:textId="77777777" w:rsidR="000E3C79" w:rsidRPr="000E3C79" w:rsidRDefault="000E3C79" w:rsidP="000E3C79">
            <w:r w:rsidRPr="000E3C79">
              <w:rPr>
                <w:b/>
                <w:bCs/>
              </w:rPr>
              <w:t>Either</w:t>
            </w:r>
            <w:r w:rsidRPr="000E3C79">
              <w:t xml:space="preserve"> fixed </w:t>
            </w:r>
            <w:r w:rsidRPr="000E3C79">
              <w:rPr>
                <w:b/>
                <w:bCs/>
              </w:rPr>
              <w:t>£30,000 / month</w:t>
            </w:r>
            <w:r w:rsidRPr="000E3C79">
              <w:t xml:space="preserve"> (unlimited </w:t>
            </w:r>
            <w:proofErr w:type="spellStart"/>
            <w:r w:rsidRPr="000E3C79">
              <w:t>MaC</w:t>
            </w:r>
            <w:proofErr w:type="spellEnd"/>
            <w:r w:rsidRPr="000E3C79">
              <w:t xml:space="preserve"> messages) </w:t>
            </w:r>
            <w:r w:rsidRPr="000E3C79">
              <w:rPr>
                <w:b/>
                <w:bCs/>
              </w:rPr>
              <w:t>or</w:t>
            </w:r>
            <w:r w:rsidRPr="000E3C79">
              <w:t xml:space="preserve"> </w:t>
            </w:r>
            <w:r w:rsidRPr="000E3C79">
              <w:rPr>
                <w:b/>
                <w:bCs/>
              </w:rPr>
              <w:t>0.1 bps</w:t>
            </w:r>
            <w:r w:rsidRPr="000E3C79">
              <w:t xml:space="preserve"> on </w:t>
            </w:r>
            <w:proofErr w:type="spellStart"/>
            <w:r w:rsidRPr="000E3C79">
              <w:t>MaC</w:t>
            </w:r>
            <w:proofErr w:type="spellEnd"/>
            <w:r w:rsidRPr="000E3C79">
              <w:t xml:space="preserve"> traded value (member can elect; 6-month minimum; 3-month notice to switch).</w:t>
            </w:r>
          </w:p>
        </w:tc>
        <w:tc>
          <w:tcPr>
            <w:tcW w:w="0" w:type="auto"/>
            <w:vAlign w:val="center"/>
            <w:hideMark/>
          </w:tcPr>
          <w:p w14:paraId="51D94EDE" w14:textId="77777777" w:rsidR="000E3C79" w:rsidRPr="000E3C79" w:rsidRDefault="000E3C79" w:rsidP="000E3C79">
            <w:proofErr w:type="spellStart"/>
            <w:r w:rsidRPr="000E3C79">
              <w:t>MaC</w:t>
            </w:r>
            <w:proofErr w:type="spellEnd"/>
            <w:r w:rsidRPr="000E3C79">
              <w:t xml:space="preserve"> executes </w:t>
            </w:r>
            <w:r w:rsidRPr="000E3C79">
              <w:rPr>
                <w:b/>
                <w:bCs/>
              </w:rPr>
              <w:t>at the primary official close price</w:t>
            </w:r>
            <w:r w:rsidRPr="000E3C79">
              <w:t xml:space="preserve">. </w:t>
            </w:r>
            <w:proofErr w:type="spellStart"/>
            <w:r w:rsidRPr="000E3C79">
              <w:t>Aquis</w:t>
            </w:r>
            <w:proofErr w:type="spellEnd"/>
            <w:r w:rsidRPr="000E3C79">
              <w:t xml:space="preserve"> positions </w:t>
            </w:r>
            <w:proofErr w:type="spellStart"/>
            <w:r w:rsidRPr="000E3C79">
              <w:t>MaC</w:t>
            </w:r>
            <w:proofErr w:type="spellEnd"/>
            <w:r w:rsidRPr="000E3C79">
              <w:t xml:space="preserve"> as a lower-cost alternative to national exchanges’ close; </w:t>
            </w:r>
            <w:proofErr w:type="spellStart"/>
            <w:r w:rsidRPr="000E3C79">
              <w:t>MaC</w:t>
            </w:r>
            <w:proofErr w:type="spellEnd"/>
            <w:r w:rsidRPr="000E3C79">
              <w:t xml:space="preserve"> messages don’t count towards </w:t>
            </w:r>
            <w:proofErr w:type="spellStart"/>
            <w:r w:rsidRPr="000E3C79">
              <w:t>Aquis</w:t>
            </w:r>
            <w:proofErr w:type="spellEnd"/>
            <w:r w:rsidRPr="000E3C79">
              <w:t xml:space="preserve">’ message-based tiers. </w:t>
            </w:r>
            <w:hyperlink r:id="rId34" w:tgtFrame="_blank" w:history="1">
              <w:r w:rsidRPr="000E3C79">
                <w:rPr>
                  <w:rStyle w:val="Hyperlink"/>
                </w:rPr>
                <w:t>aqx-web-prod-s3-public-read.s3.eu-west-2.amazonaws.com+1</w:t>
              </w:r>
            </w:hyperlink>
            <w:hyperlink r:id="rId35" w:tgtFrame="_blank" w:history="1">
              <w:r w:rsidRPr="000E3C79">
                <w:rPr>
                  <w:rStyle w:val="Hyperlink"/>
                </w:rPr>
                <w:t>Aquis</w:t>
              </w:r>
            </w:hyperlink>
          </w:p>
        </w:tc>
      </w:tr>
      <w:tr w:rsidR="000E3C79" w:rsidRPr="000E3C79" w14:paraId="3D5C3217" w14:textId="77777777" w:rsidTr="000E3C79">
        <w:trPr>
          <w:tblCellSpacing w:w="15" w:type="dxa"/>
        </w:trPr>
        <w:tc>
          <w:tcPr>
            <w:tcW w:w="0" w:type="auto"/>
            <w:vAlign w:val="center"/>
            <w:hideMark/>
          </w:tcPr>
          <w:p w14:paraId="3AAD9856" w14:textId="77777777" w:rsidR="000E3C79" w:rsidRPr="000E3C79" w:rsidRDefault="000E3C79" w:rsidP="000E3C79">
            <w:r w:rsidRPr="000E3C79">
              <w:rPr>
                <w:b/>
                <w:bCs/>
              </w:rPr>
              <w:t>Turquoise Plato Trade-At-Last (TAL)</w:t>
            </w:r>
          </w:p>
        </w:tc>
        <w:tc>
          <w:tcPr>
            <w:tcW w:w="0" w:type="auto"/>
            <w:vAlign w:val="center"/>
            <w:hideMark/>
          </w:tcPr>
          <w:p w14:paraId="30B9E99E" w14:textId="77777777" w:rsidR="000E3C79" w:rsidRPr="000E3C79" w:rsidRDefault="000E3C79" w:rsidP="000E3C79">
            <w:r w:rsidRPr="000E3C79">
              <w:rPr>
                <w:b/>
                <w:bCs/>
              </w:rPr>
              <w:t>No incremental TAL fee</w:t>
            </w:r>
            <w:r w:rsidRPr="000E3C79">
              <w:t xml:space="preserve">; TAL prints are charged </w:t>
            </w:r>
            <w:r w:rsidRPr="000E3C79">
              <w:rPr>
                <w:b/>
                <w:bCs/>
              </w:rPr>
              <w:t>as per Turquoise Plato Order Book</w:t>
            </w:r>
            <w:r w:rsidRPr="000E3C79">
              <w:t xml:space="preserve"> (</w:t>
            </w:r>
            <w:r w:rsidRPr="000E3C79">
              <w:rPr>
                <w:b/>
                <w:bCs/>
              </w:rPr>
              <w:t>0.30 bps</w:t>
            </w:r>
            <w:r w:rsidRPr="000E3C79">
              <w:t xml:space="preserve"> standard EU tariff).</w:t>
            </w:r>
          </w:p>
        </w:tc>
        <w:tc>
          <w:tcPr>
            <w:tcW w:w="0" w:type="auto"/>
            <w:vAlign w:val="center"/>
            <w:hideMark/>
          </w:tcPr>
          <w:p w14:paraId="67442C16" w14:textId="77777777" w:rsidR="000E3C79" w:rsidRPr="000E3C79" w:rsidRDefault="000E3C79" w:rsidP="000E3C79">
            <w:r w:rsidRPr="000E3C79">
              <w:t xml:space="preserve">TAL matches </w:t>
            </w:r>
            <w:r w:rsidRPr="000E3C79">
              <w:rPr>
                <w:b/>
                <w:bCs/>
              </w:rPr>
              <w:t>at the primary close price</w:t>
            </w:r>
            <w:r w:rsidRPr="000E3C79">
              <w:t xml:space="preserve"> after the close (up to 16:45 UK). Supports firm + conditional (LIS) interest. </w:t>
            </w:r>
            <w:hyperlink r:id="rId36" w:tgtFrame="_blank" w:history="1">
              <w:r w:rsidRPr="000E3C79">
                <w:rPr>
                  <w:rStyle w:val="Hyperlink"/>
                </w:rPr>
                <w:t>London Stock Exchange Docs+1</w:t>
              </w:r>
            </w:hyperlink>
          </w:p>
        </w:tc>
      </w:tr>
      <w:tr w:rsidR="000E3C79" w:rsidRPr="000E3C79" w14:paraId="059F2FAB" w14:textId="77777777" w:rsidTr="000E3C79">
        <w:trPr>
          <w:tblCellSpacing w:w="15" w:type="dxa"/>
        </w:trPr>
        <w:tc>
          <w:tcPr>
            <w:tcW w:w="0" w:type="auto"/>
            <w:vAlign w:val="center"/>
            <w:hideMark/>
          </w:tcPr>
          <w:p w14:paraId="14FA7DFD" w14:textId="77777777" w:rsidR="000E3C79" w:rsidRPr="000E3C79" w:rsidRDefault="000E3C79" w:rsidP="000E3C79">
            <w:proofErr w:type="spellStart"/>
            <w:r w:rsidRPr="000E3C79">
              <w:rPr>
                <w:b/>
                <w:bCs/>
              </w:rPr>
              <w:t>Cboe</w:t>
            </w:r>
            <w:proofErr w:type="spellEnd"/>
            <w:r w:rsidRPr="000E3C79">
              <w:rPr>
                <w:b/>
                <w:bCs/>
              </w:rPr>
              <w:t xml:space="preserve"> Closing Cross (3C)</w:t>
            </w:r>
          </w:p>
        </w:tc>
        <w:tc>
          <w:tcPr>
            <w:tcW w:w="0" w:type="auto"/>
            <w:vAlign w:val="center"/>
            <w:hideMark/>
          </w:tcPr>
          <w:p w14:paraId="68C02062" w14:textId="77777777" w:rsidR="000E3C79" w:rsidRPr="000E3C79" w:rsidRDefault="000E3C79" w:rsidP="000E3C79">
            <w:r w:rsidRPr="000E3C79">
              <w:rPr>
                <w:b/>
                <w:bCs/>
              </w:rPr>
              <w:t>Free</w:t>
            </w:r>
            <w:r w:rsidRPr="000E3C79">
              <w:t xml:space="preserve"> for standard 3C executions (fee code </w:t>
            </w:r>
            <w:r w:rsidRPr="000E3C79">
              <w:rPr>
                <w:b/>
                <w:bCs/>
              </w:rPr>
              <w:t>CC</w:t>
            </w:r>
            <w:r w:rsidRPr="000E3C79">
              <w:t xml:space="preserve">). </w:t>
            </w:r>
            <w:r w:rsidRPr="000E3C79">
              <w:rPr>
                <w:b/>
                <w:bCs/>
              </w:rPr>
              <w:t>0.075</w:t>
            </w:r>
            <w:r w:rsidRPr="000E3C79">
              <w:t xml:space="preserve"> (bps) if the match is </w:t>
            </w:r>
            <w:r w:rsidRPr="000E3C79">
              <w:rPr>
                <w:b/>
                <w:bCs/>
              </w:rPr>
              <w:t>self-match</w:t>
            </w:r>
            <w:r w:rsidRPr="000E3C79">
              <w:t xml:space="preserve"> (fee code </w:t>
            </w:r>
            <w:r w:rsidRPr="000E3C79">
              <w:rPr>
                <w:b/>
                <w:bCs/>
              </w:rPr>
              <w:t>CS</w:t>
            </w:r>
            <w:r w:rsidRPr="000E3C79">
              <w:t>).</w:t>
            </w:r>
          </w:p>
        </w:tc>
        <w:tc>
          <w:tcPr>
            <w:tcW w:w="0" w:type="auto"/>
            <w:vAlign w:val="center"/>
            <w:hideMark/>
          </w:tcPr>
          <w:p w14:paraId="2DA748C3" w14:textId="77777777" w:rsidR="000E3C79" w:rsidRPr="000E3C79" w:rsidRDefault="000E3C79" w:rsidP="000E3C79">
            <w:r w:rsidRPr="000E3C79">
              <w:t xml:space="preserve">3C is a </w:t>
            </w:r>
            <w:r w:rsidRPr="000E3C79">
              <w:rPr>
                <w:b/>
                <w:bCs/>
              </w:rPr>
              <w:t>post-close periodic cross</w:t>
            </w:r>
            <w:r w:rsidRPr="000E3C79">
              <w:t xml:space="preserve"> with its own price formation; </w:t>
            </w:r>
            <w:r w:rsidRPr="000E3C79">
              <w:rPr>
                <w:b/>
                <w:bCs/>
              </w:rPr>
              <w:t>not pegged to PCP</w:t>
            </w:r>
            <w:r w:rsidRPr="000E3C79">
              <w:t xml:space="preserve">. Fees are quoted </w:t>
            </w:r>
            <w:r w:rsidRPr="000E3C79">
              <w:rPr>
                <w:b/>
                <w:bCs/>
              </w:rPr>
              <w:t>per side</w:t>
            </w:r>
            <w:r w:rsidRPr="000E3C79">
              <w:t xml:space="preserve"> on </w:t>
            </w:r>
            <w:proofErr w:type="spellStart"/>
            <w:r w:rsidRPr="000E3C79">
              <w:t>Cboe’s</w:t>
            </w:r>
            <w:proofErr w:type="spellEnd"/>
            <w:r w:rsidRPr="000E3C79">
              <w:t xml:space="preserve"> schedule. </w:t>
            </w:r>
            <w:hyperlink r:id="rId37" w:tgtFrame="_blank" w:history="1">
              <w:proofErr w:type="spellStart"/>
              <w:r w:rsidRPr="000E3C79">
                <w:rPr>
                  <w:rStyle w:val="Hyperlink"/>
                </w:rPr>
                <w:t>Cboe</w:t>
              </w:r>
              <w:proofErr w:type="spellEnd"/>
              <w:r w:rsidRPr="000E3C79">
                <w:rPr>
                  <w:rStyle w:val="Hyperlink"/>
                </w:rPr>
                <w:t xml:space="preserve"> Global Markets+1</w:t>
              </w:r>
            </w:hyperlink>
          </w:p>
        </w:tc>
      </w:tr>
    </w:tbl>
    <w:p w14:paraId="46F469E5" w14:textId="77777777" w:rsidR="000E3C79" w:rsidRPr="000E3C79" w:rsidRDefault="000E3C79" w:rsidP="000E3C79">
      <w:r w:rsidRPr="000E3C79">
        <w:rPr>
          <w:b/>
          <w:bCs/>
        </w:rPr>
        <w:t>Rule-of-thumb all-in venue fee per £10m executed (illustrative):</w:t>
      </w:r>
    </w:p>
    <w:p w14:paraId="298F4791" w14:textId="77777777" w:rsidR="000E3C79" w:rsidRPr="000E3C79" w:rsidRDefault="000E3C79" w:rsidP="000E3C79">
      <w:pPr>
        <w:numPr>
          <w:ilvl w:val="0"/>
          <w:numId w:val="7"/>
        </w:numPr>
      </w:pPr>
      <w:r w:rsidRPr="000E3C79">
        <w:t xml:space="preserve">LSE primary close @ </w:t>
      </w:r>
      <w:r w:rsidRPr="000E3C79">
        <w:rPr>
          <w:b/>
          <w:bCs/>
        </w:rPr>
        <w:t>0.35 bps</w:t>
      </w:r>
      <w:r w:rsidRPr="000E3C79">
        <w:t xml:space="preserve"> mid-band ≈ </w:t>
      </w:r>
      <w:r w:rsidRPr="000E3C79">
        <w:rPr>
          <w:b/>
          <w:bCs/>
        </w:rPr>
        <w:t>£3,500</w:t>
      </w:r>
      <w:r w:rsidRPr="000E3C79">
        <w:t xml:space="preserve">. </w:t>
      </w:r>
      <w:hyperlink r:id="rId38" w:tgtFrame="_blank" w:history="1">
        <w:r w:rsidRPr="000E3C79">
          <w:rPr>
            <w:rStyle w:val="Hyperlink"/>
          </w:rPr>
          <w:t>London Stock Exchange Docs</w:t>
        </w:r>
      </w:hyperlink>
    </w:p>
    <w:p w14:paraId="78B94330" w14:textId="77777777" w:rsidR="000E3C79" w:rsidRPr="000E3C79" w:rsidRDefault="000E3C79" w:rsidP="000E3C79">
      <w:pPr>
        <w:numPr>
          <w:ilvl w:val="0"/>
          <w:numId w:val="7"/>
        </w:numPr>
      </w:pPr>
      <w:proofErr w:type="spellStart"/>
      <w:r w:rsidRPr="000E3C79">
        <w:t>Aquis</w:t>
      </w:r>
      <w:proofErr w:type="spellEnd"/>
      <w:r w:rsidRPr="000E3C79">
        <w:t xml:space="preserve"> </w:t>
      </w:r>
      <w:proofErr w:type="spellStart"/>
      <w:r w:rsidRPr="000E3C79">
        <w:t>MaC</w:t>
      </w:r>
      <w:proofErr w:type="spellEnd"/>
      <w:r w:rsidRPr="000E3C79">
        <w:t xml:space="preserve"> @ </w:t>
      </w:r>
      <w:r w:rsidRPr="000E3C79">
        <w:rPr>
          <w:b/>
          <w:bCs/>
        </w:rPr>
        <w:t>0.1 bps</w:t>
      </w:r>
      <w:r w:rsidRPr="000E3C79">
        <w:t xml:space="preserve"> ≈ </w:t>
      </w:r>
      <w:r w:rsidRPr="000E3C79">
        <w:rPr>
          <w:b/>
          <w:bCs/>
        </w:rPr>
        <w:t>£1,000</w:t>
      </w:r>
      <w:r w:rsidRPr="000E3C79">
        <w:t xml:space="preserve"> (or </w:t>
      </w:r>
      <w:r w:rsidRPr="000E3C79">
        <w:rPr>
          <w:b/>
          <w:bCs/>
        </w:rPr>
        <w:t>£0</w:t>
      </w:r>
      <w:r w:rsidRPr="000E3C79">
        <w:t xml:space="preserve"> marginal if you’re already on the </w:t>
      </w:r>
      <w:r w:rsidRPr="000E3C79">
        <w:rPr>
          <w:b/>
          <w:bCs/>
        </w:rPr>
        <w:t>£30k/</w:t>
      </w:r>
      <w:proofErr w:type="spellStart"/>
      <w:r w:rsidRPr="000E3C79">
        <w:rPr>
          <w:b/>
          <w:bCs/>
        </w:rPr>
        <w:t>mo</w:t>
      </w:r>
      <w:proofErr w:type="spellEnd"/>
      <w:r w:rsidRPr="000E3C79">
        <w:t xml:space="preserve"> fixed plan and under its cap). </w:t>
      </w:r>
      <w:r w:rsidRPr="000E3C79">
        <w:rPr>
          <w:b/>
          <w:bCs/>
        </w:rPr>
        <w:t xml:space="preserve">Fixed vs variable </w:t>
      </w:r>
      <w:proofErr w:type="spellStart"/>
      <w:r w:rsidRPr="000E3C79">
        <w:rPr>
          <w:b/>
          <w:bCs/>
        </w:rPr>
        <w:t>MaC</w:t>
      </w:r>
      <w:proofErr w:type="spellEnd"/>
      <w:r w:rsidRPr="000E3C79">
        <w:rPr>
          <w:b/>
          <w:bCs/>
        </w:rPr>
        <w:t xml:space="preserve"> break-even ≈ £3bn</w:t>
      </w:r>
      <w:r w:rsidRPr="000E3C79">
        <w:t xml:space="preserve"> </w:t>
      </w:r>
      <w:proofErr w:type="spellStart"/>
      <w:r w:rsidRPr="000E3C79">
        <w:t>MaC</w:t>
      </w:r>
      <w:proofErr w:type="spellEnd"/>
      <w:r w:rsidRPr="000E3C79">
        <w:t xml:space="preserve"> notional per month. </w:t>
      </w:r>
      <w:hyperlink r:id="rId39" w:tgtFrame="_blank" w:history="1">
        <w:r w:rsidRPr="000E3C79">
          <w:rPr>
            <w:rStyle w:val="Hyperlink"/>
          </w:rPr>
          <w:t>aqx-web-prod-s3-public-read.s3.eu-west-2.amazonaws.com</w:t>
        </w:r>
      </w:hyperlink>
    </w:p>
    <w:p w14:paraId="76538D82" w14:textId="77777777" w:rsidR="000E3C79" w:rsidRPr="000E3C79" w:rsidRDefault="000E3C79" w:rsidP="000E3C79">
      <w:pPr>
        <w:numPr>
          <w:ilvl w:val="0"/>
          <w:numId w:val="7"/>
        </w:numPr>
      </w:pPr>
      <w:r w:rsidRPr="000E3C79">
        <w:t xml:space="preserve">Turquoise TAL @ </w:t>
      </w:r>
      <w:r w:rsidRPr="000E3C79">
        <w:rPr>
          <w:b/>
          <w:bCs/>
        </w:rPr>
        <w:t>0.30 bps</w:t>
      </w:r>
      <w:r w:rsidRPr="000E3C79">
        <w:t xml:space="preserve"> ≈ </w:t>
      </w:r>
      <w:r w:rsidRPr="000E3C79">
        <w:rPr>
          <w:b/>
          <w:bCs/>
        </w:rPr>
        <w:t>£3,000</w:t>
      </w:r>
      <w:r w:rsidRPr="000E3C79">
        <w:t xml:space="preserve">. </w:t>
      </w:r>
      <w:hyperlink r:id="rId40" w:tgtFrame="_blank" w:history="1">
        <w:r w:rsidRPr="000E3C79">
          <w:rPr>
            <w:rStyle w:val="Hyperlink"/>
          </w:rPr>
          <w:t>London Stock Exchange Docs</w:t>
        </w:r>
      </w:hyperlink>
    </w:p>
    <w:p w14:paraId="7E68A4D7" w14:textId="77777777" w:rsidR="000E3C79" w:rsidRPr="000E3C79" w:rsidRDefault="000E3C79" w:rsidP="000E3C79">
      <w:pPr>
        <w:numPr>
          <w:ilvl w:val="0"/>
          <w:numId w:val="7"/>
        </w:numPr>
      </w:pPr>
      <w:proofErr w:type="spellStart"/>
      <w:r w:rsidRPr="000E3C79">
        <w:t>Cboe</w:t>
      </w:r>
      <w:proofErr w:type="spellEnd"/>
      <w:r w:rsidRPr="000E3C79">
        <w:t xml:space="preserve"> 3C </w:t>
      </w:r>
      <w:r w:rsidRPr="000E3C79">
        <w:rPr>
          <w:b/>
          <w:bCs/>
        </w:rPr>
        <w:t>Free</w:t>
      </w:r>
      <w:r w:rsidRPr="000E3C79">
        <w:t xml:space="preserve"> (standard) = </w:t>
      </w:r>
      <w:r w:rsidRPr="000E3C79">
        <w:rPr>
          <w:b/>
          <w:bCs/>
        </w:rPr>
        <w:t>£0</w:t>
      </w:r>
      <w:r w:rsidRPr="000E3C79">
        <w:t xml:space="preserve">; </w:t>
      </w:r>
      <w:r w:rsidRPr="000E3C79">
        <w:rPr>
          <w:b/>
          <w:bCs/>
        </w:rPr>
        <w:t>£750</w:t>
      </w:r>
      <w:r w:rsidRPr="000E3C79">
        <w:t xml:space="preserve"> if self-matched (0.075 bps). </w:t>
      </w:r>
      <w:hyperlink r:id="rId41" w:tgtFrame="_blank" w:history="1">
        <w:proofErr w:type="spellStart"/>
        <w:r w:rsidRPr="000E3C79">
          <w:rPr>
            <w:rStyle w:val="Hyperlink"/>
          </w:rPr>
          <w:t>Cboe</w:t>
        </w:r>
        <w:proofErr w:type="spellEnd"/>
        <w:r w:rsidRPr="000E3C79">
          <w:rPr>
            <w:rStyle w:val="Hyperlink"/>
          </w:rPr>
          <w:t xml:space="preserve"> Global Markets</w:t>
        </w:r>
      </w:hyperlink>
    </w:p>
    <w:p w14:paraId="0F88CC9C" w14:textId="77777777" w:rsidR="000E3C79" w:rsidRPr="000E3C79" w:rsidRDefault="000E3C79" w:rsidP="000E3C79">
      <w:r w:rsidRPr="000E3C79">
        <w:t xml:space="preserve">Notes: Figures exclude broker commissions, exchange membership/connectivity, and CCP/settlement fees. Statutory taxes (e.g., UK SDRT, FR/ES/IT FTT) depend on </w:t>
      </w:r>
      <w:r w:rsidRPr="000E3C79">
        <w:rPr>
          <w:b/>
          <w:bCs/>
        </w:rPr>
        <w:t>instrument jurisdiction</w:t>
      </w:r>
      <w:r w:rsidRPr="000E3C79">
        <w:t>, not venue.</w:t>
      </w:r>
    </w:p>
    <w:p w14:paraId="0E1E43EF" w14:textId="77777777" w:rsidR="000E3C79" w:rsidRPr="000E3C79" w:rsidRDefault="000E3C79" w:rsidP="000E3C79">
      <w:pPr>
        <w:rPr>
          <w:b/>
          <w:bCs/>
        </w:rPr>
      </w:pPr>
      <w:r w:rsidRPr="000E3C79">
        <w:rPr>
          <w:b/>
          <w:bCs/>
        </w:rPr>
        <w:t>Implicit / practical cost drivers (quick matrix)</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537"/>
        <w:gridCol w:w="1634"/>
        <w:gridCol w:w="1796"/>
        <w:gridCol w:w="2389"/>
        <w:gridCol w:w="1640"/>
      </w:tblGrid>
      <w:tr w:rsidR="000E3C79" w:rsidRPr="000E3C79" w14:paraId="4D08C4BC" w14:textId="77777777" w:rsidTr="000E3C79">
        <w:trPr>
          <w:tblHeader/>
          <w:tblCellSpacing w:w="15" w:type="dxa"/>
        </w:trPr>
        <w:tc>
          <w:tcPr>
            <w:tcW w:w="0" w:type="auto"/>
            <w:vAlign w:val="center"/>
            <w:hideMark/>
          </w:tcPr>
          <w:p w14:paraId="3A20D156" w14:textId="77777777" w:rsidR="000E3C79" w:rsidRPr="000E3C79" w:rsidRDefault="000E3C79" w:rsidP="000E3C79">
            <w:pPr>
              <w:rPr>
                <w:b/>
                <w:bCs/>
              </w:rPr>
            </w:pPr>
            <w:r w:rsidRPr="000E3C79">
              <w:rPr>
                <w:b/>
                <w:bCs/>
              </w:rPr>
              <w:lastRenderedPageBreak/>
              <w:t>Factor</w:t>
            </w:r>
          </w:p>
        </w:tc>
        <w:tc>
          <w:tcPr>
            <w:tcW w:w="0" w:type="auto"/>
            <w:vAlign w:val="center"/>
            <w:hideMark/>
          </w:tcPr>
          <w:p w14:paraId="180B9BD9" w14:textId="77777777" w:rsidR="000E3C79" w:rsidRPr="000E3C79" w:rsidRDefault="000E3C79" w:rsidP="000E3C79">
            <w:pPr>
              <w:rPr>
                <w:b/>
                <w:bCs/>
              </w:rPr>
            </w:pPr>
            <w:r w:rsidRPr="000E3C79">
              <w:rPr>
                <w:b/>
                <w:bCs/>
              </w:rPr>
              <w:t>Primary closing auction</w:t>
            </w:r>
          </w:p>
        </w:tc>
        <w:tc>
          <w:tcPr>
            <w:tcW w:w="0" w:type="auto"/>
            <w:vAlign w:val="center"/>
            <w:hideMark/>
          </w:tcPr>
          <w:p w14:paraId="106691E0" w14:textId="77777777" w:rsidR="000E3C79" w:rsidRPr="000E3C79" w:rsidRDefault="000E3C79" w:rsidP="000E3C79">
            <w:pPr>
              <w:rPr>
                <w:b/>
                <w:bCs/>
              </w:rPr>
            </w:pPr>
            <w:proofErr w:type="spellStart"/>
            <w:r w:rsidRPr="000E3C79">
              <w:rPr>
                <w:b/>
                <w:bCs/>
              </w:rPr>
              <w:t>Aquis</w:t>
            </w:r>
            <w:proofErr w:type="spellEnd"/>
            <w:r w:rsidRPr="000E3C79">
              <w:rPr>
                <w:b/>
                <w:bCs/>
              </w:rPr>
              <w:t xml:space="preserve"> </w:t>
            </w:r>
            <w:proofErr w:type="spellStart"/>
            <w:r w:rsidRPr="000E3C79">
              <w:rPr>
                <w:b/>
                <w:bCs/>
              </w:rPr>
              <w:t>MaC</w:t>
            </w:r>
            <w:proofErr w:type="spellEnd"/>
          </w:p>
        </w:tc>
        <w:tc>
          <w:tcPr>
            <w:tcW w:w="0" w:type="auto"/>
            <w:vAlign w:val="center"/>
            <w:hideMark/>
          </w:tcPr>
          <w:p w14:paraId="49F70123" w14:textId="77777777" w:rsidR="000E3C79" w:rsidRPr="000E3C79" w:rsidRDefault="000E3C79" w:rsidP="000E3C79">
            <w:pPr>
              <w:rPr>
                <w:b/>
                <w:bCs/>
              </w:rPr>
            </w:pPr>
            <w:r w:rsidRPr="000E3C79">
              <w:rPr>
                <w:b/>
                <w:bCs/>
              </w:rPr>
              <w:t>Turquoise TAL</w:t>
            </w:r>
          </w:p>
        </w:tc>
        <w:tc>
          <w:tcPr>
            <w:tcW w:w="0" w:type="auto"/>
            <w:vAlign w:val="center"/>
            <w:hideMark/>
          </w:tcPr>
          <w:p w14:paraId="23F36F7D" w14:textId="77777777" w:rsidR="000E3C79" w:rsidRPr="000E3C79" w:rsidRDefault="000E3C79" w:rsidP="000E3C79">
            <w:pPr>
              <w:rPr>
                <w:b/>
                <w:bCs/>
              </w:rPr>
            </w:pPr>
            <w:proofErr w:type="spellStart"/>
            <w:r w:rsidRPr="000E3C79">
              <w:rPr>
                <w:b/>
                <w:bCs/>
              </w:rPr>
              <w:t>Cboe</w:t>
            </w:r>
            <w:proofErr w:type="spellEnd"/>
            <w:r w:rsidRPr="000E3C79">
              <w:rPr>
                <w:b/>
                <w:bCs/>
              </w:rPr>
              <w:t xml:space="preserve"> 3C</w:t>
            </w:r>
          </w:p>
        </w:tc>
      </w:tr>
      <w:tr w:rsidR="000E3C79" w:rsidRPr="000E3C79" w14:paraId="3339ED49" w14:textId="77777777" w:rsidTr="000E3C79">
        <w:trPr>
          <w:tblCellSpacing w:w="15" w:type="dxa"/>
        </w:trPr>
        <w:tc>
          <w:tcPr>
            <w:tcW w:w="0" w:type="auto"/>
            <w:vAlign w:val="center"/>
            <w:hideMark/>
          </w:tcPr>
          <w:p w14:paraId="64702E38" w14:textId="77777777" w:rsidR="000E3C79" w:rsidRPr="000E3C79" w:rsidRDefault="000E3C79" w:rsidP="000E3C79">
            <w:r w:rsidRPr="000E3C79">
              <w:rPr>
                <w:b/>
                <w:bCs/>
              </w:rPr>
              <w:t>Benchmark certainty</w:t>
            </w:r>
          </w:p>
        </w:tc>
        <w:tc>
          <w:tcPr>
            <w:tcW w:w="0" w:type="auto"/>
            <w:vAlign w:val="center"/>
            <w:hideMark/>
          </w:tcPr>
          <w:p w14:paraId="3EAA16F3" w14:textId="77777777" w:rsidR="000E3C79" w:rsidRPr="000E3C79" w:rsidRDefault="000E3C79" w:rsidP="000E3C79">
            <w:r w:rsidRPr="000E3C79">
              <w:rPr>
                <w:b/>
                <w:bCs/>
              </w:rPr>
              <w:t>Official PCP</w:t>
            </w:r>
          </w:p>
        </w:tc>
        <w:tc>
          <w:tcPr>
            <w:tcW w:w="0" w:type="auto"/>
            <w:vAlign w:val="center"/>
            <w:hideMark/>
          </w:tcPr>
          <w:p w14:paraId="1E3F44BE" w14:textId="77777777" w:rsidR="000E3C79" w:rsidRPr="000E3C79" w:rsidRDefault="000E3C79" w:rsidP="000E3C79">
            <w:r w:rsidRPr="000E3C79">
              <w:t>PCP (same as primary)</w:t>
            </w:r>
          </w:p>
        </w:tc>
        <w:tc>
          <w:tcPr>
            <w:tcW w:w="0" w:type="auto"/>
            <w:vAlign w:val="center"/>
            <w:hideMark/>
          </w:tcPr>
          <w:p w14:paraId="7C3CE60A" w14:textId="77777777" w:rsidR="000E3C79" w:rsidRPr="000E3C79" w:rsidRDefault="000E3C79" w:rsidP="000E3C79">
            <w:r w:rsidRPr="000E3C79">
              <w:t>PCP (same as primary)</w:t>
            </w:r>
          </w:p>
        </w:tc>
        <w:tc>
          <w:tcPr>
            <w:tcW w:w="0" w:type="auto"/>
            <w:vAlign w:val="center"/>
            <w:hideMark/>
          </w:tcPr>
          <w:p w14:paraId="4752169A" w14:textId="77777777" w:rsidR="000E3C79" w:rsidRPr="000E3C79" w:rsidRDefault="000E3C79" w:rsidP="000E3C79">
            <w:r w:rsidRPr="000E3C79">
              <w:rPr>
                <w:b/>
                <w:bCs/>
              </w:rPr>
              <w:t>Not</w:t>
            </w:r>
            <w:r w:rsidRPr="000E3C79">
              <w:t xml:space="preserve"> PCP (basis risk)</w:t>
            </w:r>
          </w:p>
        </w:tc>
      </w:tr>
      <w:tr w:rsidR="000E3C79" w:rsidRPr="000E3C79" w14:paraId="051A621E" w14:textId="77777777" w:rsidTr="000E3C79">
        <w:trPr>
          <w:tblCellSpacing w:w="15" w:type="dxa"/>
        </w:trPr>
        <w:tc>
          <w:tcPr>
            <w:tcW w:w="0" w:type="auto"/>
            <w:vAlign w:val="center"/>
            <w:hideMark/>
          </w:tcPr>
          <w:p w14:paraId="5050CD1B" w14:textId="77777777" w:rsidR="000E3C79" w:rsidRPr="000E3C79" w:rsidRDefault="000E3C79" w:rsidP="000E3C79">
            <w:r w:rsidRPr="000E3C79">
              <w:rPr>
                <w:b/>
                <w:bCs/>
              </w:rPr>
              <w:t>Fill probability / depth</w:t>
            </w:r>
          </w:p>
        </w:tc>
        <w:tc>
          <w:tcPr>
            <w:tcW w:w="0" w:type="auto"/>
            <w:vAlign w:val="center"/>
            <w:hideMark/>
          </w:tcPr>
          <w:p w14:paraId="46D95881" w14:textId="77777777" w:rsidR="000E3C79" w:rsidRPr="000E3C79" w:rsidRDefault="000E3C79" w:rsidP="000E3C79">
            <w:r w:rsidRPr="000E3C79">
              <w:rPr>
                <w:b/>
                <w:bCs/>
              </w:rPr>
              <w:t>Highest</w:t>
            </w:r>
            <w:r w:rsidRPr="000E3C79">
              <w:t xml:space="preserve"> (crowded)</w:t>
            </w:r>
          </w:p>
        </w:tc>
        <w:tc>
          <w:tcPr>
            <w:tcW w:w="0" w:type="auto"/>
            <w:vAlign w:val="center"/>
            <w:hideMark/>
          </w:tcPr>
          <w:p w14:paraId="1B252295" w14:textId="77777777" w:rsidR="000E3C79" w:rsidRPr="000E3C79" w:rsidRDefault="000E3C79" w:rsidP="000E3C79">
            <w:r w:rsidRPr="000E3C79">
              <w:t>Good, but contingent on contra</w:t>
            </w:r>
          </w:p>
        </w:tc>
        <w:tc>
          <w:tcPr>
            <w:tcW w:w="0" w:type="auto"/>
            <w:vAlign w:val="center"/>
            <w:hideMark/>
          </w:tcPr>
          <w:p w14:paraId="7AAC802C" w14:textId="77777777" w:rsidR="000E3C79" w:rsidRPr="000E3C79" w:rsidRDefault="000E3C79" w:rsidP="000E3C79">
            <w:r w:rsidRPr="000E3C79">
              <w:t xml:space="preserve">Good for </w:t>
            </w:r>
            <w:r w:rsidRPr="000E3C79">
              <w:rPr>
                <w:b/>
                <w:bCs/>
              </w:rPr>
              <w:t>blocks/conditional</w:t>
            </w:r>
          </w:p>
        </w:tc>
        <w:tc>
          <w:tcPr>
            <w:tcW w:w="0" w:type="auto"/>
            <w:vAlign w:val="center"/>
            <w:hideMark/>
          </w:tcPr>
          <w:p w14:paraId="46BE1437" w14:textId="77777777" w:rsidR="000E3C79" w:rsidRPr="000E3C79" w:rsidRDefault="000E3C79" w:rsidP="000E3C79">
            <w:r w:rsidRPr="000E3C79">
              <w:t>Varies; depends on cross interest</w:t>
            </w:r>
          </w:p>
        </w:tc>
      </w:tr>
      <w:tr w:rsidR="000E3C79" w:rsidRPr="000E3C79" w14:paraId="04E9ACBB" w14:textId="77777777" w:rsidTr="000E3C79">
        <w:trPr>
          <w:tblCellSpacing w:w="15" w:type="dxa"/>
        </w:trPr>
        <w:tc>
          <w:tcPr>
            <w:tcW w:w="0" w:type="auto"/>
            <w:vAlign w:val="center"/>
            <w:hideMark/>
          </w:tcPr>
          <w:p w14:paraId="6032CE19" w14:textId="77777777" w:rsidR="000E3C79" w:rsidRPr="000E3C79" w:rsidRDefault="000E3C79" w:rsidP="000E3C79">
            <w:r w:rsidRPr="000E3C79">
              <w:rPr>
                <w:b/>
                <w:bCs/>
              </w:rPr>
              <w:t>Impact risk</w:t>
            </w:r>
          </w:p>
        </w:tc>
        <w:tc>
          <w:tcPr>
            <w:tcW w:w="0" w:type="auto"/>
            <w:vAlign w:val="center"/>
            <w:hideMark/>
          </w:tcPr>
          <w:p w14:paraId="18196D93" w14:textId="77777777" w:rsidR="000E3C79" w:rsidRPr="000E3C79" w:rsidRDefault="000E3C79" w:rsidP="000E3C79">
            <w:r w:rsidRPr="000E3C79">
              <w:t>Higher (visible imbalances)</w:t>
            </w:r>
          </w:p>
        </w:tc>
        <w:tc>
          <w:tcPr>
            <w:tcW w:w="0" w:type="auto"/>
            <w:vAlign w:val="center"/>
            <w:hideMark/>
          </w:tcPr>
          <w:p w14:paraId="228D67BC" w14:textId="77777777" w:rsidR="000E3C79" w:rsidRPr="000E3C79" w:rsidRDefault="000E3C79" w:rsidP="000E3C79">
            <w:r w:rsidRPr="000E3C79">
              <w:t>Lower vs primary (earlier lock)</w:t>
            </w:r>
          </w:p>
        </w:tc>
        <w:tc>
          <w:tcPr>
            <w:tcW w:w="0" w:type="auto"/>
            <w:vAlign w:val="center"/>
            <w:hideMark/>
          </w:tcPr>
          <w:p w14:paraId="25D16E24" w14:textId="77777777" w:rsidR="000E3C79" w:rsidRPr="000E3C79" w:rsidRDefault="000E3C79" w:rsidP="000E3C79">
            <w:r w:rsidRPr="000E3C79">
              <w:t>Low (post-close PCP)</w:t>
            </w:r>
          </w:p>
        </w:tc>
        <w:tc>
          <w:tcPr>
            <w:tcW w:w="0" w:type="auto"/>
            <w:vAlign w:val="center"/>
            <w:hideMark/>
          </w:tcPr>
          <w:p w14:paraId="6E7B228F" w14:textId="77777777" w:rsidR="000E3C79" w:rsidRPr="000E3C79" w:rsidRDefault="000E3C79" w:rsidP="000E3C79">
            <w:r w:rsidRPr="000E3C79">
              <w:t>Low (post-close), but not PCP</w:t>
            </w:r>
          </w:p>
        </w:tc>
      </w:tr>
      <w:tr w:rsidR="000E3C79" w:rsidRPr="000E3C79" w14:paraId="7A45CE80" w14:textId="77777777" w:rsidTr="000E3C79">
        <w:trPr>
          <w:tblCellSpacing w:w="15" w:type="dxa"/>
        </w:trPr>
        <w:tc>
          <w:tcPr>
            <w:tcW w:w="0" w:type="auto"/>
            <w:vAlign w:val="center"/>
            <w:hideMark/>
          </w:tcPr>
          <w:p w14:paraId="13944140" w14:textId="77777777" w:rsidR="000E3C79" w:rsidRPr="000E3C79" w:rsidRDefault="000E3C79" w:rsidP="000E3C79">
            <w:r w:rsidRPr="000E3C79">
              <w:rPr>
                <w:b/>
                <w:bCs/>
              </w:rPr>
              <w:t>Info leakage</w:t>
            </w:r>
          </w:p>
        </w:tc>
        <w:tc>
          <w:tcPr>
            <w:tcW w:w="0" w:type="auto"/>
            <w:vAlign w:val="center"/>
            <w:hideMark/>
          </w:tcPr>
          <w:p w14:paraId="3997FA62" w14:textId="77777777" w:rsidR="000E3C79" w:rsidRPr="000E3C79" w:rsidRDefault="000E3C79" w:rsidP="000E3C79">
            <w:r w:rsidRPr="000E3C79">
              <w:t>Auction IOI streams visible</w:t>
            </w:r>
          </w:p>
        </w:tc>
        <w:tc>
          <w:tcPr>
            <w:tcW w:w="0" w:type="auto"/>
            <w:vAlign w:val="center"/>
            <w:hideMark/>
          </w:tcPr>
          <w:p w14:paraId="166D5C0B" w14:textId="77777777" w:rsidR="000E3C79" w:rsidRPr="000E3C79" w:rsidRDefault="000E3C79" w:rsidP="000E3C79">
            <w:r w:rsidRPr="000E3C79">
              <w:t>Lower (order lock then print)</w:t>
            </w:r>
          </w:p>
        </w:tc>
        <w:tc>
          <w:tcPr>
            <w:tcW w:w="0" w:type="auto"/>
            <w:vAlign w:val="center"/>
            <w:hideMark/>
          </w:tcPr>
          <w:p w14:paraId="7C70CEAF" w14:textId="77777777" w:rsidR="000E3C79" w:rsidRPr="000E3C79" w:rsidRDefault="000E3C79" w:rsidP="000E3C79">
            <w:r w:rsidRPr="000E3C79">
              <w:t>Low (dark/conditional)</w:t>
            </w:r>
          </w:p>
        </w:tc>
        <w:tc>
          <w:tcPr>
            <w:tcW w:w="0" w:type="auto"/>
            <w:vAlign w:val="center"/>
            <w:hideMark/>
          </w:tcPr>
          <w:p w14:paraId="0EB614BA" w14:textId="77777777" w:rsidR="000E3C79" w:rsidRPr="000E3C79" w:rsidRDefault="000E3C79" w:rsidP="000E3C79">
            <w:r w:rsidRPr="000E3C79">
              <w:t>Low-moderate (visible 3C book)</w:t>
            </w:r>
          </w:p>
        </w:tc>
      </w:tr>
      <w:tr w:rsidR="000E3C79" w:rsidRPr="000E3C79" w14:paraId="31EA0A98" w14:textId="77777777" w:rsidTr="000E3C79">
        <w:trPr>
          <w:tblCellSpacing w:w="15" w:type="dxa"/>
        </w:trPr>
        <w:tc>
          <w:tcPr>
            <w:tcW w:w="0" w:type="auto"/>
            <w:vAlign w:val="center"/>
            <w:hideMark/>
          </w:tcPr>
          <w:p w14:paraId="631007C6" w14:textId="77777777" w:rsidR="000E3C79" w:rsidRPr="000E3C79" w:rsidRDefault="000E3C79" w:rsidP="000E3C79">
            <w:r w:rsidRPr="000E3C79">
              <w:rPr>
                <w:b/>
                <w:bCs/>
              </w:rPr>
              <w:t>Operating risk</w:t>
            </w:r>
          </w:p>
        </w:tc>
        <w:tc>
          <w:tcPr>
            <w:tcW w:w="0" w:type="auto"/>
            <w:vAlign w:val="center"/>
            <w:hideMark/>
          </w:tcPr>
          <w:p w14:paraId="790719C2" w14:textId="77777777" w:rsidR="000E3C79" w:rsidRPr="000E3C79" w:rsidRDefault="000E3C79" w:rsidP="000E3C79">
            <w:r w:rsidRPr="000E3C79">
              <w:t>Cut-off sensitive</w:t>
            </w:r>
          </w:p>
        </w:tc>
        <w:tc>
          <w:tcPr>
            <w:tcW w:w="0" w:type="auto"/>
            <w:vAlign w:val="center"/>
            <w:hideMark/>
          </w:tcPr>
          <w:p w14:paraId="207417B9" w14:textId="77777777" w:rsidR="000E3C79" w:rsidRPr="000E3C79" w:rsidRDefault="000E3C79" w:rsidP="000E3C79">
            <w:r w:rsidRPr="000E3C79">
              <w:t>Dependent on primary publishing PCP</w:t>
            </w:r>
          </w:p>
        </w:tc>
        <w:tc>
          <w:tcPr>
            <w:tcW w:w="0" w:type="auto"/>
            <w:vAlign w:val="center"/>
            <w:hideMark/>
          </w:tcPr>
          <w:p w14:paraId="20BECB95" w14:textId="77777777" w:rsidR="000E3C79" w:rsidRPr="000E3C79" w:rsidRDefault="000E3C79" w:rsidP="000E3C79">
            <w:r w:rsidRPr="000E3C79">
              <w:t>Runs only if PCP published by cut-off</w:t>
            </w:r>
          </w:p>
        </w:tc>
        <w:tc>
          <w:tcPr>
            <w:tcW w:w="0" w:type="auto"/>
            <w:vAlign w:val="center"/>
            <w:hideMark/>
          </w:tcPr>
          <w:p w14:paraId="5294CF85" w14:textId="77777777" w:rsidR="000E3C79" w:rsidRPr="000E3C79" w:rsidRDefault="000E3C79" w:rsidP="000E3C79">
            <w:r w:rsidRPr="000E3C79">
              <w:t>Runs regardless of PCP</w:t>
            </w:r>
          </w:p>
        </w:tc>
      </w:tr>
    </w:tbl>
    <w:p w14:paraId="272E41F2" w14:textId="77777777" w:rsidR="00631893" w:rsidRDefault="00631893"/>
    <w:sectPr w:rsidR="00631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0E8"/>
    <w:multiLevelType w:val="multilevel"/>
    <w:tmpl w:val="405A4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551F4"/>
    <w:multiLevelType w:val="multilevel"/>
    <w:tmpl w:val="A308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D36616"/>
    <w:multiLevelType w:val="multilevel"/>
    <w:tmpl w:val="385E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7869E2"/>
    <w:multiLevelType w:val="multilevel"/>
    <w:tmpl w:val="9B689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54402F"/>
    <w:multiLevelType w:val="multilevel"/>
    <w:tmpl w:val="1F44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3666C9"/>
    <w:multiLevelType w:val="multilevel"/>
    <w:tmpl w:val="0EF8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E054B8"/>
    <w:multiLevelType w:val="multilevel"/>
    <w:tmpl w:val="D47E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1774633">
    <w:abstractNumId w:val="0"/>
  </w:num>
  <w:num w:numId="2" w16cid:durableId="1718240339">
    <w:abstractNumId w:val="1"/>
  </w:num>
  <w:num w:numId="3" w16cid:durableId="210045260">
    <w:abstractNumId w:val="6"/>
  </w:num>
  <w:num w:numId="4" w16cid:durableId="1306742930">
    <w:abstractNumId w:val="5"/>
  </w:num>
  <w:num w:numId="5" w16cid:durableId="1901473658">
    <w:abstractNumId w:val="3"/>
  </w:num>
  <w:num w:numId="6" w16cid:durableId="625738900">
    <w:abstractNumId w:val="2"/>
  </w:num>
  <w:num w:numId="7" w16cid:durableId="1050049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C8E"/>
    <w:rsid w:val="00054774"/>
    <w:rsid w:val="000E3C79"/>
    <w:rsid w:val="005F1C8E"/>
    <w:rsid w:val="00631893"/>
    <w:rsid w:val="006454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018DE"/>
  <w15:chartTrackingRefBased/>
  <w15:docId w15:val="{BE7E5BF9-4945-4137-AE9D-7B2C4C97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C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1C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1C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1C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1C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1C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1C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1C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1C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C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1C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1C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1C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1C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1C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C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C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C8E"/>
    <w:rPr>
      <w:rFonts w:eastAsiaTheme="majorEastAsia" w:cstheme="majorBidi"/>
      <w:color w:val="272727" w:themeColor="text1" w:themeTint="D8"/>
    </w:rPr>
  </w:style>
  <w:style w:type="paragraph" w:styleId="Title">
    <w:name w:val="Title"/>
    <w:basedOn w:val="Normal"/>
    <w:next w:val="Normal"/>
    <w:link w:val="TitleChar"/>
    <w:uiPriority w:val="10"/>
    <w:qFormat/>
    <w:rsid w:val="005F1C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C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C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1C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C8E"/>
    <w:pPr>
      <w:spacing w:before="160"/>
      <w:jc w:val="center"/>
    </w:pPr>
    <w:rPr>
      <w:i/>
      <w:iCs/>
      <w:color w:val="404040" w:themeColor="text1" w:themeTint="BF"/>
    </w:rPr>
  </w:style>
  <w:style w:type="character" w:customStyle="1" w:styleId="QuoteChar">
    <w:name w:val="Quote Char"/>
    <w:basedOn w:val="DefaultParagraphFont"/>
    <w:link w:val="Quote"/>
    <w:uiPriority w:val="29"/>
    <w:rsid w:val="005F1C8E"/>
    <w:rPr>
      <w:i/>
      <w:iCs/>
      <w:color w:val="404040" w:themeColor="text1" w:themeTint="BF"/>
    </w:rPr>
  </w:style>
  <w:style w:type="paragraph" w:styleId="ListParagraph">
    <w:name w:val="List Paragraph"/>
    <w:basedOn w:val="Normal"/>
    <w:uiPriority w:val="34"/>
    <w:qFormat/>
    <w:rsid w:val="005F1C8E"/>
    <w:pPr>
      <w:ind w:left="720"/>
      <w:contextualSpacing/>
    </w:pPr>
  </w:style>
  <w:style w:type="character" w:styleId="IntenseEmphasis">
    <w:name w:val="Intense Emphasis"/>
    <w:basedOn w:val="DefaultParagraphFont"/>
    <w:uiPriority w:val="21"/>
    <w:qFormat/>
    <w:rsid w:val="005F1C8E"/>
    <w:rPr>
      <w:i/>
      <w:iCs/>
      <w:color w:val="0F4761" w:themeColor="accent1" w:themeShade="BF"/>
    </w:rPr>
  </w:style>
  <w:style w:type="paragraph" w:styleId="IntenseQuote">
    <w:name w:val="Intense Quote"/>
    <w:basedOn w:val="Normal"/>
    <w:next w:val="Normal"/>
    <w:link w:val="IntenseQuoteChar"/>
    <w:uiPriority w:val="30"/>
    <w:qFormat/>
    <w:rsid w:val="005F1C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1C8E"/>
    <w:rPr>
      <w:i/>
      <w:iCs/>
      <w:color w:val="0F4761" w:themeColor="accent1" w:themeShade="BF"/>
    </w:rPr>
  </w:style>
  <w:style w:type="character" w:styleId="IntenseReference">
    <w:name w:val="Intense Reference"/>
    <w:basedOn w:val="DefaultParagraphFont"/>
    <w:uiPriority w:val="32"/>
    <w:qFormat/>
    <w:rsid w:val="005F1C8E"/>
    <w:rPr>
      <w:b/>
      <w:bCs/>
      <w:smallCaps/>
      <w:color w:val="0F4761" w:themeColor="accent1" w:themeShade="BF"/>
      <w:spacing w:val="5"/>
    </w:rPr>
  </w:style>
  <w:style w:type="character" w:styleId="Hyperlink">
    <w:name w:val="Hyperlink"/>
    <w:basedOn w:val="DefaultParagraphFont"/>
    <w:uiPriority w:val="99"/>
    <w:unhideWhenUsed/>
    <w:rsid w:val="005F1C8E"/>
    <w:rPr>
      <w:color w:val="467886" w:themeColor="hyperlink"/>
      <w:u w:val="single"/>
    </w:rPr>
  </w:style>
  <w:style w:type="character" w:styleId="UnresolvedMention">
    <w:name w:val="Unresolved Mention"/>
    <w:basedOn w:val="DefaultParagraphFont"/>
    <w:uiPriority w:val="99"/>
    <w:semiHidden/>
    <w:unhideWhenUsed/>
    <w:rsid w:val="005F1C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41526">
      <w:bodyDiv w:val="1"/>
      <w:marLeft w:val="0"/>
      <w:marRight w:val="0"/>
      <w:marTop w:val="0"/>
      <w:marBottom w:val="0"/>
      <w:divBdr>
        <w:top w:val="none" w:sz="0" w:space="0" w:color="auto"/>
        <w:left w:val="none" w:sz="0" w:space="0" w:color="auto"/>
        <w:bottom w:val="none" w:sz="0" w:space="0" w:color="auto"/>
        <w:right w:val="none" w:sz="0" w:space="0" w:color="auto"/>
      </w:divBdr>
      <w:divsChild>
        <w:div w:id="812989022">
          <w:marLeft w:val="0"/>
          <w:marRight w:val="0"/>
          <w:marTop w:val="0"/>
          <w:marBottom w:val="0"/>
          <w:divBdr>
            <w:top w:val="none" w:sz="0" w:space="0" w:color="auto"/>
            <w:left w:val="none" w:sz="0" w:space="0" w:color="auto"/>
            <w:bottom w:val="none" w:sz="0" w:space="0" w:color="auto"/>
            <w:right w:val="none" w:sz="0" w:space="0" w:color="auto"/>
          </w:divBdr>
          <w:divsChild>
            <w:div w:id="995648140">
              <w:marLeft w:val="0"/>
              <w:marRight w:val="0"/>
              <w:marTop w:val="0"/>
              <w:marBottom w:val="0"/>
              <w:divBdr>
                <w:top w:val="none" w:sz="0" w:space="0" w:color="auto"/>
                <w:left w:val="none" w:sz="0" w:space="0" w:color="auto"/>
                <w:bottom w:val="none" w:sz="0" w:space="0" w:color="auto"/>
                <w:right w:val="none" w:sz="0" w:space="0" w:color="auto"/>
              </w:divBdr>
            </w:div>
          </w:divsChild>
        </w:div>
        <w:div w:id="572620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9985852">
          <w:marLeft w:val="0"/>
          <w:marRight w:val="0"/>
          <w:marTop w:val="0"/>
          <w:marBottom w:val="0"/>
          <w:divBdr>
            <w:top w:val="none" w:sz="0" w:space="0" w:color="auto"/>
            <w:left w:val="none" w:sz="0" w:space="0" w:color="auto"/>
            <w:bottom w:val="none" w:sz="0" w:space="0" w:color="auto"/>
            <w:right w:val="none" w:sz="0" w:space="0" w:color="auto"/>
          </w:divBdr>
          <w:divsChild>
            <w:div w:id="4712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4302">
      <w:bodyDiv w:val="1"/>
      <w:marLeft w:val="0"/>
      <w:marRight w:val="0"/>
      <w:marTop w:val="0"/>
      <w:marBottom w:val="0"/>
      <w:divBdr>
        <w:top w:val="none" w:sz="0" w:space="0" w:color="auto"/>
        <w:left w:val="none" w:sz="0" w:space="0" w:color="auto"/>
        <w:bottom w:val="none" w:sz="0" w:space="0" w:color="auto"/>
        <w:right w:val="none" w:sz="0" w:space="0" w:color="auto"/>
      </w:divBdr>
      <w:divsChild>
        <w:div w:id="2144885733">
          <w:marLeft w:val="0"/>
          <w:marRight w:val="0"/>
          <w:marTop w:val="0"/>
          <w:marBottom w:val="0"/>
          <w:divBdr>
            <w:top w:val="none" w:sz="0" w:space="0" w:color="auto"/>
            <w:left w:val="none" w:sz="0" w:space="0" w:color="auto"/>
            <w:bottom w:val="none" w:sz="0" w:space="0" w:color="auto"/>
            <w:right w:val="none" w:sz="0" w:space="0" w:color="auto"/>
          </w:divBdr>
          <w:divsChild>
            <w:div w:id="130654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6768">
      <w:bodyDiv w:val="1"/>
      <w:marLeft w:val="0"/>
      <w:marRight w:val="0"/>
      <w:marTop w:val="0"/>
      <w:marBottom w:val="0"/>
      <w:divBdr>
        <w:top w:val="none" w:sz="0" w:space="0" w:color="auto"/>
        <w:left w:val="none" w:sz="0" w:space="0" w:color="auto"/>
        <w:bottom w:val="none" w:sz="0" w:space="0" w:color="auto"/>
        <w:right w:val="none" w:sz="0" w:space="0" w:color="auto"/>
      </w:divBdr>
      <w:divsChild>
        <w:div w:id="1300841084">
          <w:marLeft w:val="0"/>
          <w:marRight w:val="0"/>
          <w:marTop w:val="0"/>
          <w:marBottom w:val="0"/>
          <w:divBdr>
            <w:top w:val="none" w:sz="0" w:space="0" w:color="auto"/>
            <w:left w:val="none" w:sz="0" w:space="0" w:color="auto"/>
            <w:bottom w:val="none" w:sz="0" w:space="0" w:color="auto"/>
            <w:right w:val="none" w:sz="0" w:space="0" w:color="auto"/>
          </w:divBdr>
          <w:divsChild>
            <w:div w:id="316346401">
              <w:marLeft w:val="0"/>
              <w:marRight w:val="0"/>
              <w:marTop w:val="0"/>
              <w:marBottom w:val="0"/>
              <w:divBdr>
                <w:top w:val="none" w:sz="0" w:space="0" w:color="auto"/>
                <w:left w:val="none" w:sz="0" w:space="0" w:color="auto"/>
                <w:bottom w:val="none" w:sz="0" w:space="0" w:color="auto"/>
                <w:right w:val="none" w:sz="0" w:space="0" w:color="auto"/>
              </w:divBdr>
            </w:div>
          </w:divsChild>
        </w:div>
        <w:div w:id="42759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2262722">
          <w:marLeft w:val="0"/>
          <w:marRight w:val="0"/>
          <w:marTop w:val="0"/>
          <w:marBottom w:val="0"/>
          <w:divBdr>
            <w:top w:val="none" w:sz="0" w:space="0" w:color="auto"/>
            <w:left w:val="none" w:sz="0" w:space="0" w:color="auto"/>
            <w:bottom w:val="none" w:sz="0" w:space="0" w:color="auto"/>
            <w:right w:val="none" w:sz="0" w:space="0" w:color="auto"/>
          </w:divBdr>
          <w:divsChild>
            <w:div w:id="73551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2494">
      <w:bodyDiv w:val="1"/>
      <w:marLeft w:val="0"/>
      <w:marRight w:val="0"/>
      <w:marTop w:val="0"/>
      <w:marBottom w:val="0"/>
      <w:divBdr>
        <w:top w:val="none" w:sz="0" w:space="0" w:color="auto"/>
        <w:left w:val="none" w:sz="0" w:space="0" w:color="auto"/>
        <w:bottom w:val="none" w:sz="0" w:space="0" w:color="auto"/>
        <w:right w:val="none" w:sz="0" w:space="0" w:color="auto"/>
      </w:divBdr>
      <w:divsChild>
        <w:div w:id="1589849380">
          <w:marLeft w:val="0"/>
          <w:marRight w:val="0"/>
          <w:marTop w:val="0"/>
          <w:marBottom w:val="0"/>
          <w:divBdr>
            <w:top w:val="none" w:sz="0" w:space="0" w:color="auto"/>
            <w:left w:val="none" w:sz="0" w:space="0" w:color="auto"/>
            <w:bottom w:val="none" w:sz="0" w:space="0" w:color="auto"/>
            <w:right w:val="none" w:sz="0" w:space="0" w:color="auto"/>
          </w:divBdr>
          <w:divsChild>
            <w:div w:id="7949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dn.cboe.com/resources/participant_resources/BCE-GuidanceNote_3C_Final.pdf" TargetMode="External"/><Relationship Id="rId18" Type="http://schemas.openxmlformats.org/officeDocument/2006/relationships/hyperlink" Target="https://www.aquis.eu/markets/market-at-close" TargetMode="External"/><Relationship Id="rId26" Type="http://schemas.openxmlformats.org/officeDocument/2006/relationships/hyperlink" Target="https://www.aquis.eu/markets/market-at-close" TargetMode="External"/><Relationship Id="rId39" Type="http://schemas.openxmlformats.org/officeDocument/2006/relationships/hyperlink" Target="https://aqx-web-prod-s3-public-read.s3.eu-west-2.amazonaws.com/Aquis_Fee_Schedule_effective_1_April_2025_5e7ccb68d8.pdf" TargetMode="External"/><Relationship Id="rId21" Type="http://schemas.openxmlformats.org/officeDocument/2006/relationships/hyperlink" Target="https://papers.ssrn.com/sol3/Delivery.cfm/SSRN_ID4639927_code2377732.pdf?abstractid=4533545&amp;mirid=1&amp;utm_source=chatgpt.com" TargetMode="External"/><Relationship Id="rId34" Type="http://schemas.openxmlformats.org/officeDocument/2006/relationships/hyperlink" Target="https://aqx-web-prod-s3-public-read.s3.eu-west-2.amazonaws.com/Aquis_Fee_Schedule_effective_1_April_2025_5e7ccb68d8.pdf" TargetMode="External"/><Relationship Id="rId42" Type="http://schemas.openxmlformats.org/officeDocument/2006/relationships/fontTable" Target="fontTable.xml"/><Relationship Id="rId7" Type="http://schemas.openxmlformats.org/officeDocument/2006/relationships/hyperlink" Target="https://www.aquis.eu/markets/market-at-close" TargetMode="External"/><Relationship Id="rId2" Type="http://schemas.openxmlformats.org/officeDocument/2006/relationships/styles" Target="styles.xml"/><Relationship Id="rId16" Type="http://schemas.openxmlformats.org/officeDocument/2006/relationships/hyperlink" Target="https://docs.londonstockexchange.com/sites/default/files/documents/turquoise-trading-services-description-v3_40_i5.pdf" TargetMode="External"/><Relationship Id="rId20" Type="http://schemas.openxmlformats.org/officeDocument/2006/relationships/hyperlink" Target="https://cdn.cboe.com/resources/participant_resources/BCE-GuidanceNote_3C_Final.pdf" TargetMode="External"/><Relationship Id="rId29" Type="http://schemas.openxmlformats.org/officeDocument/2006/relationships/hyperlink" Target="https://www.aquis.eu/markets/market-at-close" TargetMode="External"/><Relationship Id="rId41" Type="http://schemas.openxmlformats.org/officeDocument/2006/relationships/hyperlink" Target="https://www.cboe.com/europe/equities/participation/fee_schedule/" TargetMode="External"/><Relationship Id="rId1" Type="http://schemas.openxmlformats.org/officeDocument/2006/relationships/numbering" Target="numbering.xml"/><Relationship Id="rId6" Type="http://schemas.openxmlformats.org/officeDocument/2006/relationships/hyperlink" Target="https://www.aquis.eu/markets/market-at-close" TargetMode="External"/><Relationship Id="rId11" Type="http://schemas.openxmlformats.org/officeDocument/2006/relationships/hyperlink" Target="https://docs.londonstockexchange.com/sites/default/files/documents/turquoise-trading-services-description-v3_40_i5.pdf" TargetMode="External"/><Relationship Id="rId24" Type="http://schemas.openxmlformats.org/officeDocument/2006/relationships/hyperlink" Target="https://www.thetradenews.com/turquoise-plato-trade-at-last-closing-auction-mechanism-goes-live/?utm_source=chatgpt.com" TargetMode="External"/><Relationship Id="rId32" Type="http://schemas.openxmlformats.org/officeDocument/2006/relationships/hyperlink" Target="https://cdn.cboe.com/resources/participant_resources/BCE-GuidanceNote_3C_Final.pdf" TargetMode="External"/><Relationship Id="rId37" Type="http://schemas.openxmlformats.org/officeDocument/2006/relationships/hyperlink" Target="https://www.cboe.com/europe/equities/participation/fee_schedule/" TargetMode="External"/><Relationship Id="rId40" Type="http://schemas.openxmlformats.org/officeDocument/2006/relationships/hyperlink" Target="https://docs.londonstockexchange.com/sites/default/files/documents/turquoise-europe-tariff-schedule-2.6ii-eff.-1-jan-2025.pdf" TargetMode="External"/><Relationship Id="rId5" Type="http://schemas.openxmlformats.org/officeDocument/2006/relationships/hyperlink" Target="https://www.aquis.eu/markets/market-at-close" TargetMode="External"/><Relationship Id="rId15" Type="http://schemas.openxmlformats.org/officeDocument/2006/relationships/hyperlink" Target="https://www.aquis.eu/markets/market-at-close" TargetMode="External"/><Relationship Id="rId23" Type="http://schemas.openxmlformats.org/officeDocument/2006/relationships/hyperlink" Target="https://docs.londonstockexchange.com/sites/default/files/documents/turquoise-trading-services-description-v3_40_i5.pdf" TargetMode="External"/><Relationship Id="rId28" Type="http://schemas.openxmlformats.org/officeDocument/2006/relationships/hyperlink" Target="https://cdn.cboe.com/resources/participant_resources/BCE-GuidanceNote_3C_Final.pdf" TargetMode="External"/><Relationship Id="rId36" Type="http://schemas.openxmlformats.org/officeDocument/2006/relationships/hyperlink" Target="https://docs.londonstockexchange.com/sites/default/files/documents/turquoise-europe-tariff-schedule-2.6ii-eff.-1-jan-2025.pdf" TargetMode="External"/><Relationship Id="rId10" Type="http://schemas.openxmlformats.org/officeDocument/2006/relationships/hyperlink" Target="https://docs.londonstockexchange.com/sites/default/files/documents/turquoise-trading-services-description-v3_40_i5.pdf" TargetMode="External"/><Relationship Id="rId19" Type="http://schemas.openxmlformats.org/officeDocument/2006/relationships/hyperlink" Target="https://docs.londonstockexchange.com/sites/default/files/documents/turquoise-trading-services-description-v3_40_i5.pdf" TargetMode="External"/><Relationship Id="rId31" Type="http://schemas.openxmlformats.org/officeDocument/2006/relationships/hyperlink" Target="https://www.tradinghours.com/mic/s/tqex?utm_source=chatgpt.com" TargetMode="External"/><Relationship Id="rId4" Type="http://schemas.openxmlformats.org/officeDocument/2006/relationships/webSettings" Target="webSettings.xml"/><Relationship Id="rId9" Type="http://schemas.openxmlformats.org/officeDocument/2006/relationships/hyperlink" Target="https://www.thetradenews.com/turquoise-plato-trade-at-last-closing-auction-mechanism-goes-live/?utm_source=chatgpt.com" TargetMode="External"/><Relationship Id="rId14" Type="http://schemas.openxmlformats.org/officeDocument/2006/relationships/hyperlink" Target="https://cdn.cboe.com/resources/participant_resources/BCE-GuidanceNote_3C_Final.pdf" TargetMode="External"/><Relationship Id="rId22" Type="http://schemas.openxmlformats.org/officeDocument/2006/relationships/hyperlink" Target="https://www.aquis.eu/markets/market-at-close" TargetMode="External"/><Relationship Id="rId27" Type="http://schemas.openxmlformats.org/officeDocument/2006/relationships/hyperlink" Target="https://docs.londonstockexchange.com/sites/default/files/documents/turquoise-trading-services-description-v3_40_i5.pdf" TargetMode="External"/><Relationship Id="rId30" Type="http://schemas.openxmlformats.org/officeDocument/2006/relationships/hyperlink" Target="https://docs.londonstockexchange.com/sites/default/files/documents/turquoise-trading-services-description-v3_40_i5.pdf" TargetMode="External"/><Relationship Id="rId35" Type="http://schemas.openxmlformats.org/officeDocument/2006/relationships/hyperlink" Target="https://www.aquis.eu/markets/market-at-close?utm_source=chatgpt.com" TargetMode="External"/><Relationship Id="rId43" Type="http://schemas.openxmlformats.org/officeDocument/2006/relationships/theme" Target="theme/theme1.xml"/><Relationship Id="rId8" Type="http://schemas.openxmlformats.org/officeDocument/2006/relationships/hyperlink" Target="https://docs.londonstockexchange.com/sites/default/files/documents/turquoise-trading-services-description-v3_40_i5.pdf" TargetMode="External"/><Relationship Id="rId3" Type="http://schemas.openxmlformats.org/officeDocument/2006/relationships/settings" Target="settings.xml"/><Relationship Id="rId12" Type="http://schemas.openxmlformats.org/officeDocument/2006/relationships/hyperlink" Target="https://www.tradinghours.com/mic/s/tqex?utm_source=chatgpt.com" TargetMode="External"/><Relationship Id="rId17" Type="http://schemas.openxmlformats.org/officeDocument/2006/relationships/hyperlink" Target="https://cdn.cboe.com/resources/participant_resources/BCE-GuidanceNote_3C_Final.pdf" TargetMode="External"/><Relationship Id="rId25" Type="http://schemas.openxmlformats.org/officeDocument/2006/relationships/hyperlink" Target="https://cdn.cboe.com/resources/participant_resources/BCE-GuidanceNote_3C_Final.pdf" TargetMode="External"/><Relationship Id="rId33" Type="http://schemas.openxmlformats.org/officeDocument/2006/relationships/hyperlink" Target="https://docs.londonstockexchange.com/sites/default/files/documents/trading-services-price-list-january-2025.pdf" TargetMode="External"/><Relationship Id="rId38" Type="http://schemas.openxmlformats.org/officeDocument/2006/relationships/hyperlink" Target="https://docs.londonstockexchange.com/sites/default/files/documents/trading-services-price-list-january-20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2078</Words>
  <Characters>11850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Pradhan</dc:creator>
  <cp:keywords/>
  <dc:description/>
  <cp:lastModifiedBy>Aashish Pradhan</cp:lastModifiedBy>
  <cp:revision>1</cp:revision>
  <dcterms:created xsi:type="dcterms:W3CDTF">2025-08-31T17:44:00Z</dcterms:created>
  <dcterms:modified xsi:type="dcterms:W3CDTF">2025-08-31T19:30:00Z</dcterms:modified>
</cp:coreProperties>
</file>