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D55E" w14:textId="77777777" w:rsidR="00640855" w:rsidRPr="00640855" w:rsidRDefault="00640855" w:rsidP="00640855">
      <w:pPr>
        <w:rPr>
          <w:b/>
          <w:bCs/>
        </w:rPr>
      </w:pPr>
      <w:r w:rsidRPr="00640855">
        <w:rPr>
          <w:b/>
          <w:bCs/>
        </w:rPr>
        <w:t>Summary of Market Microstructure Trends</w:t>
      </w:r>
    </w:p>
    <w:p w14:paraId="281F7ED8" w14:textId="77777777" w:rsidR="00640855" w:rsidRPr="00640855" w:rsidRDefault="00640855" w:rsidP="00640855">
      <w:r w:rsidRPr="00640855">
        <w:rPr>
          <w:b/>
          <w:bCs/>
        </w:rPr>
        <w:t>1. Closing Auction Share</w:t>
      </w:r>
    </w:p>
    <w:p w14:paraId="5B51FC82" w14:textId="77777777" w:rsidR="00640855" w:rsidRPr="00640855" w:rsidRDefault="00640855" w:rsidP="00640855">
      <w:pPr>
        <w:numPr>
          <w:ilvl w:val="0"/>
          <w:numId w:val="1"/>
        </w:numPr>
      </w:pPr>
      <w:r w:rsidRPr="00640855">
        <w:t xml:space="preserve">The proportion of daily volume executed in the close has steadily </w:t>
      </w:r>
      <w:r w:rsidRPr="00640855">
        <w:rPr>
          <w:b/>
          <w:bCs/>
        </w:rPr>
        <w:t>increased across all market caps</w:t>
      </w:r>
      <w:r w:rsidRPr="00640855">
        <w:t xml:space="preserve"> since 2020.</w:t>
      </w:r>
    </w:p>
    <w:p w14:paraId="7350F179" w14:textId="77777777" w:rsidR="00640855" w:rsidRPr="00640855" w:rsidRDefault="00640855" w:rsidP="00640855">
      <w:pPr>
        <w:numPr>
          <w:ilvl w:val="0"/>
          <w:numId w:val="1"/>
        </w:numPr>
      </w:pPr>
      <w:r w:rsidRPr="00640855">
        <w:rPr>
          <w:b/>
          <w:bCs/>
        </w:rPr>
        <w:t>Mid and small caps</w:t>
      </w:r>
      <w:r w:rsidRPr="00640855">
        <w:t xml:space="preserve"> show the highest reliance on the close (now ~40%+ of daily volume), while large caps remain lower but rising.</w:t>
      </w:r>
    </w:p>
    <w:p w14:paraId="034C9E87" w14:textId="77777777" w:rsidR="00640855" w:rsidRPr="00640855" w:rsidRDefault="00640855" w:rsidP="00640855">
      <w:pPr>
        <w:numPr>
          <w:ilvl w:val="0"/>
          <w:numId w:val="1"/>
        </w:numPr>
      </w:pPr>
      <w:r w:rsidRPr="00640855">
        <w:t>This highlights the growing structural importance of the close for price formation and liquidity.</w:t>
      </w:r>
    </w:p>
    <w:p w14:paraId="2D6A665A" w14:textId="77777777" w:rsidR="00640855" w:rsidRPr="00640855" w:rsidRDefault="00640855" w:rsidP="00640855">
      <w:r w:rsidRPr="00640855">
        <w:rPr>
          <w:b/>
          <w:bCs/>
        </w:rPr>
        <w:t>2. Continuous Session Volume Curve</w:t>
      </w:r>
    </w:p>
    <w:p w14:paraId="65E56536" w14:textId="77777777" w:rsidR="00640855" w:rsidRPr="00640855" w:rsidRDefault="00640855" w:rsidP="00640855">
      <w:pPr>
        <w:numPr>
          <w:ilvl w:val="0"/>
          <w:numId w:val="2"/>
        </w:numPr>
      </w:pPr>
      <w:r w:rsidRPr="00640855">
        <w:t xml:space="preserve">Intraday volume remains </w:t>
      </w:r>
      <w:r w:rsidRPr="00640855">
        <w:rPr>
          <w:b/>
          <w:bCs/>
        </w:rPr>
        <w:t>front-loaded (open)</w:t>
      </w:r>
      <w:r w:rsidRPr="00640855">
        <w:t xml:space="preserve"> and </w:t>
      </w:r>
      <w:r w:rsidRPr="00640855">
        <w:rPr>
          <w:b/>
          <w:bCs/>
        </w:rPr>
        <w:t>back-loaded (close)</w:t>
      </w:r>
      <w:r w:rsidRPr="00640855">
        <w:t xml:space="preserve"> across all caps.</w:t>
      </w:r>
    </w:p>
    <w:p w14:paraId="2C68A348" w14:textId="77777777" w:rsidR="00640855" w:rsidRPr="00640855" w:rsidRDefault="00640855" w:rsidP="00640855">
      <w:pPr>
        <w:numPr>
          <w:ilvl w:val="0"/>
          <w:numId w:val="2"/>
        </w:numPr>
      </w:pPr>
      <w:r w:rsidRPr="00640855">
        <w:t>The midday trough is persistent, with little change in shape year-to-year.</w:t>
      </w:r>
    </w:p>
    <w:p w14:paraId="454CD2C1" w14:textId="77777777" w:rsidR="00640855" w:rsidRPr="00640855" w:rsidRDefault="00640855" w:rsidP="00640855">
      <w:pPr>
        <w:numPr>
          <w:ilvl w:val="0"/>
          <w:numId w:val="2"/>
        </w:numPr>
      </w:pPr>
      <w:r w:rsidRPr="00640855">
        <w:t>Small caps display sharper end-of-day spikes, reflecting higher close dependency.</w:t>
      </w:r>
    </w:p>
    <w:p w14:paraId="2F3E0889" w14:textId="77777777" w:rsidR="00640855" w:rsidRPr="00640855" w:rsidRDefault="00640855" w:rsidP="00640855">
      <w:pPr>
        <w:numPr>
          <w:ilvl w:val="0"/>
          <w:numId w:val="2"/>
        </w:numPr>
      </w:pPr>
      <w:r w:rsidRPr="00640855">
        <w:t xml:space="preserve">Cumulative curves confirm a </w:t>
      </w:r>
      <w:r w:rsidRPr="00640855">
        <w:rPr>
          <w:b/>
          <w:bCs/>
        </w:rPr>
        <w:t>greater concentration of trading towards the end of the day</w:t>
      </w:r>
      <w:r w:rsidRPr="00640855">
        <w:t>, with consistency across years.</w:t>
      </w:r>
    </w:p>
    <w:p w14:paraId="79DA421D" w14:textId="77777777" w:rsidR="00640855" w:rsidRPr="00640855" w:rsidRDefault="00640855" w:rsidP="00640855">
      <w:r w:rsidRPr="00640855">
        <w:rPr>
          <w:b/>
          <w:bCs/>
        </w:rPr>
        <w:t>3. Intraday Volatility Curve</w:t>
      </w:r>
    </w:p>
    <w:p w14:paraId="45274447" w14:textId="77777777" w:rsidR="00640855" w:rsidRPr="00640855" w:rsidRDefault="00640855" w:rsidP="00640855">
      <w:pPr>
        <w:numPr>
          <w:ilvl w:val="0"/>
          <w:numId w:val="3"/>
        </w:numPr>
      </w:pPr>
      <w:r w:rsidRPr="00640855">
        <w:t xml:space="preserve">Volatility is </w:t>
      </w:r>
      <w:r w:rsidRPr="00640855">
        <w:rPr>
          <w:b/>
          <w:bCs/>
        </w:rPr>
        <w:t>highest at the open and close</w:t>
      </w:r>
      <w:r w:rsidRPr="00640855">
        <w:t>, with a pronounced U-shape intraday profile.</w:t>
      </w:r>
    </w:p>
    <w:p w14:paraId="0E732772" w14:textId="77777777" w:rsidR="00640855" w:rsidRPr="00640855" w:rsidRDefault="00640855" w:rsidP="00640855">
      <w:pPr>
        <w:numPr>
          <w:ilvl w:val="0"/>
          <w:numId w:val="3"/>
        </w:numPr>
      </w:pPr>
      <w:r w:rsidRPr="00640855">
        <w:t xml:space="preserve">Volatility has </w:t>
      </w:r>
      <w:r w:rsidRPr="00640855">
        <w:rPr>
          <w:b/>
          <w:bCs/>
        </w:rPr>
        <w:t>declined marginally year-over-year</w:t>
      </w:r>
      <w:r w:rsidRPr="00640855">
        <w:t>, especially in large caps, suggesting improved stability.</w:t>
      </w:r>
    </w:p>
    <w:p w14:paraId="72BCF71C" w14:textId="77777777" w:rsidR="00640855" w:rsidRPr="00640855" w:rsidRDefault="00640855" w:rsidP="00640855">
      <w:pPr>
        <w:numPr>
          <w:ilvl w:val="0"/>
          <w:numId w:val="3"/>
        </w:numPr>
      </w:pPr>
      <w:r w:rsidRPr="00640855">
        <w:t xml:space="preserve">Small caps remain structurally more volatile than large and </w:t>
      </w:r>
      <w:proofErr w:type="spellStart"/>
      <w:r w:rsidRPr="00640855">
        <w:t>mid caps</w:t>
      </w:r>
      <w:proofErr w:type="spellEnd"/>
      <w:r w:rsidRPr="00640855">
        <w:t>.</w:t>
      </w:r>
    </w:p>
    <w:p w14:paraId="5660DDF0" w14:textId="77777777" w:rsidR="00640855" w:rsidRPr="00640855" w:rsidRDefault="00640855" w:rsidP="00640855">
      <w:r w:rsidRPr="00640855">
        <w:rPr>
          <w:b/>
          <w:bCs/>
        </w:rPr>
        <w:t>4. Intraday Spread Curve</w:t>
      </w:r>
    </w:p>
    <w:p w14:paraId="5D2F2843" w14:textId="77777777" w:rsidR="00640855" w:rsidRPr="00640855" w:rsidRDefault="00640855" w:rsidP="00640855">
      <w:pPr>
        <w:numPr>
          <w:ilvl w:val="0"/>
          <w:numId w:val="4"/>
        </w:numPr>
      </w:pPr>
      <w:r w:rsidRPr="00640855">
        <w:t xml:space="preserve">Spreads follow a similar U-shape: </w:t>
      </w:r>
      <w:r w:rsidRPr="00640855">
        <w:rPr>
          <w:b/>
          <w:bCs/>
        </w:rPr>
        <w:t>wider at the open</w:t>
      </w:r>
      <w:r w:rsidRPr="00640855">
        <w:t xml:space="preserve">, tightening through the day, then </w:t>
      </w:r>
      <w:r w:rsidRPr="00640855">
        <w:rPr>
          <w:b/>
          <w:bCs/>
        </w:rPr>
        <w:t>marginally widening into the close</w:t>
      </w:r>
      <w:r w:rsidRPr="00640855">
        <w:t>.</w:t>
      </w:r>
    </w:p>
    <w:p w14:paraId="752877A4" w14:textId="77777777" w:rsidR="00640855" w:rsidRPr="00640855" w:rsidRDefault="00640855" w:rsidP="00640855">
      <w:pPr>
        <w:numPr>
          <w:ilvl w:val="0"/>
          <w:numId w:val="4"/>
        </w:numPr>
      </w:pPr>
      <w:r w:rsidRPr="00640855">
        <w:t>Large caps maintain consistently tighter spreads, while small caps show elevated and more unstable spreads, especially mid-session.</w:t>
      </w:r>
    </w:p>
    <w:p w14:paraId="2C82BE99" w14:textId="77777777" w:rsidR="00640855" w:rsidRPr="00640855" w:rsidRDefault="00640855" w:rsidP="00640855">
      <w:pPr>
        <w:numPr>
          <w:ilvl w:val="0"/>
          <w:numId w:val="4"/>
        </w:numPr>
      </w:pPr>
      <w:r w:rsidRPr="00640855">
        <w:t xml:space="preserve">Over time, spreads appear </w:t>
      </w:r>
      <w:r w:rsidRPr="00640855">
        <w:rPr>
          <w:b/>
          <w:bCs/>
        </w:rPr>
        <w:t>stable to slightly tighter</w:t>
      </w:r>
      <w:r w:rsidRPr="00640855">
        <w:t>, reflecting healthier liquidity provision despite rising close volumes.</w:t>
      </w:r>
    </w:p>
    <w:p w14:paraId="49B27ADC" w14:textId="77777777" w:rsidR="00631893" w:rsidRPr="00640855" w:rsidRDefault="00631893" w:rsidP="00640855"/>
    <w:sectPr w:rsidR="00631893" w:rsidRPr="0064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AD6"/>
    <w:multiLevelType w:val="multilevel"/>
    <w:tmpl w:val="E20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A1799"/>
    <w:multiLevelType w:val="multilevel"/>
    <w:tmpl w:val="E99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2B72"/>
    <w:multiLevelType w:val="multilevel"/>
    <w:tmpl w:val="EE8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D3735"/>
    <w:multiLevelType w:val="multilevel"/>
    <w:tmpl w:val="64A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29755">
    <w:abstractNumId w:val="1"/>
  </w:num>
  <w:num w:numId="2" w16cid:durableId="373695264">
    <w:abstractNumId w:val="0"/>
  </w:num>
  <w:num w:numId="3" w16cid:durableId="2113746888">
    <w:abstractNumId w:val="3"/>
  </w:num>
  <w:num w:numId="4" w16cid:durableId="207037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55"/>
    <w:rsid w:val="00054774"/>
    <w:rsid w:val="00631893"/>
    <w:rsid w:val="00640855"/>
    <w:rsid w:val="0065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D225"/>
  <w15:chartTrackingRefBased/>
  <w15:docId w15:val="{E9BAF399-3DAF-431F-A670-D4BD5F67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1</cp:revision>
  <dcterms:created xsi:type="dcterms:W3CDTF">2025-09-05T10:31:00Z</dcterms:created>
  <dcterms:modified xsi:type="dcterms:W3CDTF">2025-09-05T10:31:00Z</dcterms:modified>
</cp:coreProperties>
</file>