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901B2" w14:textId="77777777" w:rsidR="000B2B89" w:rsidRPr="000B2B89" w:rsidRDefault="000B2B89" w:rsidP="000B2B89">
      <w:pPr>
        <w:rPr>
          <w:b/>
          <w:bCs/>
        </w:rPr>
      </w:pPr>
      <w:r w:rsidRPr="000B2B89">
        <w:rPr>
          <w:b/>
          <w:bCs/>
        </w:rPr>
        <w:t>1. Delivers (Financial) Performance</w:t>
      </w:r>
    </w:p>
    <w:p w14:paraId="24E2F4D0" w14:textId="77777777" w:rsidR="000B2B89" w:rsidRPr="000B2B89" w:rsidRDefault="000B2B89" w:rsidP="000B2B89">
      <w:r w:rsidRPr="000B2B89">
        <w:rPr>
          <w:b/>
          <w:bCs/>
        </w:rPr>
        <w:t>Global Analytics Platform Management &amp; Desk Growth</w:t>
      </w:r>
      <w:r w:rsidRPr="000B2B89">
        <w:br/>
        <w:t>• Led the transformation of the MAAS platform into a fully cross-asset analytics solution in Continuum spanning Equities, FX, Futures, and Equities High-Touch/Program Trading, directly aligning with RBC’s strategy to deliver scalable, cross-business capabilities.</w:t>
      </w:r>
      <w:r w:rsidRPr="000B2B89">
        <w:br/>
        <w:t>• Partnered with trading desks, sales, technology partners, and supervision teams to deliver stable, automated, and scalable solutions, ensuring consistent high-quality execution for clients.</w:t>
      </w:r>
      <w:r w:rsidRPr="000B2B89">
        <w:br/>
        <w:t>• Challenged existing workflows by holding regular joint sessions with MDI/DNA and QST teams to gather new requirements, track development, and test features before production release, reducing operational risk.</w:t>
      </w:r>
      <w:r w:rsidRPr="000B2B89">
        <w:br/>
        <w:t>• Improved reporting capabilities within Continuum, streamlining workflows to reduce manual intervention and introducing advanced metrics to better evaluate algo performance.</w:t>
      </w:r>
      <w:r w:rsidRPr="000B2B89">
        <w:br/>
        <w:t>• Delivered tangible results, driving Equities Electronic Trading commission growth from C$153.3M (2022) → C$175.9M (2025 annualised) and PT commission growth from C$38.8M (2022) → C$68.2M (2025 annualised).</w:t>
      </w:r>
    </w:p>
    <w:p w14:paraId="31D69FA9" w14:textId="77777777" w:rsidR="000B2B89" w:rsidRPr="000B2B89" w:rsidRDefault="000B2B89" w:rsidP="000B2B89">
      <w:r w:rsidRPr="000B2B89">
        <w:rPr>
          <w:b/>
          <w:bCs/>
        </w:rPr>
        <w:t>Equities (Australia Expansion)</w:t>
      </w:r>
      <w:r w:rsidRPr="000B2B89">
        <w:br/>
        <w:t>• Directed the build-out of statistics, curves, signals, index rebalance adjustments, and analytics integration from inception to delivery, ensuring market readiness for RBC’s expansion into Australia.</w:t>
      </w:r>
      <w:r w:rsidRPr="000B2B89">
        <w:br/>
        <w:t>• Balanced global alignment with local market structure, coordinating pre-launch testing and analytics validation with Execution Management and IT teams.</w:t>
      </w:r>
      <w:r w:rsidRPr="000B2B89">
        <w:br/>
        <w:t>• Adapted working hours to support late-night/early-morning testing across time zones, showing personal commitment to strategic outcomes.</w:t>
      </w:r>
      <w:r w:rsidRPr="000B2B89">
        <w:br/>
        <w:t>• Conducted in-depth regulatory analysis of SR15 reforms and proactively engaged clients with findings, reinforcing RBC’s role as a trusted market structure advisor.</w:t>
      </w:r>
    </w:p>
    <w:p w14:paraId="11B7F6E8" w14:textId="77777777" w:rsidR="000B2B89" w:rsidRPr="000B2B89" w:rsidRDefault="000B2B89" w:rsidP="000B2B89">
      <w:r w:rsidRPr="000B2B89">
        <w:rPr>
          <w:b/>
          <w:bCs/>
        </w:rPr>
        <w:t>FX</w:t>
      </w:r>
      <w:r w:rsidRPr="000B2B89">
        <w:br/>
        <w:t>• Defined strategic analytics requirements to enhance platform accuracy and stability.</w:t>
      </w:r>
      <w:r w:rsidRPr="000B2B89">
        <w:br/>
        <w:t>• Migrated transaction and market data feeds to improve report speed and consistency.</w:t>
      </w:r>
      <w:r w:rsidRPr="000B2B89">
        <w:br/>
        <w:t>• Replicated venue toxicity reporting from Equities to FX for consistent cross-asset monitoring.</w:t>
      </w:r>
      <w:r w:rsidRPr="000B2B89">
        <w:br/>
        <w:t>• Reduced error rates and increased platform resilience.</w:t>
      </w:r>
    </w:p>
    <w:p w14:paraId="5987D3F5" w14:textId="77777777" w:rsidR="000B2B89" w:rsidRPr="000B2B89" w:rsidRDefault="000B2B89" w:rsidP="000B2B89">
      <w:r w:rsidRPr="000B2B89">
        <w:rPr>
          <w:b/>
          <w:bCs/>
        </w:rPr>
        <w:t>Futures</w:t>
      </w:r>
      <w:r w:rsidRPr="000B2B89">
        <w:br/>
        <w:t>• Led the strategic migration of FAR and Prospector algos from legacy systems with minimal client impact, ensuring uninterrupted service.</w:t>
      </w:r>
      <w:r w:rsidRPr="000B2B89">
        <w:br/>
        <w:t>• Enhanced European futures reporting and analytics to strengthen client decision-making.</w:t>
      </w:r>
    </w:p>
    <w:p w14:paraId="4ADB4840" w14:textId="77777777" w:rsidR="000B2B89" w:rsidRPr="000B2B89" w:rsidRDefault="000B2B89" w:rsidP="000B2B89">
      <w:r w:rsidRPr="000B2B89">
        <w:rPr>
          <w:b/>
          <w:bCs/>
        </w:rPr>
        <w:t>Strategic Innovation</w:t>
      </w:r>
      <w:r w:rsidRPr="000B2B89">
        <w:br/>
        <w:t>• Partnered with Algo Research, Quantitative Sales Trading, and Technology teams to enhance existing products, develop new solutions, and provide actionable client insights.</w:t>
      </w:r>
      <w:r w:rsidRPr="000B2B89">
        <w:br/>
        <w:t>• Pioneered the Smart Close algo in Europe:</w:t>
      </w:r>
      <w:r w:rsidRPr="000B2B89">
        <w:br/>
      </w:r>
      <w:r w:rsidRPr="000B2B89">
        <w:t> </w:t>
      </w:r>
      <w:r w:rsidRPr="000B2B89">
        <w:t>o Built API functions to analyse L3 market data and model live market impact during the close.</w:t>
      </w:r>
      <w:r w:rsidRPr="000B2B89">
        <w:br/>
      </w:r>
      <w:r w:rsidRPr="000B2B89">
        <w:t> </w:t>
      </w:r>
      <w:r w:rsidRPr="000B2B89">
        <w:t>o Designed L3 layering logic to optimise fill probability.</w:t>
      </w:r>
      <w:r w:rsidRPr="000B2B89">
        <w:br/>
      </w:r>
      <w:r w:rsidRPr="000B2B89">
        <w:t> </w:t>
      </w:r>
      <w:r w:rsidRPr="000B2B89">
        <w:t>o Developed monitoring tools in Continuum to track performance.</w:t>
      </w:r>
      <w:r w:rsidRPr="000B2B89">
        <w:br/>
      </w:r>
      <w:r w:rsidRPr="000B2B89">
        <w:t> </w:t>
      </w:r>
      <w:r w:rsidRPr="000B2B89">
        <w:t>o Research became the foundation of RBC Trade Tech’s “Smart Close” client presentation.</w:t>
      </w:r>
      <w:r w:rsidRPr="000B2B89">
        <w:br/>
        <w:t>• Developed a multi-asset pre-trade reporting tool for equities, integrated into MATA:</w:t>
      </w:r>
      <w:r w:rsidRPr="000B2B89">
        <w:br/>
      </w:r>
      <w:r w:rsidRPr="000B2B89">
        <w:lastRenderedPageBreak/>
        <w:t> </w:t>
      </w:r>
      <w:r w:rsidRPr="000B2B89">
        <w:t>o Used BARRA multi-factor model to decompose portfolio risk and identify drivers.</w:t>
      </w:r>
      <w:r w:rsidRPr="000B2B89">
        <w:br/>
      </w:r>
      <w:r w:rsidRPr="000B2B89">
        <w:t> </w:t>
      </w:r>
      <w:r w:rsidRPr="000B2B89">
        <w:t>o Delivered hedging strategies based on historical returns or factor exposures, incorporating liquidity constraints.</w:t>
      </w:r>
      <w:r w:rsidRPr="000B2B89">
        <w:br/>
      </w:r>
      <w:r w:rsidRPr="000B2B89">
        <w:t> </w:t>
      </w:r>
      <w:r w:rsidRPr="000B2B89">
        <w:t>o Delivered both an MVP (Python) and a client-facing strategic roadmap via MATA.</w:t>
      </w:r>
    </w:p>
    <w:p w14:paraId="596FAED1" w14:textId="77777777" w:rsidR="000B2B89" w:rsidRPr="000B2B89" w:rsidRDefault="000B2B89" w:rsidP="000B2B89">
      <w:r w:rsidRPr="000B2B89">
        <w:rPr>
          <w:b/>
          <w:bCs/>
        </w:rPr>
        <w:t>Client Engagement &amp; Revenue Impact</w:t>
      </w:r>
      <w:r w:rsidRPr="000B2B89">
        <w:br/>
        <w:t>• Capital Group: Developed the EBEX metric internally and designed custom strategies for their EBEX benchmark in the liquidity-seeking algo. RBC now ranks consistently in the top tier for their broker wheel, achieving commission growth from C$4.2M (2022) → C$8.9M (2025 annualised).</w:t>
      </w:r>
      <w:r w:rsidRPr="000B2B89">
        <w:br/>
        <w:t>• BlackRock: Delivered ETF and Close post-trade analytics and research materials on close market structure, achieving commission growth from C$5.8M (2022) → C$12.1M (2025 annualised).</w:t>
      </w:r>
      <w:r w:rsidRPr="000B2B89">
        <w:br/>
        <w:t xml:space="preserve">• Broader Enhancements: Integrated ELP liquidity into algos (savings: C$900K annually), migrated market data vendors from </w:t>
      </w:r>
      <w:proofErr w:type="spellStart"/>
      <w:r w:rsidRPr="000B2B89">
        <w:t>Quanthouse</w:t>
      </w:r>
      <w:proofErr w:type="spellEnd"/>
      <w:r w:rsidRPr="000B2B89">
        <w:t xml:space="preserve"> to </w:t>
      </w:r>
      <w:proofErr w:type="spellStart"/>
      <w:r w:rsidRPr="000B2B89">
        <w:t>Exegy</w:t>
      </w:r>
      <w:proofErr w:type="spellEnd"/>
      <w:r w:rsidRPr="000B2B89">
        <w:t xml:space="preserve"> (savings: C$1.4M), and transitioned from Continuous Wave to Core Controller (savings: C$410K).</w:t>
      </w:r>
    </w:p>
    <w:p w14:paraId="2C927386" w14:textId="77777777" w:rsidR="000B2B89" w:rsidRPr="000B2B89" w:rsidRDefault="000B2B89" w:rsidP="000B2B89">
      <w:r w:rsidRPr="000B2B89">
        <w:rPr>
          <w:b/>
          <w:bCs/>
        </w:rPr>
        <w:t>Strategic Impact:</w:t>
      </w:r>
      <w:r w:rsidRPr="000B2B89">
        <w:t xml:space="preserve"> Consistently delivered measurable financial performance by leading platform upgrades, expanding into new markets, and aligning analytics innovation with RBC’s strategic growth and client retention objectives.</w:t>
      </w:r>
    </w:p>
    <w:p w14:paraId="0966AF3A" w14:textId="77777777" w:rsidR="000B2B89" w:rsidRPr="000B2B89" w:rsidRDefault="000B2B89" w:rsidP="000B2B89">
      <w:r w:rsidRPr="000B2B89">
        <w:pict w14:anchorId="1FFC1B8A">
          <v:rect id="_x0000_i1187" style="width:0;height:1.5pt" o:hralign="center" o:hrstd="t" o:hr="t" fillcolor="#a0a0a0" stroked="f"/>
        </w:pict>
      </w:r>
    </w:p>
    <w:p w14:paraId="435D0BDA" w14:textId="77777777" w:rsidR="000B2B89" w:rsidRPr="000B2B89" w:rsidRDefault="000B2B89" w:rsidP="000B2B89">
      <w:pPr>
        <w:rPr>
          <w:b/>
          <w:bCs/>
        </w:rPr>
      </w:pPr>
      <w:r w:rsidRPr="000B2B89">
        <w:rPr>
          <w:b/>
          <w:bCs/>
        </w:rPr>
        <w:t>2. Delivers Client/Stakeholder Satisfaction &amp; Loyalty</w:t>
      </w:r>
    </w:p>
    <w:p w14:paraId="639C847B" w14:textId="77777777" w:rsidR="000B2B89" w:rsidRPr="000B2B89" w:rsidRDefault="000B2B89" w:rsidP="000B2B89">
      <w:r w:rsidRPr="000B2B89">
        <w:rPr>
          <w:b/>
          <w:bCs/>
        </w:rPr>
        <w:t>Client-Facing Analytics via MATA Platform</w:t>
      </w:r>
      <w:r w:rsidRPr="000B2B89">
        <w:br/>
        <w:t>• Worked closely with the MATA team to integrate Equities and FX pre-trade, and FX in-trade analytics capabilities from Continuum into MATA.</w:t>
      </w:r>
      <w:r w:rsidRPr="000B2B89">
        <w:br/>
      </w:r>
      <w:r w:rsidRPr="000B2B89">
        <w:t> </w:t>
      </w:r>
      <w:r w:rsidRPr="000B2B89">
        <w:t>o Held regular meetings to ensure features were clearly explained, documented, and fully tested before release to clients.</w:t>
      </w:r>
      <w:r w:rsidRPr="000B2B89">
        <w:br/>
        <w:t>• Anticipated client demand for transparency, ensuring tools were intuitive, actionable, and aligned with client workflows.</w:t>
      </w:r>
    </w:p>
    <w:p w14:paraId="06935E2B" w14:textId="77777777" w:rsidR="000B2B89" w:rsidRPr="000B2B89" w:rsidRDefault="000B2B89" w:rsidP="000B2B89">
      <w:r w:rsidRPr="000B2B89">
        <w:rPr>
          <w:b/>
          <w:bCs/>
        </w:rPr>
        <w:t>Cross-Product Collaboration</w:t>
      </w:r>
      <w:r w:rsidRPr="000B2B89">
        <w:br/>
        <w:t xml:space="preserve">• Arranged reviews with QST, Execution Management, and Algo Research to evaluate </w:t>
      </w:r>
      <w:r w:rsidRPr="000B2B89">
        <w:rPr>
          <w:b/>
          <w:bCs/>
        </w:rPr>
        <w:t>platform-wide</w:t>
      </w:r>
      <w:r w:rsidRPr="000B2B89">
        <w:t xml:space="preserve"> performance and drive targeted improvements:</w:t>
      </w:r>
      <w:r w:rsidRPr="000B2B89">
        <w:br/>
      </w:r>
      <w:r w:rsidRPr="000B2B89">
        <w:t> </w:t>
      </w:r>
      <w:r w:rsidRPr="000B2B89">
        <w:t>o Dark pool routing studies.</w:t>
      </w:r>
      <w:r w:rsidRPr="000B2B89">
        <w:br/>
      </w:r>
      <w:r w:rsidRPr="000B2B89">
        <w:t> </w:t>
      </w:r>
      <w:r w:rsidRPr="000B2B89">
        <w:t>o ELP routing analysis.</w:t>
      </w:r>
      <w:r w:rsidRPr="000B2B89">
        <w:br/>
      </w:r>
      <w:r w:rsidRPr="000B2B89">
        <w:t> </w:t>
      </w:r>
      <w:r w:rsidRPr="000B2B89">
        <w:t>o SOR performance optimisation.</w:t>
      </w:r>
      <w:r w:rsidRPr="000B2B89">
        <w:br/>
      </w:r>
      <w:r w:rsidRPr="000B2B89">
        <w:t> </w:t>
      </w:r>
      <w:r w:rsidRPr="000B2B89">
        <w:t>o Latency synchronisation improvements.</w:t>
      </w:r>
      <w:r w:rsidRPr="000B2B89">
        <w:br/>
      </w:r>
      <w:r w:rsidRPr="000B2B89">
        <w:t> </w:t>
      </w:r>
      <w:r w:rsidRPr="000B2B89">
        <w:t>o A/B experimentation framework.</w:t>
      </w:r>
      <w:r w:rsidRPr="000B2B89">
        <w:br/>
        <w:t>• Changes led to measurable execution quality improvements for high-value clients.</w:t>
      </w:r>
    </w:p>
    <w:p w14:paraId="5E905848" w14:textId="77777777" w:rsidR="000B2B89" w:rsidRPr="000B2B89" w:rsidRDefault="000B2B89" w:rsidP="000B2B89">
      <w:r w:rsidRPr="000B2B89">
        <w:rPr>
          <w:b/>
          <w:bCs/>
        </w:rPr>
        <w:t>Cross-Business Collaboration</w:t>
      </w:r>
      <w:r w:rsidRPr="000B2B89">
        <w:br/>
        <w:t>• Bridged electronic and manual execution strategies, enabling high-touch and PT desks to deliver richer, data-backed insights.</w:t>
      </w:r>
      <w:r w:rsidRPr="000B2B89">
        <w:br/>
        <w:t>• Integrated PT analytics into Continuum and GPX optimiser for advanced risk management.</w:t>
      </w:r>
      <w:r w:rsidRPr="000B2B89">
        <w:br/>
        <w:t>• Developed custom close analytics demonstrating minimal market impact, supporting high-touch client execution.</w:t>
      </w:r>
      <w:r w:rsidRPr="000B2B89">
        <w:br/>
        <w:t>• Created a PT IOI tracking report in Europe, enabling efficient crosses with the Cash Desk and improving match rates.</w:t>
      </w:r>
    </w:p>
    <w:p w14:paraId="6297B8FE" w14:textId="77777777" w:rsidR="000B2B89" w:rsidRPr="000B2B89" w:rsidRDefault="000B2B89" w:rsidP="000B2B89">
      <w:r w:rsidRPr="000B2B89">
        <w:rPr>
          <w:b/>
          <w:bCs/>
        </w:rPr>
        <w:lastRenderedPageBreak/>
        <w:t>Strategic Impact:</w:t>
      </w:r>
      <w:r w:rsidRPr="000B2B89">
        <w:t xml:space="preserve"> Proactively anticipated and addressed client needs, strengthened long-term partnerships, and delivered solutions that improved both execution quality and client loyalty.</w:t>
      </w:r>
    </w:p>
    <w:p w14:paraId="71A0C542" w14:textId="77777777" w:rsidR="000B2B89" w:rsidRPr="000B2B89" w:rsidRDefault="000B2B89" w:rsidP="000B2B89">
      <w:r w:rsidRPr="000B2B89">
        <w:pict w14:anchorId="25B930FC">
          <v:rect id="_x0000_i1188" style="width:0;height:1.5pt" o:hralign="center" o:hrstd="t" o:hr="t" fillcolor="#a0a0a0" stroked="f"/>
        </w:pict>
      </w:r>
    </w:p>
    <w:p w14:paraId="3FBC5EC7" w14:textId="77777777" w:rsidR="000B2B89" w:rsidRPr="000B2B89" w:rsidRDefault="000B2B89" w:rsidP="000B2B89">
      <w:pPr>
        <w:rPr>
          <w:b/>
          <w:bCs/>
        </w:rPr>
      </w:pPr>
      <w:r w:rsidRPr="000B2B89">
        <w:rPr>
          <w:b/>
          <w:bCs/>
        </w:rPr>
        <w:t xml:space="preserve">3. Engages Employees, </w:t>
      </w:r>
      <w:proofErr w:type="gramStart"/>
      <w:r w:rsidRPr="000B2B89">
        <w:rPr>
          <w:b/>
          <w:bCs/>
        </w:rPr>
        <w:t>Maintains</w:t>
      </w:r>
      <w:proofErr w:type="gramEnd"/>
      <w:r w:rsidRPr="000B2B89">
        <w:rPr>
          <w:b/>
          <w:bCs/>
        </w:rPr>
        <w:t xml:space="preserve"> our Brand, and Makes an Impact in the Community</w:t>
      </w:r>
    </w:p>
    <w:p w14:paraId="388CBE0D" w14:textId="77777777" w:rsidR="000B2B89" w:rsidRPr="000B2B89" w:rsidRDefault="000B2B89" w:rsidP="000B2B89">
      <w:r w:rsidRPr="000B2B89">
        <w:rPr>
          <w:b/>
          <w:bCs/>
        </w:rPr>
        <w:t>Team Leadership &amp; Development</w:t>
      </w:r>
      <w:r w:rsidRPr="000B2B89">
        <w:br/>
        <w:t xml:space="preserve">• Possesses strong expertise in European market structure, algo product development, and advanced technical skills in </w:t>
      </w:r>
      <w:proofErr w:type="spellStart"/>
      <w:r w:rsidRPr="000B2B89">
        <w:t>kdb</w:t>
      </w:r>
      <w:proofErr w:type="spellEnd"/>
      <w:r w:rsidRPr="000B2B89">
        <w:t>/q.</w:t>
      </w:r>
      <w:r w:rsidRPr="000B2B89">
        <w:br/>
        <w:t>• Manages two global analytics team members, setting priorities aligned with RBC’s strategic objectives and ensuring delivery quality.</w:t>
      </w:r>
      <w:r w:rsidRPr="000B2B89">
        <w:br/>
        <w:t>• Mentors interns and graduates through complex analytics projects, linking technical skills to commercial outcomes.</w:t>
      </w:r>
      <w:r w:rsidRPr="000B2B89">
        <w:br/>
        <w:t>• Several mentees have secured permanent roles and now lead impactful analytics initiatives supporting client growth.</w:t>
      </w:r>
      <w:r w:rsidRPr="000B2B89">
        <w:br/>
        <w:t>• Ensures other groups within MAAS are proficient in data retrieval and analysis, enabling them to be self-sufficient and contribute effectively to the platform.</w:t>
      </w:r>
    </w:p>
    <w:p w14:paraId="0A63D6B0" w14:textId="77777777" w:rsidR="000B2B89" w:rsidRPr="000B2B89" w:rsidRDefault="000B2B89" w:rsidP="000B2B89">
      <w:r w:rsidRPr="000B2B89">
        <w:rPr>
          <w:b/>
          <w:bCs/>
        </w:rPr>
        <w:t>Community Engagement &amp; Inclusion</w:t>
      </w:r>
      <w:r w:rsidRPr="000B2B89">
        <w:br/>
        <w:t>• Active member of iCare and MOSAIC employee resource groups in Europe.</w:t>
      </w:r>
      <w:r w:rsidRPr="000B2B89">
        <w:br/>
        <w:t>• Charity Involvement:</w:t>
      </w:r>
      <w:r w:rsidRPr="000B2B89">
        <w:br/>
      </w:r>
      <w:r w:rsidRPr="000B2B89">
        <w:t> </w:t>
      </w:r>
      <w:r w:rsidRPr="000B2B89">
        <w:t>o Regular participant in British Heart Foundation’s London-to-Brighton ride.</w:t>
      </w:r>
      <w:r w:rsidRPr="000B2B89">
        <w:br/>
      </w:r>
      <w:r w:rsidRPr="000B2B89">
        <w:t> </w:t>
      </w:r>
      <w:r w:rsidRPr="000B2B89">
        <w:t>o Participant in RBC Race for the Kids.</w:t>
      </w:r>
      <w:r w:rsidRPr="000B2B89">
        <w:br/>
      </w:r>
      <w:r w:rsidRPr="000B2B89">
        <w:t> </w:t>
      </w:r>
      <w:r w:rsidRPr="000B2B89">
        <w:t>o Organised a charity workshop for Ada National College, delivering an equity data analysis curriculum and trading game.</w:t>
      </w:r>
      <w:r w:rsidRPr="000B2B89">
        <w:br/>
      </w:r>
      <w:r w:rsidRPr="000B2B89">
        <w:t> </w:t>
      </w:r>
      <w:r w:rsidRPr="000B2B89">
        <w:t>o Provides ongoing one-to-one mentorship to students.</w:t>
      </w:r>
      <w:r w:rsidRPr="000B2B89">
        <w:br/>
        <w:t>• Diversity &amp; Inclusion Advocacy: Recognises and promotes contributions of colleagues from varied backgrounds, ensuring visibility to leadership.</w:t>
      </w:r>
    </w:p>
    <w:p w14:paraId="332FC8DF" w14:textId="77777777" w:rsidR="000B2B89" w:rsidRPr="000B2B89" w:rsidRDefault="000B2B89" w:rsidP="000B2B89">
      <w:r w:rsidRPr="000B2B89">
        <w:rPr>
          <w:b/>
          <w:bCs/>
        </w:rPr>
        <w:t>Governance &amp; Controls</w:t>
      </w:r>
      <w:r w:rsidRPr="000B2B89">
        <w:br/>
        <w:t>• Collaborates closely with supervision and compliance teams to monitor platform and client performance.</w:t>
      </w:r>
      <w:r w:rsidRPr="000B2B89">
        <w:br/>
        <w:t>• Supports audit data requirements, ensuring RBC’s full compliance with regulatory frameworks.</w:t>
      </w:r>
    </w:p>
    <w:p w14:paraId="4B39EFEC" w14:textId="77777777" w:rsidR="000B2B89" w:rsidRPr="000B2B89" w:rsidRDefault="000B2B89" w:rsidP="000B2B89">
      <w:r w:rsidRPr="000B2B89">
        <w:rPr>
          <w:b/>
          <w:bCs/>
        </w:rPr>
        <w:t>Strategic Impact:</w:t>
      </w:r>
      <w:r w:rsidRPr="000B2B89">
        <w:t xml:space="preserve"> Strengthened RBC’s talent pipeline, upheld the firm’s reputation through community and D&amp;I initiatives, and maintained rigorous governance standards to protect clients and the brand.</w:t>
      </w:r>
    </w:p>
    <w:p w14:paraId="3F9E32F6" w14:textId="77777777" w:rsidR="00631893" w:rsidRPr="000B2B89" w:rsidRDefault="00631893" w:rsidP="000B2B89"/>
    <w:sectPr w:rsidR="00631893" w:rsidRPr="000B2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66271"/>
    <w:multiLevelType w:val="multilevel"/>
    <w:tmpl w:val="ACD4A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64898"/>
    <w:multiLevelType w:val="multilevel"/>
    <w:tmpl w:val="66F06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E4C3F"/>
    <w:multiLevelType w:val="multilevel"/>
    <w:tmpl w:val="8E025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777630"/>
    <w:multiLevelType w:val="multilevel"/>
    <w:tmpl w:val="BF46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A5735"/>
    <w:multiLevelType w:val="multilevel"/>
    <w:tmpl w:val="A718D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371AF4"/>
    <w:multiLevelType w:val="multilevel"/>
    <w:tmpl w:val="8DA6C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1C552B"/>
    <w:multiLevelType w:val="multilevel"/>
    <w:tmpl w:val="5886A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3A77A4"/>
    <w:multiLevelType w:val="multilevel"/>
    <w:tmpl w:val="3CDE9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7A5EC7"/>
    <w:multiLevelType w:val="multilevel"/>
    <w:tmpl w:val="8108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B11056"/>
    <w:multiLevelType w:val="multilevel"/>
    <w:tmpl w:val="C71A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2459BE"/>
    <w:multiLevelType w:val="multilevel"/>
    <w:tmpl w:val="36CC8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590032"/>
    <w:multiLevelType w:val="multilevel"/>
    <w:tmpl w:val="5A7CA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E20F6D"/>
    <w:multiLevelType w:val="multilevel"/>
    <w:tmpl w:val="12A6B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772109"/>
    <w:multiLevelType w:val="multilevel"/>
    <w:tmpl w:val="FFCE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1F4C79"/>
    <w:multiLevelType w:val="multilevel"/>
    <w:tmpl w:val="E12E5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FA458C"/>
    <w:multiLevelType w:val="multilevel"/>
    <w:tmpl w:val="85DCB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BB712E"/>
    <w:multiLevelType w:val="multilevel"/>
    <w:tmpl w:val="843EA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4B6EB2"/>
    <w:multiLevelType w:val="multilevel"/>
    <w:tmpl w:val="C5F6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4C6AD0"/>
    <w:multiLevelType w:val="multilevel"/>
    <w:tmpl w:val="DF463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DE36F7"/>
    <w:multiLevelType w:val="multilevel"/>
    <w:tmpl w:val="BA3AF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DC3C55"/>
    <w:multiLevelType w:val="multilevel"/>
    <w:tmpl w:val="B7586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456478"/>
    <w:multiLevelType w:val="multilevel"/>
    <w:tmpl w:val="1DA83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237FAC"/>
    <w:multiLevelType w:val="multilevel"/>
    <w:tmpl w:val="7EFE5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33528A"/>
    <w:multiLevelType w:val="multilevel"/>
    <w:tmpl w:val="6372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DA52D7"/>
    <w:multiLevelType w:val="multilevel"/>
    <w:tmpl w:val="A3523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0E1812"/>
    <w:multiLevelType w:val="multilevel"/>
    <w:tmpl w:val="53E27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AD61F0"/>
    <w:multiLevelType w:val="multilevel"/>
    <w:tmpl w:val="E878F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C92A09"/>
    <w:multiLevelType w:val="multilevel"/>
    <w:tmpl w:val="CF30F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6A400C"/>
    <w:multiLevelType w:val="multilevel"/>
    <w:tmpl w:val="9B86C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DD1F05"/>
    <w:multiLevelType w:val="multilevel"/>
    <w:tmpl w:val="8D429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A55B27"/>
    <w:multiLevelType w:val="multilevel"/>
    <w:tmpl w:val="3B22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EB4168"/>
    <w:multiLevelType w:val="multilevel"/>
    <w:tmpl w:val="F5CA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4816D9"/>
    <w:multiLevelType w:val="multilevel"/>
    <w:tmpl w:val="7F962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C15440"/>
    <w:multiLevelType w:val="multilevel"/>
    <w:tmpl w:val="E23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327A0D"/>
    <w:multiLevelType w:val="multilevel"/>
    <w:tmpl w:val="18C22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570A25"/>
    <w:multiLevelType w:val="multilevel"/>
    <w:tmpl w:val="B9B4D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3022F6"/>
    <w:multiLevelType w:val="multilevel"/>
    <w:tmpl w:val="FEC4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9597927">
    <w:abstractNumId w:val="36"/>
  </w:num>
  <w:num w:numId="2" w16cid:durableId="2042432179">
    <w:abstractNumId w:val="35"/>
  </w:num>
  <w:num w:numId="3" w16cid:durableId="773331028">
    <w:abstractNumId w:val="12"/>
  </w:num>
  <w:num w:numId="4" w16cid:durableId="1495802604">
    <w:abstractNumId w:val="34"/>
  </w:num>
  <w:num w:numId="5" w16cid:durableId="1275747271">
    <w:abstractNumId w:val="28"/>
  </w:num>
  <w:num w:numId="6" w16cid:durableId="1521434227">
    <w:abstractNumId w:val="13"/>
  </w:num>
  <w:num w:numId="7" w16cid:durableId="1396466470">
    <w:abstractNumId w:val="2"/>
  </w:num>
  <w:num w:numId="8" w16cid:durableId="1877548404">
    <w:abstractNumId w:val="27"/>
  </w:num>
  <w:num w:numId="9" w16cid:durableId="1387485776">
    <w:abstractNumId w:val="8"/>
  </w:num>
  <w:num w:numId="10" w16cid:durableId="1768234238">
    <w:abstractNumId w:val="29"/>
  </w:num>
  <w:num w:numId="11" w16cid:durableId="923412405">
    <w:abstractNumId w:val="25"/>
  </w:num>
  <w:num w:numId="12" w16cid:durableId="661664773">
    <w:abstractNumId w:val="24"/>
  </w:num>
  <w:num w:numId="13" w16cid:durableId="1956519645">
    <w:abstractNumId w:val="20"/>
  </w:num>
  <w:num w:numId="14" w16cid:durableId="2143888430">
    <w:abstractNumId w:val="16"/>
  </w:num>
  <w:num w:numId="15" w16cid:durableId="1474059293">
    <w:abstractNumId w:val="10"/>
  </w:num>
  <w:num w:numId="16" w16cid:durableId="273636979">
    <w:abstractNumId w:val="0"/>
  </w:num>
  <w:num w:numId="17" w16cid:durableId="577404650">
    <w:abstractNumId w:val="11"/>
  </w:num>
  <w:num w:numId="18" w16cid:durableId="22829474">
    <w:abstractNumId w:val="7"/>
  </w:num>
  <w:num w:numId="19" w16cid:durableId="2063364135">
    <w:abstractNumId w:val="32"/>
  </w:num>
  <w:num w:numId="20" w16cid:durableId="42102569">
    <w:abstractNumId w:val="23"/>
  </w:num>
  <w:num w:numId="21" w16cid:durableId="676926763">
    <w:abstractNumId w:val="21"/>
  </w:num>
  <w:num w:numId="22" w16cid:durableId="233197621">
    <w:abstractNumId w:val="14"/>
  </w:num>
  <w:num w:numId="23" w16cid:durableId="588853999">
    <w:abstractNumId w:val="19"/>
  </w:num>
  <w:num w:numId="24" w16cid:durableId="1593052980">
    <w:abstractNumId w:val="15"/>
  </w:num>
  <w:num w:numId="25" w16cid:durableId="909925507">
    <w:abstractNumId w:val="5"/>
  </w:num>
  <w:num w:numId="26" w16cid:durableId="149710728">
    <w:abstractNumId w:val="26"/>
  </w:num>
  <w:num w:numId="27" w16cid:durableId="508718624">
    <w:abstractNumId w:val="1"/>
  </w:num>
  <w:num w:numId="28" w16cid:durableId="1948153657">
    <w:abstractNumId w:val="9"/>
  </w:num>
  <w:num w:numId="29" w16cid:durableId="49816398">
    <w:abstractNumId w:val="4"/>
  </w:num>
  <w:num w:numId="30" w16cid:durableId="1273827087">
    <w:abstractNumId w:val="3"/>
  </w:num>
  <w:num w:numId="31" w16cid:durableId="66804651">
    <w:abstractNumId w:val="22"/>
  </w:num>
  <w:num w:numId="32" w16cid:durableId="799760896">
    <w:abstractNumId w:val="30"/>
  </w:num>
  <w:num w:numId="33" w16cid:durableId="1373307893">
    <w:abstractNumId w:val="31"/>
  </w:num>
  <w:num w:numId="34" w16cid:durableId="226191412">
    <w:abstractNumId w:val="33"/>
  </w:num>
  <w:num w:numId="35" w16cid:durableId="502283058">
    <w:abstractNumId w:val="18"/>
  </w:num>
  <w:num w:numId="36" w16cid:durableId="993339669">
    <w:abstractNumId w:val="6"/>
  </w:num>
  <w:num w:numId="37" w16cid:durableId="5270689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1F3"/>
    <w:rsid w:val="00054774"/>
    <w:rsid w:val="000B2B89"/>
    <w:rsid w:val="003E0983"/>
    <w:rsid w:val="004A1D69"/>
    <w:rsid w:val="005400F4"/>
    <w:rsid w:val="005A61F3"/>
    <w:rsid w:val="005B6B3D"/>
    <w:rsid w:val="00631893"/>
    <w:rsid w:val="009637A6"/>
    <w:rsid w:val="00E6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B9A22"/>
  <w15:chartTrackingRefBased/>
  <w15:docId w15:val="{874EC31A-C810-4DC8-9237-97EF5EBF2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1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1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1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1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1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1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1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1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1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1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1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1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1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1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1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1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1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1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1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1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1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1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1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1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1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1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1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1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1135</Words>
  <Characters>6474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 Pradhan</dc:creator>
  <cp:keywords/>
  <dc:description/>
  <cp:lastModifiedBy>Aashish Pradhan</cp:lastModifiedBy>
  <cp:revision>2</cp:revision>
  <dcterms:created xsi:type="dcterms:W3CDTF">2025-08-10T20:34:00Z</dcterms:created>
  <dcterms:modified xsi:type="dcterms:W3CDTF">2025-08-10T22:34:00Z</dcterms:modified>
</cp:coreProperties>
</file>