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Mining II — D212</w:t>
      </w:r>
    </w:p>
    <w:p>
      <w:pPr>
        <w:pStyle w:val="Title"/>
        <w:jc w:val="center"/>
      </w:pPr>
      <w:r>
        <w:t>Task 2: Principal Component Analysis (PCA)</w:t>
      </w:r>
    </w:p>
    <w:p>
      <w:pPr>
        <w:jc w:val="center"/>
      </w:pPr>
      <w:r>
        <w:t>by</w:t>
      </w:r>
    </w:p>
    <w:p>
      <w:r>
        <w:t>Prateep Kul</w:t>
      </w:r>
    </w:p>
    <w:p>
      <w:pPr>
        <w:jc w:val="center"/>
      </w:pPr>
      <w:r>
        <w:t>January 07, 2025</w:t>
      </w:r>
    </w:p>
    <w:p>
      <w:r>
        <w:br w:type="page"/>
      </w:r>
    </w:p>
    <w:p>
      <w:pPr>
        <w:pStyle w:val="Heading1"/>
      </w:pPr>
      <w:r>
        <w:t>Table of Contents</w:t>
      </w:r>
    </w:p>
    <w:p>
      <w:pPr>
        <w:pStyle w:val="ListNumber"/>
      </w:pPr>
      <w:r>
        <w:t>Part I: Research Question</w:t>
      </w:r>
    </w:p>
    <w:p>
      <w:pPr>
        <w:pStyle w:val="ListNumber"/>
      </w:pPr>
      <w:r>
        <w:t>Part II: Method Justification</w:t>
      </w:r>
    </w:p>
    <w:p>
      <w:pPr>
        <w:pStyle w:val="ListNumber"/>
      </w:pPr>
      <w:r>
        <w:t>Part III: Data Preparation</w:t>
      </w:r>
    </w:p>
    <w:p>
      <w:pPr>
        <w:pStyle w:val="ListNumber"/>
      </w:pPr>
      <w:r>
        <w:t>Part IV: Analysis</w:t>
      </w:r>
    </w:p>
    <w:p>
      <w:pPr>
        <w:pStyle w:val="ListNumber"/>
      </w:pPr>
      <w:r>
        <w:t>Webguide</w:t>
      </w:r>
    </w:p>
    <w:p>
      <w:pPr>
        <w:pStyle w:val="ListNumber"/>
      </w:pPr>
      <w:r>
        <w:t>References</w:t>
      </w:r>
    </w:p>
    <w:p>
      <w:r>
        <w:br w:type="page"/>
      </w:r>
    </w:p>
    <w:p>
      <w:pPr>
        <w:pStyle w:val="Heading1"/>
      </w:pPr>
      <w:r>
        <w:t>Part I: Research Question</w:t>
      </w:r>
    </w:p>
    <w:p>
      <w:r>
        <w:t>The research question focuses on understanding the factors contributing to overweight patients, significantly impacting cost-effective treatment plans through PCA. This analysis utilizes a dataset containing demographic, medical, and hospital service information from 10,000 patients. PCA will help identify key patterns and correlations among the features. (Pedregosa et al., 2011).</w:t>
      </w:r>
    </w:p>
    <w:p>
      <w:r>
        <w:br w:type="page"/>
      </w:r>
    </w:p>
    <w:p>
      <w:pPr>
        <w:pStyle w:val="Heading1"/>
      </w:pPr>
      <w:r>
        <w:t>Part II: Method Justification</w:t>
      </w:r>
    </w:p>
    <w:p>
      <w:r>
        <w:t>Principal Component Analysis (PCA) was selected for this analysis due to its ability to reduce dimensionality while retaining essential information. By transforming features into uncorrelated principal components, PCA improves interpretability, mitigates multicollinearity, and enhances computational efficiency (Waskom, 2017).</w:t>
      </w:r>
    </w:p>
    <w:p>
      <w:r>
        <w:br w:type="page"/>
      </w:r>
    </w:p>
    <w:p>
      <w:pPr>
        <w:pStyle w:val="Heading1"/>
      </w:pPr>
      <w:r>
        <w:t>Part III: Data Preparation</w:t>
      </w:r>
    </w:p>
    <w:p>
      <w:pPr>
        <w:pStyle w:val="Heading2"/>
      </w:pPr>
      <w:r>
        <w:t>1. Continuous Variables for PCA Analysis</w:t>
      </w:r>
    </w:p>
    <w:p>
      <w:r>
        <w:t>To address the research question regarding factors contributing to overweight patients, the following continuous variables were selected for PCA analysis. These variables were chosen to capture relevant aspects of patient demographics, dietary habits, and medical history:</w:t>
      </w:r>
    </w:p>
    <w:p>
      <w:r>
        <w:t>1. Age (Continuous): Represents the patient's age in years.</w:t>
        <w:br/>
        <w:t>2. Income (Continuous): Annual income of the patient in USD.</w:t>
        <w:br/>
        <w:t>3. Full Meals Eaten per Day (Continuous): The average number of full meals consumed daily.</w:t>
        <w:br/>
        <w:t>4. Soft Drink Consumption (Continuous): The average number of soft drinks consumed per day.</w:t>
        <w:br/>
        <w:t>5. Vitamin D Levels (VitD_levels) (Continuous): The patient's blood vitamin D concentration in ng/mL.</w:t>
        <w:br/>
        <w:t>6. Doctor Visits (Doc_visits) (Continuous): Number of medical visits in the past year.</w:t>
      </w:r>
    </w:p>
    <w:p>
      <w:r>
        <w:t>These variables were confirmed as continuous measures through detailed inspection of the dataset and the configuration code. Their inclusion aligns with the goal of understanding patterns related to overweight status, a critical factor in cost-effective treatment planning.</w:t>
      </w:r>
    </w:p>
    <w:p>
      <w:pPr>
        <w:pStyle w:val="Heading2"/>
      </w:pPr>
      <w:r>
        <w:t>2. Steps for Data Preparation</w:t>
      </w:r>
    </w:p>
    <w:p>
      <w:r>
        <w:t>To ensure the data was ready for PCA analysis, the following data cleaning and preparation steps were implemented:</w:t>
      </w:r>
    </w:p>
    <w:p>
      <w:r>
        <w:t>1. General Cleaning Steps:</w:t>
        <w:br/>
        <w:t>- Handling Missing Values: Missing values in the dataset were imputed using the mean for continuous variables.</w:t>
        <w:br/>
        <w:t>- Outlier Treatment: Outliers were capped within 1.5 times the interquartile range (IQR) to reduce their impact on PCA results.</w:t>
        <w:br/>
        <w:t>- Data Type Verification: The data types for all selected variables were verified to confirm they were continuous measures.</w:t>
        <w:br/>
      </w:r>
    </w:p>
    <w:p>
      <w:r>
        <w:t>2. Specific Preparation for PCA Analysis:</w:t>
        <w:br/>
        <w:t>- Standardization: Continuous variables were standardized to have a mean of 0 and a standard deviation of 1. This step ensures that all variables contribute equally to the PCA model, avoiding bias caused by scale differences.</w:t>
        <w:br/>
        <w:t>- Validation of Continuous Variables: Only the variables explicitly needed for the PCA analysis of overweight status were retained. This careful selection minimizes noise and focuses the analysis on relevant patterns.</w:t>
      </w:r>
    </w:p>
    <w:p>
      <w:pPr>
        <w:pStyle w:val="Heading2"/>
      </w:pPr>
      <w:r>
        <w:t>3. Visualization of Standardization</w:t>
      </w:r>
    </w:p>
    <w:p>
      <w:r>
        <w:t>The figures below demonstrate the distribution of features before and after standardization, emphasizing the importance of this preprocessing step:</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original_distribution.png"/>
                    <pic:cNvPicPr/>
                  </pic:nvPicPr>
                  <pic:blipFill>
                    <a:blip r:embed="rId9"/>
                    <a:stretch>
                      <a:fillRect/>
                    </a:stretch>
                  </pic:blipFill>
                  <pic:spPr>
                    <a:xfrm>
                      <a:off x="0" y="0"/>
                      <a:ext cx="5029200" cy="2514600"/>
                    </a:xfrm>
                    <a:prstGeom prst="rect"/>
                  </pic:spPr>
                </pic:pic>
              </a:graphicData>
            </a:graphic>
          </wp:inline>
        </w:drawing>
      </w:r>
    </w:p>
    <w:p>
      <w:pPr>
        <w:jc w:val="center"/>
      </w:pPr>
      <w:r>
        <w:t>Figure 2: Distribution of Features (Before Standardization)</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standardized_distribution.png"/>
                    <pic:cNvPicPr/>
                  </pic:nvPicPr>
                  <pic:blipFill>
                    <a:blip r:embed="rId10"/>
                    <a:stretch>
                      <a:fillRect/>
                    </a:stretch>
                  </pic:blipFill>
                  <pic:spPr>
                    <a:xfrm>
                      <a:off x="0" y="0"/>
                      <a:ext cx="5029200" cy="2514600"/>
                    </a:xfrm>
                    <a:prstGeom prst="rect"/>
                  </pic:spPr>
                </pic:pic>
              </a:graphicData>
            </a:graphic>
          </wp:inline>
        </w:drawing>
      </w:r>
    </w:p>
    <w:p>
      <w:pPr>
        <w:jc w:val="center"/>
      </w:pPr>
      <w:r>
        <w:t>Figure 3: Distribution of Features (After Standardization)</w:t>
      </w:r>
    </w:p>
    <w:p>
      <w:r>
        <w:t>Figure 2 shows that the raw data for continuous variables displays varying scales and distributions, which can bias PCA results. For example, Income spans a much broader range than Age, leading to disproportionate influence in the analysis.</w:t>
        <w:br/>
        <w:t>Figure 3 shows that after standardization, all variables exhibit comparable distributions centered around a mean of 0 with a standard deviation of 1. This transformation ensures that PCA focuses on variance patterns rather than differences in scale, aligning with its mathematical foundation.</w:t>
      </w:r>
    </w:p>
    <w:p>
      <w:pPr>
        <w:pStyle w:val="Heading2"/>
      </w:pPr>
      <w:r>
        <w:t>4. Explained Variance by PCA Components</w:t>
      </w:r>
    </w:p>
    <w:p>
      <w:r>
        <w:t>Figure 4 illustrates the explained variance by each principal component, along with the cumulative variance across all components.</w:t>
      </w:r>
    </w:p>
    <w:p>
      <w:r>
        <w:t>- Individual Variance: The bar chart represents the proportion of variance captured by each individual principal component. For instance, the first principal component (PC1) captures 8.98% of the total variance, the highest among all components.</w:t>
        <w:br/>
        <w:t>- Cumulative Variance: The line graph shows how variance accumulates as additional components are included. The cumulative variance reaches 33.37% when the first five principal components are considered.</w:t>
      </w:r>
    </w:p>
    <w:p>
      <w:r>
        <w:t>This analysis is critical because:</w:t>
        <w:br/>
        <w:t>1. Feature Reduction: The figure shows that only a small subset of components (e.g., the first five) captures a significant portion of the variance, allowing dimensionality reduction without substantial information loss.</w:t>
        <w:br/>
        <w:t>2. Focus on Key Patterns: By retaining the components that explain the majority of the variance, we can focus on the most meaningful patterns in the data, simplifying the model and improving interpretability.</w:t>
        <w:br/>
        <w:t>3. Overweight Analysis Context: In the context of understanding overweight status, retaining these five components ensures that the underlying factors contributing to variance are preserved while discarding noise.</w:t>
      </w:r>
    </w:p>
    <w:p>
      <w:r>
        <w:drawing>
          <wp:inline xmlns:a="http://schemas.openxmlformats.org/drawingml/2006/main" xmlns:pic="http://schemas.openxmlformats.org/drawingml/2006/picture">
            <wp:extent cx="5029200" cy="3771900"/>
            <wp:docPr id="3" name="Picture 3"/>
            <wp:cNvGraphicFramePr>
              <a:graphicFrameLocks noChangeAspect="1"/>
            </wp:cNvGraphicFramePr>
            <a:graphic>
              <a:graphicData uri="http://schemas.openxmlformats.org/drawingml/2006/picture">
                <pic:pic>
                  <pic:nvPicPr>
                    <pic:cNvPr id="0" name="explained_variance.png"/>
                    <pic:cNvPicPr/>
                  </pic:nvPicPr>
                  <pic:blipFill>
                    <a:blip r:embed="rId11"/>
                    <a:stretch>
                      <a:fillRect/>
                    </a:stretch>
                  </pic:blipFill>
                  <pic:spPr>
                    <a:xfrm>
                      <a:off x="0" y="0"/>
                      <a:ext cx="5029200" cy="3771900"/>
                    </a:xfrm>
                    <a:prstGeom prst="rect"/>
                  </pic:spPr>
                </pic:pic>
              </a:graphicData>
            </a:graphic>
          </wp:inline>
        </w:drawing>
      </w:r>
    </w:p>
    <w:p>
      <w:pPr>
        <w:jc w:val="center"/>
      </w:pPr>
      <w:r>
        <w:t>Figure 4: Explained Variance by PCA Components</w:t>
      </w:r>
    </w:p>
    <w:p>
      <w:pPr>
        <w:pStyle w:val="Heading1"/>
      </w:pPr>
      <w:r>
        <w:t>Part IV: Analysis</w:t>
      </w:r>
    </w:p>
    <w:p>
      <w:r>
        <w:t>Principal Components Analysis (PCA) was performed to identify critical components that explain the variance in the dataset, focusing on overweight patients and their related variables.</w:t>
      </w:r>
    </w:p>
    <w:p>
      <w:pPr>
        <w:pStyle w:val="Heading2"/>
      </w:pPr>
      <w:r>
        <w:t>1. Matrix of Principal Components</w:t>
      </w:r>
    </w:p>
    <w:p>
      <w:r>
        <w:t>The principal component matrix highlights the relationships between original variables and their contributions to the PCA components. Each component emphasizes specific variables: for example, PC1 focuses on Age and Income, while PC2 emphasizes VitD_levels and Full_meals_eaten.</w:t>
      </w:r>
    </w:p>
    <w:p>
      <w:r>
        <w:drawing>
          <wp:inline xmlns:a="http://schemas.openxmlformats.org/drawingml/2006/main" xmlns:pic="http://schemas.openxmlformats.org/drawingml/2006/picture">
            <wp:extent cx="5029200" cy="4023360"/>
            <wp:docPr id="4" name="Picture 4"/>
            <wp:cNvGraphicFramePr>
              <a:graphicFrameLocks noChangeAspect="1"/>
            </wp:cNvGraphicFramePr>
            <a:graphic>
              <a:graphicData uri="http://schemas.openxmlformats.org/drawingml/2006/picture">
                <pic:pic>
                  <pic:nvPicPr>
                    <pic:cNvPr id="0" name="correlation_heatmap.png"/>
                    <pic:cNvPicPr/>
                  </pic:nvPicPr>
                  <pic:blipFill>
                    <a:blip r:embed="rId12"/>
                    <a:stretch>
                      <a:fillRect/>
                    </a:stretch>
                  </pic:blipFill>
                  <pic:spPr>
                    <a:xfrm>
                      <a:off x="0" y="0"/>
                      <a:ext cx="5029200" cy="4023360"/>
                    </a:xfrm>
                    <a:prstGeom prst="rect"/>
                  </pic:spPr>
                </pic:pic>
              </a:graphicData>
            </a:graphic>
          </wp:inline>
        </w:drawing>
      </w:r>
    </w:p>
    <w:p>
      <w:pPr>
        <w:jc w:val="center"/>
      </w:pPr>
      <w:r>
        <w:t>Figure 1: Correlation Heatmap</w:t>
      </w:r>
    </w:p>
    <w:p>
      <w:pPr>
        <w:pStyle w:val="Heading2"/>
      </w:pPr>
      <w:r>
        <w:t>2. Number of Principal Components Retained</w:t>
      </w:r>
    </w:p>
    <w:p>
      <w:r>
        <w:t>Using the elbow criterion, five principal components were retained as they captured significant variance  (Pedregosa et al., 2011).without overfitting the data.</w:t>
      </w:r>
    </w:p>
    <w:p>
      <w:r>
        <w:drawing>
          <wp:inline xmlns:a="http://schemas.openxmlformats.org/drawingml/2006/main" xmlns:pic="http://schemas.openxmlformats.org/drawingml/2006/picture">
            <wp:extent cx="5029200" cy="3771900"/>
            <wp:docPr id="5" name="Picture 5"/>
            <wp:cNvGraphicFramePr>
              <a:graphicFrameLocks noChangeAspect="1"/>
            </wp:cNvGraphicFramePr>
            <a:graphic>
              <a:graphicData uri="http://schemas.openxmlformats.org/drawingml/2006/picture">
                <pic:pic>
                  <pic:nvPicPr>
                    <pic:cNvPr id="0" name="scree_plot_with_elbow.png"/>
                    <pic:cNvPicPr/>
                  </pic:nvPicPr>
                  <pic:blipFill>
                    <a:blip r:embed="rId13"/>
                    <a:stretch>
                      <a:fillRect/>
                    </a:stretch>
                  </pic:blipFill>
                  <pic:spPr>
                    <a:xfrm>
                      <a:off x="0" y="0"/>
                      <a:ext cx="5029200" cy="3771900"/>
                    </a:xfrm>
                    <a:prstGeom prst="rect"/>
                  </pic:spPr>
                </pic:pic>
              </a:graphicData>
            </a:graphic>
          </wp:inline>
        </w:drawing>
      </w:r>
    </w:p>
    <w:p>
      <w:pPr>
        <w:jc w:val="center"/>
      </w:pPr>
      <w:r>
        <w:t>Figure 2: Scree Plot with Elbow Point</w:t>
      </w:r>
    </w:p>
    <w:p>
      <w:pPr>
        <w:pStyle w:val="Heading2"/>
      </w:pPr>
      <w:r>
        <w:t>3. Explained Variance by Components</w:t>
      </w:r>
    </w:p>
    <w:p>
      <w:r>
        <w:t>The table below shows the variance explained by each retained component. Together, these components capture 33.37% of the total variance.</w:t>
      </w:r>
    </w:p>
    <w:p>
      <w:pPr>
        <w:jc w:val="left"/>
      </w:pPr>
      <w:r>
        <w:rPr>
          <w:rFonts w:ascii="Courier New" w:hAnsi="Courier New"/>
          <w:sz w:val="20"/>
        </w:rPr>
        <w:br/>
        <w:t>PC1: 8.98% (Cumulative: 8.98%)</w:t>
        <w:br/>
        <w:t>PC2: 8.37% (Cumulative: 17.35%)</w:t>
        <w:br/>
        <w:t>PC3: 5.78% (Cumulative: 23.13%)</w:t>
        <w:br/>
        <w:t>PC4: 5.22% (Cumulative: 28.36%)</w:t>
        <w:br/>
        <w:t>PC5: 5.01% (Cumulative: 33.37%)</w:t>
        <w:br/>
      </w:r>
    </w:p>
    <w:p>
      <w:pPr>
        <w:pStyle w:val="Heading2"/>
      </w:pPr>
      <w:r>
        <w:t>4. Total Variance Captured</w:t>
      </w:r>
    </w:p>
    <w:p>
      <w:r>
        <w:t>The five retained components collectively account for 33.37% of the variance, effectively reducing dimensionality while preserving key information about overweight patients.</w:t>
      </w:r>
    </w:p>
    <w:p>
      <w:r>
        <w:drawing>
          <wp:inline xmlns:a="http://schemas.openxmlformats.org/drawingml/2006/main" xmlns:pic="http://schemas.openxmlformats.org/drawingml/2006/picture">
            <wp:extent cx="5029200" cy="3771900"/>
            <wp:docPr id="6" name="Picture 6"/>
            <wp:cNvGraphicFramePr>
              <a:graphicFrameLocks noChangeAspect="1"/>
            </wp:cNvGraphicFramePr>
            <a:graphic>
              <a:graphicData uri="http://schemas.openxmlformats.org/drawingml/2006/picture">
                <pic:pic>
                  <pic:nvPicPr>
                    <pic:cNvPr id="0" name="explained_variance.png"/>
                    <pic:cNvPicPr/>
                  </pic:nvPicPr>
                  <pic:blipFill>
                    <a:blip r:embed="rId11"/>
                    <a:stretch>
                      <a:fillRect/>
                    </a:stretch>
                  </pic:blipFill>
                  <pic:spPr>
                    <a:xfrm>
                      <a:off x="0" y="0"/>
                      <a:ext cx="5029200" cy="3771900"/>
                    </a:xfrm>
                    <a:prstGeom prst="rect"/>
                  </pic:spPr>
                </pic:pic>
              </a:graphicData>
            </a:graphic>
          </wp:inline>
        </w:drawing>
      </w:r>
    </w:p>
    <w:p>
      <w:pPr>
        <w:jc w:val="center"/>
      </w:pPr>
      <w:r>
        <w:t>Figure 3: Explained Variance and Cumulative Variance</w:t>
      </w:r>
    </w:p>
    <w:p>
      <w:pPr>
        <w:pStyle w:val="Heading2"/>
      </w:pPr>
      <w:r>
        <w:t>5. Summary of Results</w:t>
      </w:r>
    </w:p>
    <w:p>
      <w:r>
        <w:t>The PCA analysis successfully reduced the dataset's dimensionality to five principal components. Key findings include:</w:t>
        <w:br/>
        <w:t>- PC1: Strongly associated with Age and Income.</w:t>
        <w:br/>
        <w:t>- PC2: Highlights the importance of VitD_levels and Full_meals_eaten.</w:t>
        <w:br/>
        <w:t>- PC3–PC5: Capture additional variance, including Doc_visits and TotalCharge.</w:t>
        <w:br/>
        <w:br/>
        <w:t>These findings provide insights into the factors contributing to overweight patients, guiding cost-effective treatment plans.</w:t>
      </w:r>
    </w:p>
    <w:p>
      <w:pPr>
        <w:pStyle w:val="Heading1"/>
      </w:pPr>
      <w:r>
        <w:t>Supporting Visualizations</w:t>
      </w:r>
    </w:p>
    <w:p>
      <w:r>
        <w:drawing>
          <wp:inline xmlns:a="http://schemas.openxmlformats.org/drawingml/2006/main" xmlns:pic="http://schemas.openxmlformats.org/drawingml/2006/picture">
            <wp:extent cx="5029200" cy="3771900"/>
            <wp:docPr id="7" name="Picture 7"/>
            <wp:cNvGraphicFramePr>
              <a:graphicFrameLocks noChangeAspect="1"/>
            </wp:cNvGraphicFramePr>
            <a:graphic>
              <a:graphicData uri="http://schemas.openxmlformats.org/drawingml/2006/picture">
                <pic:pic>
                  <pic:nvPicPr>
                    <pic:cNvPr id="0" name="Age_distribution.png"/>
                    <pic:cNvPicPr/>
                  </pic:nvPicPr>
                  <pic:blipFill>
                    <a:blip r:embed="rId14"/>
                    <a:stretch>
                      <a:fillRect/>
                    </a:stretch>
                  </pic:blipFill>
                  <pic:spPr>
                    <a:xfrm>
                      <a:off x="0" y="0"/>
                      <a:ext cx="5029200" cy="3771900"/>
                    </a:xfrm>
                    <a:prstGeom prst="rect"/>
                  </pic:spPr>
                </pic:pic>
              </a:graphicData>
            </a:graphic>
          </wp:inline>
        </w:drawing>
      </w:r>
    </w:p>
    <w:p>
      <w:pPr>
        <w:jc w:val="center"/>
      </w:pPr>
      <w:r>
        <w:t>Figure 4: Distribution of Age</w:t>
      </w:r>
    </w:p>
    <w:p>
      <w:r>
        <w:drawing>
          <wp:inline xmlns:a="http://schemas.openxmlformats.org/drawingml/2006/main" xmlns:pic="http://schemas.openxmlformats.org/drawingml/2006/picture">
            <wp:extent cx="5029200" cy="3771900"/>
            <wp:docPr id="8" name="Picture 8"/>
            <wp:cNvGraphicFramePr>
              <a:graphicFrameLocks noChangeAspect="1"/>
            </wp:cNvGraphicFramePr>
            <a:graphic>
              <a:graphicData uri="http://schemas.openxmlformats.org/drawingml/2006/picture">
                <pic:pic>
                  <pic:nvPicPr>
                    <pic:cNvPr id="0" name="Income_distribution.png"/>
                    <pic:cNvPicPr/>
                  </pic:nvPicPr>
                  <pic:blipFill>
                    <a:blip r:embed="rId15"/>
                    <a:stretch>
                      <a:fillRect/>
                    </a:stretch>
                  </pic:blipFill>
                  <pic:spPr>
                    <a:xfrm>
                      <a:off x="0" y="0"/>
                      <a:ext cx="5029200" cy="3771900"/>
                    </a:xfrm>
                    <a:prstGeom prst="rect"/>
                  </pic:spPr>
                </pic:pic>
              </a:graphicData>
            </a:graphic>
          </wp:inline>
        </w:drawing>
      </w:r>
    </w:p>
    <w:p>
      <w:pPr>
        <w:jc w:val="center"/>
      </w:pPr>
      <w:r>
        <w:t>Figure 5: Distribution of Income</w:t>
      </w:r>
    </w:p>
    <w:p>
      <w:r>
        <w:drawing>
          <wp:inline xmlns:a="http://schemas.openxmlformats.org/drawingml/2006/main" xmlns:pic="http://schemas.openxmlformats.org/drawingml/2006/picture">
            <wp:extent cx="5029200" cy="3771900"/>
            <wp:docPr id="9" name="Picture 9"/>
            <wp:cNvGraphicFramePr>
              <a:graphicFrameLocks noChangeAspect="1"/>
            </wp:cNvGraphicFramePr>
            <a:graphic>
              <a:graphicData uri="http://schemas.openxmlformats.org/drawingml/2006/picture">
                <pic:pic>
                  <pic:nvPicPr>
                    <pic:cNvPr id="0" name="VitD_levels_distribution.png"/>
                    <pic:cNvPicPr/>
                  </pic:nvPicPr>
                  <pic:blipFill>
                    <a:blip r:embed="rId16"/>
                    <a:stretch>
                      <a:fillRect/>
                    </a:stretch>
                  </pic:blipFill>
                  <pic:spPr>
                    <a:xfrm>
                      <a:off x="0" y="0"/>
                      <a:ext cx="5029200" cy="3771900"/>
                    </a:xfrm>
                    <a:prstGeom prst="rect"/>
                  </pic:spPr>
                </pic:pic>
              </a:graphicData>
            </a:graphic>
          </wp:inline>
        </w:drawing>
      </w:r>
    </w:p>
    <w:p>
      <w:pPr>
        <w:jc w:val="center"/>
      </w:pPr>
      <w:r>
        <w:t>Figure 6: Distribution of VitD_levels</w:t>
      </w:r>
    </w:p>
    <w:p>
      <w:r>
        <w:drawing>
          <wp:inline xmlns:a="http://schemas.openxmlformats.org/drawingml/2006/main" xmlns:pic="http://schemas.openxmlformats.org/drawingml/2006/picture">
            <wp:extent cx="5029200" cy="3771900"/>
            <wp:docPr id="10" name="Picture 10"/>
            <wp:cNvGraphicFramePr>
              <a:graphicFrameLocks noChangeAspect="1"/>
            </wp:cNvGraphicFramePr>
            <a:graphic>
              <a:graphicData uri="http://schemas.openxmlformats.org/drawingml/2006/picture">
                <pic:pic>
                  <pic:nvPicPr>
                    <pic:cNvPr id="0" name="Doc_visits_distribution.png"/>
                    <pic:cNvPicPr/>
                  </pic:nvPicPr>
                  <pic:blipFill>
                    <a:blip r:embed="rId17"/>
                    <a:stretch>
                      <a:fillRect/>
                    </a:stretch>
                  </pic:blipFill>
                  <pic:spPr>
                    <a:xfrm>
                      <a:off x="0" y="0"/>
                      <a:ext cx="5029200" cy="3771900"/>
                    </a:xfrm>
                    <a:prstGeom prst="rect"/>
                  </pic:spPr>
                </pic:pic>
              </a:graphicData>
            </a:graphic>
          </wp:inline>
        </w:drawing>
      </w:r>
    </w:p>
    <w:p>
      <w:pPr>
        <w:jc w:val="center"/>
      </w:pPr>
      <w:r>
        <w:t>Figure 7: Distribution of Doc_visits</w:t>
      </w:r>
    </w:p>
    <w:p>
      <w:r>
        <w:drawing>
          <wp:inline xmlns:a="http://schemas.openxmlformats.org/drawingml/2006/main" xmlns:pic="http://schemas.openxmlformats.org/drawingml/2006/picture">
            <wp:extent cx="5029200" cy="2514600"/>
            <wp:docPr id="11" name="Picture 11"/>
            <wp:cNvGraphicFramePr>
              <a:graphicFrameLocks noChangeAspect="1"/>
            </wp:cNvGraphicFramePr>
            <a:graphic>
              <a:graphicData uri="http://schemas.openxmlformats.org/drawingml/2006/picture">
                <pic:pic>
                  <pic:nvPicPr>
                    <pic:cNvPr id="0" name="standardized_distribution.png"/>
                    <pic:cNvPicPr/>
                  </pic:nvPicPr>
                  <pic:blipFill>
                    <a:blip r:embed="rId10"/>
                    <a:stretch>
                      <a:fillRect/>
                    </a:stretch>
                  </pic:blipFill>
                  <pic:spPr>
                    <a:xfrm>
                      <a:off x="0" y="0"/>
                      <a:ext cx="5029200" cy="2514600"/>
                    </a:xfrm>
                    <a:prstGeom prst="rect"/>
                  </pic:spPr>
                </pic:pic>
              </a:graphicData>
            </a:graphic>
          </wp:inline>
        </w:drawing>
      </w:r>
    </w:p>
    <w:p>
      <w:pPr>
        <w:jc w:val="center"/>
      </w:pPr>
      <w:r>
        <w:t>Figure 8: Standardized Data Distribution</w:t>
      </w:r>
    </w:p>
    <w:p>
      <w:r>
        <w:br w:type="page"/>
      </w:r>
    </w:p>
    <w:p>
      <w:pPr>
        <w:pStyle w:val="Heading1"/>
      </w:pPr>
      <w:r>
        <w:t>Webguide</w:t>
      </w:r>
    </w:p>
    <w:p>
      <w:r>
        <w:t>The following resources provide a deeper understanding of PCA and its applications:</w:t>
      </w:r>
    </w:p>
    <w:p>
      <w:r>
        <w:t>- https://scikit-learn.org/stable/modules/generated/sklearn.decomposition.PCA.html</w:t>
      </w:r>
    </w:p>
    <w:p>
      <w:r>
        <w:t>- https://towardsdatascience.com/a-guide-to-principal-component-analysis-8727221e5d96</w:t>
      </w:r>
    </w:p>
    <w:p>
      <w:r>
        <w:t>- https://machinelearningmastery.com/principal-components-analysis-for-dimensionality-reduction/</w:t>
      </w:r>
    </w:p>
    <w:p>
      <w:r>
        <w:br w:type="page"/>
      </w:r>
    </w:p>
    <w:p>
      <w:pPr>
        <w:pStyle w:val="Heading1"/>
      </w:pPr>
      <w:r>
        <w:t>References</w:t>
      </w:r>
    </w:p>
    <w:p>
      <w:pPr/>
      <w:r>
        <w:t>Pedregosa, F. et al. (2011). Scikit-learn: Machine Learning in Python. Retrieved from https://jmlr.org/papers/v12/pedregosa11a.html</w:t>
      </w:r>
    </w:p>
    <w:p>
      <w:pPr/>
      <w:r>
        <w:t>Waskom, M. L. (2017). Seaborn: Statistical Data Visualization. Retrieved from https://seaborn.pydata.org/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