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24265" w14:textId="355C683B" w:rsidR="00034003" w:rsidRPr="00805EB4" w:rsidRDefault="00034003" w:rsidP="00805EB4">
      <w:pPr>
        <w:rPr>
          <w:rFonts w:ascii="Aptos" w:hAnsi="Aptos" w:cstheme="minorHAnsi"/>
          <w:b/>
          <w:bCs/>
          <w:color w:val="1F4E79" w:themeColor="accent5" w:themeShade="80"/>
          <w:kern w:val="0"/>
          <w:sz w:val="32"/>
          <w:szCs w:val="32"/>
        </w:rPr>
      </w:pPr>
      <w:bookmarkStart w:id="0" w:name="_Hlk147505832"/>
      <w:r w:rsidRPr="00805EB4">
        <w:rPr>
          <w:rFonts w:ascii="Aptos" w:hAnsi="Aptos" w:cstheme="minorHAnsi"/>
          <w:b/>
          <w:bCs/>
          <w:color w:val="1F4E79" w:themeColor="accent5" w:themeShade="80"/>
          <w:kern w:val="0"/>
          <w:sz w:val="32"/>
          <w:szCs w:val="32"/>
        </w:rPr>
        <w:t xml:space="preserve">BANK LOAN </w:t>
      </w:r>
      <w:r w:rsidR="00805EB4" w:rsidRPr="00805EB4">
        <w:rPr>
          <w:rFonts w:ascii="Aptos" w:hAnsi="Aptos" w:cstheme="minorHAnsi"/>
          <w:b/>
          <w:bCs/>
          <w:color w:val="1F4E79" w:themeColor="accent5" w:themeShade="80"/>
          <w:kern w:val="0"/>
          <w:sz w:val="32"/>
          <w:szCs w:val="32"/>
        </w:rPr>
        <w:t>(</w:t>
      </w:r>
      <w:r w:rsidR="00805EB4">
        <w:rPr>
          <w:rFonts w:ascii="Aptos" w:hAnsi="Aptos" w:cstheme="minorHAnsi"/>
          <w:b/>
          <w:bCs/>
          <w:color w:val="1F4E79" w:themeColor="accent5" w:themeShade="80"/>
          <w:kern w:val="0"/>
          <w:sz w:val="32"/>
          <w:szCs w:val="32"/>
        </w:rPr>
        <w:t>Domain Knowledge</w:t>
      </w:r>
      <w:r w:rsidR="00CC4E90">
        <w:rPr>
          <w:rFonts w:ascii="Aptos" w:hAnsi="Aptos" w:cstheme="minorHAnsi"/>
          <w:b/>
          <w:bCs/>
          <w:color w:val="1F4E79" w:themeColor="accent5" w:themeShade="80"/>
          <w:kern w:val="0"/>
          <w:sz w:val="32"/>
          <w:szCs w:val="32"/>
        </w:rPr>
        <w:t xml:space="preserve"> &amp; Terminology</w:t>
      </w:r>
      <w:r w:rsidR="00805EB4" w:rsidRPr="00805EB4">
        <w:rPr>
          <w:rFonts w:ascii="Aptos" w:hAnsi="Aptos" w:cstheme="minorHAnsi"/>
          <w:b/>
          <w:bCs/>
          <w:color w:val="1F4E79" w:themeColor="accent5" w:themeShade="80"/>
          <w:kern w:val="0"/>
          <w:sz w:val="32"/>
          <w:szCs w:val="32"/>
        </w:rPr>
        <w:t>)</w:t>
      </w:r>
    </w:p>
    <w:p w14:paraId="7AC0B0D1" w14:textId="279DEECE" w:rsidR="00034003" w:rsidRPr="00C81D94" w:rsidRDefault="00034003" w:rsidP="00805EB4">
      <w:pPr>
        <w:rPr>
          <w:rFonts w:ascii="Aptos" w:hAnsi="Aptos"/>
          <w:b/>
          <w:bCs/>
          <w:color w:val="C45911" w:themeColor="accent2" w:themeShade="BF"/>
          <w:sz w:val="24"/>
          <w:szCs w:val="24"/>
        </w:rPr>
      </w:pPr>
      <w:r w:rsidRPr="00C81D94">
        <w:rPr>
          <w:rFonts w:ascii="Aptos" w:hAnsi="Aptos"/>
          <w:b/>
          <w:bCs/>
          <w:color w:val="C45911" w:themeColor="accent2" w:themeShade="BF"/>
          <w:sz w:val="24"/>
          <w:szCs w:val="24"/>
        </w:rPr>
        <w:t>DOMAIN KNOWLEDGE</w:t>
      </w:r>
      <w:r w:rsidR="00805EB4" w:rsidRPr="00C81D94">
        <w:rPr>
          <w:rFonts w:ascii="Aptos" w:hAnsi="Aptos"/>
          <w:b/>
          <w:bCs/>
          <w:color w:val="C45911" w:themeColor="accent2" w:themeShade="BF"/>
          <w:sz w:val="24"/>
          <w:szCs w:val="24"/>
        </w:rPr>
        <w:t xml:space="preserve"> :</w:t>
      </w:r>
    </w:p>
    <w:bookmarkEnd w:id="0"/>
    <w:p w14:paraId="20E4B311" w14:textId="1F8F76A0" w:rsidR="004D4928" w:rsidRPr="00805EB4" w:rsidRDefault="004D4928" w:rsidP="004D4928">
      <w:pPr>
        <w:spacing w:line="360" w:lineRule="auto"/>
        <w:jc w:val="both"/>
        <w:rPr>
          <w:rFonts w:ascii="Aptos" w:hAnsi="Aptos" w:cstheme="minorHAnsi"/>
        </w:rPr>
      </w:pPr>
      <w:r w:rsidRPr="00805EB4">
        <w:rPr>
          <w:rFonts w:ascii="Aptos" w:hAnsi="Aptos" w:cstheme="minorHAnsi"/>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rPr>
        <w:t>Banks collect loan data through various channels and processes, including:</w:t>
      </w:r>
    </w:p>
    <w:p w14:paraId="7C2A6CCE"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Loan Applications:</w:t>
      </w:r>
      <w:r w:rsidRPr="00805EB4">
        <w:rPr>
          <w:rFonts w:ascii="Aptos" w:hAnsi="Aptos" w:cstheme="minorHAnsi"/>
          <w:color w:val="70AD47" w:themeColor="accent6"/>
        </w:rPr>
        <w:t xml:space="preserve"> </w:t>
      </w:r>
      <w:r w:rsidRPr="00805EB4">
        <w:rPr>
          <w:rFonts w:ascii="Aptos" w:hAnsi="Aptos" w:cstheme="minorHAnsi"/>
        </w:rPr>
        <w:t>When individuals or businesses apply for loans, they submit detailed applications that include personal and financial information. This data is collected electronically or in paper form.</w:t>
      </w:r>
    </w:p>
    <w:p w14:paraId="029D0C5B" w14:textId="34FED923"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Credit Reports:</w:t>
      </w:r>
      <w:r w:rsidRPr="00805EB4">
        <w:rPr>
          <w:rFonts w:ascii="Aptos" w:hAnsi="Aptos" w:cstheme="minorHAnsi"/>
          <w:color w:val="70AD47" w:themeColor="accent6"/>
        </w:rPr>
        <w:t xml:space="preserve"> </w:t>
      </w:r>
      <w:r w:rsidRPr="00805EB4">
        <w:rPr>
          <w:rFonts w:ascii="Aptos" w:hAnsi="Aptos" w:cstheme="minorHAnsi"/>
        </w:rPr>
        <w:t xml:space="preserve">Banks often access credit reports from credit bureaus when assessing a borrower's creditworthiness. These reports contain information about a person's credit history, existing loans, and payment </w:t>
      </w:r>
      <w:r w:rsidR="006C72DB" w:rsidRPr="00805EB4">
        <w:rPr>
          <w:rFonts w:ascii="Aptos" w:hAnsi="Aptos" w:cstheme="minorHAnsi"/>
        </w:rPr>
        <w:t>behaviour</w:t>
      </w:r>
      <w:r w:rsidRPr="00805EB4">
        <w:rPr>
          <w:rFonts w:ascii="Aptos" w:hAnsi="Aptos" w:cstheme="minorHAnsi"/>
        </w:rPr>
        <w:t>.</w:t>
      </w:r>
    </w:p>
    <w:p w14:paraId="5DEFB9BA"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Internal Records:</w:t>
      </w:r>
      <w:r w:rsidRPr="00805EB4">
        <w:rPr>
          <w:rFonts w:ascii="Aptos" w:hAnsi="Aptos" w:cstheme="minorHAnsi"/>
          <w:color w:val="70AD47" w:themeColor="accent6"/>
        </w:rPr>
        <w:t xml:space="preserve"> </w:t>
      </w:r>
      <w:r w:rsidRPr="00805EB4">
        <w:rPr>
          <w:rFonts w:ascii="Aptos" w:hAnsi="Aptos" w:cstheme="minorHAnsi"/>
        </w:rPr>
        <w:t>Banks maintain internal records of loan transactions, including disbursements, repayments, and loan status changes. These records are generated and stored in the bank's database.</w:t>
      </w:r>
    </w:p>
    <w:p w14:paraId="50B4F707"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Online Portals:</w:t>
      </w:r>
      <w:r w:rsidRPr="00805EB4">
        <w:rPr>
          <w:rFonts w:ascii="Aptos" w:hAnsi="Aptos" w:cstheme="minorHAnsi"/>
          <w:color w:val="70AD47" w:themeColor="accent6"/>
        </w:rPr>
        <w:t xml:space="preserve"> </w:t>
      </w:r>
      <w:r w:rsidRPr="00805EB4">
        <w:rPr>
          <w:rFonts w:ascii="Aptos" w:hAnsi="Aptos" w:cstheme="minorHAnsi"/>
        </w:rPr>
        <w:t>Many banks offer online platforms where borrowers can apply for loans, make payments, and access account information. Data from these portals is collected and stored for analysis.</w:t>
      </w:r>
    </w:p>
    <w:p w14:paraId="4975ABF2"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Third-party Data Sources:</w:t>
      </w:r>
      <w:r w:rsidRPr="00805EB4">
        <w:rPr>
          <w:rFonts w:ascii="Aptos" w:hAnsi="Aptos" w:cstheme="minorHAnsi"/>
          <w:color w:val="70AD47" w:themeColor="accent6"/>
        </w:rPr>
        <w:t xml:space="preserve"> </w:t>
      </w:r>
      <w:r w:rsidRPr="00805EB4">
        <w:rPr>
          <w:rFonts w:ascii="Aptos" w:hAnsi="Aptos" w:cstheme="minorHAnsi"/>
        </w:rPr>
        <w:t>Some banks may use external data sources, such as income verification services, to gather additional information about borrowers.</w:t>
      </w:r>
    </w:p>
    <w:p w14:paraId="18BF1544" w14:textId="77777777" w:rsidR="009D3394" w:rsidRPr="00805EB4" w:rsidRDefault="009D3394" w:rsidP="001833F2">
      <w:pPr>
        <w:spacing w:after="0" w:line="360" w:lineRule="auto"/>
        <w:jc w:val="both"/>
        <w:rPr>
          <w:rFonts w:ascii="Aptos" w:hAnsi="Aptos" w:cstheme="minorHAnsi"/>
        </w:rPr>
      </w:pPr>
    </w:p>
    <w:p w14:paraId="04887E98" w14:textId="751849BA" w:rsidR="009D3394" w:rsidRPr="00805EB4" w:rsidRDefault="009D3394" w:rsidP="009D3394">
      <w:pPr>
        <w:jc w:val="both"/>
        <w:rPr>
          <w:rFonts w:ascii="Aptos" w:hAnsi="Aptos"/>
          <w:b/>
          <w:bCs/>
          <w:color w:val="C45911" w:themeColor="accent2" w:themeShade="BF"/>
        </w:rPr>
      </w:pPr>
      <w:r w:rsidRPr="00805EB4">
        <w:rPr>
          <w:rFonts w:ascii="Aptos" w:hAnsi="Aptos"/>
          <w:b/>
          <w:bCs/>
          <w:color w:val="C45911" w:themeColor="accent2" w:themeShade="BF"/>
        </w:rPr>
        <w:t xml:space="preserve">Process of </w:t>
      </w:r>
      <w:r w:rsidR="006C7B33" w:rsidRPr="00805EB4">
        <w:rPr>
          <w:rFonts w:ascii="Aptos" w:hAnsi="Aptos"/>
          <w:b/>
          <w:bCs/>
          <w:color w:val="C45911" w:themeColor="accent2" w:themeShade="BF"/>
        </w:rPr>
        <w:t>G</w:t>
      </w:r>
      <w:r w:rsidRPr="00805EB4">
        <w:rPr>
          <w:rFonts w:ascii="Aptos" w:hAnsi="Aptos"/>
          <w:b/>
          <w:bCs/>
          <w:color w:val="C45911" w:themeColor="accent2" w:themeShade="BF"/>
        </w:rPr>
        <w:t xml:space="preserve">ranting a </w:t>
      </w:r>
      <w:r w:rsidR="006C7B33" w:rsidRPr="00805EB4">
        <w:rPr>
          <w:rFonts w:ascii="Aptos" w:hAnsi="Aptos"/>
          <w:b/>
          <w:bCs/>
          <w:color w:val="C45911" w:themeColor="accent2" w:themeShade="BF"/>
        </w:rPr>
        <w:t>L</w:t>
      </w:r>
      <w:r w:rsidRPr="00805EB4">
        <w:rPr>
          <w:rFonts w:ascii="Aptos" w:hAnsi="Aptos"/>
          <w:b/>
          <w:bCs/>
          <w:color w:val="C45911" w:themeColor="accent2" w:themeShade="BF"/>
        </w:rPr>
        <w:t>oan</w:t>
      </w:r>
      <w:r w:rsidR="00805EB4" w:rsidRPr="00805EB4">
        <w:rPr>
          <w:rFonts w:ascii="Aptos" w:hAnsi="Aptos"/>
          <w:b/>
          <w:bCs/>
          <w:color w:val="C45911" w:themeColor="accent2" w:themeShade="BF"/>
        </w:rPr>
        <w:t>:</w:t>
      </w:r>
    </w:p>
    <w:p w14:paraId="704BD865" w14:textId="0DC7FAEA"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Loan Application:</w:t>
      </w:r>
    </w:p>
    <w:p w14:paraId="28B994FA"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The process begins when a customer submits a loan application to a bank or lending institution. This application can be submitted in person, online, or through other channels.</w:t>
      </w:r>
    </w:p>
    <w:p w14:paraId="7294FF14" w14:textId="22DFC043"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Application Review:</w:t>
      </w:r>
    </w:p>
    <w:p w14:paraId="590A8E50"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The lending institution reviews the loan application and collects necessary documentation, such as income statements, credit reports, and identification documents.</w:t>
      </w:r>
    </w:p>
    <w:p w14:paraId="05026A35" w14:textId="3EDE962B"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Identity Verification:</w:t>
      </w:r>
    </w:p>
    <w:p w14:paraId="6743D2F5" w14:textId="0AAEF6D8" w:rsidR="006C7B33" w:rsidRPr="00805EB4" w:rsidRDefault="006C7B33" w:rsidP="006C7B33">
      <w:pPr>
        <w:spacing w:after="0" w:line="360" w:lineRule="auto"/>
        <w:jc w:val="both"/>
        <w:rPr>
          <w:rFonts w:ascii="Aptos" w:hAnsi="Aptos" w:cstheme="minorHAnsi"/>
        </w:rPr>
      </w:pPr>
      <w:r w:rsidRPr="00805EB4">
        <w:rPr>
          <w:rFonts w:ascii="Aptos" w:hAnsi="Aptos" w:cstheme="minorHAnsi"/>
        </w:rPr>
        <w:t>One of the initial checks is to verify the applicant's identity. This helps ensure that the applicant is who they claim to be and prevents identity theft.</w:t>
      </w:r>
    </w:p>
    <w:p w14:paraId="5094B52E" w14:textId="68709AEC"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Credit Check:</w:t>
      </w:r>
    </w:p>
    <w:p w14:paraId="73F78CCF"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lastRenderedPageBreak/>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Income Verification:</w:t>
      </w:r>
    </w:p>
    <w:p w14:paraId="4635024E"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Lenders assess the applicant's ability to repay the loan by verifying their income. This may involve reviewing pay stubs, tax returns, or other income documentation.</w:t>
      </w:r>
    </w:p>
    <w:p w14:paraId="7AA63530" w14:textId="429EF644"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Debt-to-Income Ratio (DTI) Check:</w:t>
      </w:r>
    </w:p>
    <w:p w14:paraId="55535DE2"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Lenders calculate the applicant's DTI, which is the ratio of their monthly debt payments to their monthly income. A lower DTI indicates better repayment capacity.</w:t>
      </w:r>
    </w:p>
    <w:p w14:paraId="7A459338" w14:textId="3A43434C"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Employment Verification:</w:t>
      </w:r>
    </w:p>
    <w:p w14:paraId="5A2DCFAA"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Lenders may contact the applicant's employer to verify their employment status and length of employment. Stable employment history is often seen as a positive factor.</w:t>
      </w:r>
    </w:p>
    <w:p w14:paraId="2A84A492" w14:textId="1B052889"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Collateral Assessment (if applicable):</w:t>
      </w:r>
    </w:p>
    <w:p w14:paraId="3DAA3986"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If the loan is secured by collateral, such as a home or a car, the lender evaluates the value and condition of the collateral.</w:t>
      </w:r>
    </w:p>
    <w:p w14:paraId="466DA445" w14:textId="4E383717" w:rsidR="006C7B33" w:rsidRPr="00805EB4" w:rsidRDefault="006C7B33" w:rsidP="006C7B33">
      <w:pPr>
        <w:spacing w:after="0" w:line="360" w:lineRule="auto"/>
        <w:jc w:val="both"/>
        <w:rPr>
          <w:rFonts w:ascii="Aptos" w:hAnsi="Aptos" w:cstheme="minorHAnsi"/>
          <w:b/>
          <w:bCs/>
          <w:color w:val="70AD47" w:themeColor="accent6"/>
        </w:rPr>
      </w:pPr>
      <w:r w:rsidRPr="00805EB4">
        <w:rPr>
          <w:rFonts w:ascii="Aptos" w:hAnsi="Aptos" w:cstheme="minorHAnsi"/>
          <w:b/>
          <w:bCs/>
          <w:color w:val="70AD47" w:themeColor="accent6"/>
        </w:rPr>
        <w:t>Risk Assessment:</w:t>
      </w:r>
    </w:p>
    <w:p w14:paraId="7743B5B1" w14:textId="77777777" w:rsidR="006C7B33" w:rsidRPr="00805EB4" w:rsidRDefault="006C7B33" w:rsidP="006C7B33">
      <w:pPr>
        <w:spacing w:after="0" w:line="360" w:lineRule="auto"/>
        <w:jc w:val="both"/>
        <w:rPr>
          <w:rFonts w:ascii="Aptos" w:hAnsi="Aptos" w:cstheme="minorHAnsi"/>
        </w:rPr>
      </w:pPr>
      <w:r w:rsidRPr="00805EB4">
        <w:rPr>
          <w:rFonts w:ascii="Aptos" w:hAnsi="Aptos" w:cstheme="minorHAnsi"/>
        </w:rPr>
        <w:t>Lenders assess the overall risk associated with the loan. This includes considering the applicant's credit risk, income stability, and the purpose of the loan.</w:t>
      </w:r>
    </w:p>
    <w:p w14:paraId="7FD15A2D" w14:textId="77777777"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Loan Approval or Denial:</w:t>
      </w:r>
      <w:r w:rsidRPr="00805EB4">
        <w:rPr>
          <w:rFonts w:ascii="Aptos" w:hAnsi="Aptos" w:cstheme="minorHAnsi"/>
          <w:color w:val="70AD47" w:themeColor="accent6"/>
        </w:rPr>
        <w:t xml:space="preserve"> </w:t>
      </w:r>
    </w:p>
    <w:p w14:paraId="7B9E4434" w14:textId="1B755883" w:rsidR="006C7B33" w:rsidRPr="00805EB4" w:rsidRDefault="006C7B33" w:rsidP="006C7B33">
      <w:pPr>
        <w:spacing w:after="0" w:line="360" w:lineRule="auto"/>
        <w:jc w:val="both"/>
        <w:rPr>
          <w:rFonts w:ascii="Aptos" w:hAnsi="Aptos" w:cstheme="minorHAnsi"/>
        </w:rPr>
      </w:pPr>
      <w:r w:rsidRPr="00805EB4">
        <w:rPr>
          <w:rFonts w:ascii="Aptos" w:hAnsi="Aptos" w:cstheme="minorHAnsi"/>
        </w:rPr>
        <w:t>Based on the information gathered and the risk assessment, the lender makes a decision to approve or deny the loan application. If approved, the lender determines the loan amount, interest rate, and terms.</w:t>
      </w:r>
    </w:p>
    <w:p w14:paraId="690FB40A" w14:textId="77777777"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Loan Agreement:</w:t>
      </w:r>
      <w:r w:rsidRPr="00805EB4">
        <w:rPr>
          <w:rFonts w:ascii="Aptos" w:hAnsi="Aptos" w:cstheme="minorHAnsi"/>
          <w:color w:val="70AD47" w:themeColor="accent6"/>
        </w:rPr>
        <w:t xml:space="preserve"> </w:t>
      </w:r>
    </w:p>
    <w:p w14:paraId="01AB774E" w14:textId="6BA9B849" w:rsidR="006C7B33" w:rsidRPr="00805EB4" w:rsidRDefault="006C7B33" w:rsidP="006C7B33">
      <w:pPr>
        <w:spacing w:after="0" w:line="360" w:lineRule="auto"/>
        <w:jc w:val="both"/>
        <w:rPr>
          <w:rFonts w:ascii="Aptos" w:hAnsi="Aptos" w:cstheme="minorHAnsi"/>
        </w:rPr>
      </w:pPr>
      <w:r w:rsidRPr="00805EB4">
        <w:rPr>
          <w:rFonts w:ascii="Aptos" w:hAnsi="Aptos" w:cstheme="minorHAnsi"/>
        </w:rPr>
        <w:t>If the loan is approved, the lender provides the applicant with a loan agreement that outlines the terms and conditions, including the interest rate, repayment schedule, and any fees.</w:t>
      </w:r>
    </w:p>
    <w:p w14:paraId="697DBB2A" w14:textId="77777777"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Disbursement of Funds:</w:t>
      </w:r>
      <w:r w:rsidRPr="00805EB4">
        <w:rPr>
          <w:rFonts w:ascii="Aptos" w:hAnsi="Aptos" w:cstheme="minorHAnsi"/>
          <w:color w:val="70AD47" w:themeColor="accent6"/>
        </w:rPr>
        <w:t xml:space="preserve"> </w:t>
      </w:r>
    </w:p>
    <w:p w14:paraId="2A0C9AEB" w14:textId="34C7A124" w:rsidR="006C7B33" w:rsidRPr="00805EB4" w:rsidRDefault="006C7B33" w:rsidP="006C7B33">
      <w:pPr>
        <w:spacing w:after="0" w:line="360" w:lineRule="auto"/>
        <w:jc w:val="both"/>
        <w:rPr>
          <w:rFonts w:ascii="Aptos" w:hAnsi="Aptos" w:cstheme="minorHAnsi"/>
        </w:rPr>
      </w:pPr>
      <w:r w:rsidRPr="00805EB4">
        <w:rPr>
          <w:rFonts w:ascii="Aptos" w:hAnsi="Aptos" w:cstheme="minorHAnsi"/>
        </w:rPr>
        <w:t>Once the loan agreement is signed by both parties, the lender disburses the funds to the borrower. The borrower can use the funds for the specified purpose.</w:t>
      </w:r>
    </w:p>
    <w:p w14:paraId="0F2DDD04" w14:textId="77777777"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Repayment:</w:t>
      </w:r>
      <w:r w:rsidRPr="00805EB4">
        <w:rPr>
          <w:rFonts w:ascii="Aptos" w:hAnsi="Aptos" w:cstheme="minorHAnsi"/>
          <w:color w:val="70AD47" w:themeColor="accent6"/>
        </w:rPr>
        <w:t xml:space="preserve"> </w:t>
      </w:r>
    </w:p>
    <w:p w14:paraId="409FE9F6" w14:textId="66275D29" w:rsidR="006C7B33" w:rsidRPr="00805EB4" w:rsidRDefault="006C7B33" w:rsidP="006C7B33">
      <w:pPr>
        <w:spacing w:after="0" w:line="360" w:lineRule="auto"/>
        <w:jc w:val="both"/>
        <w:rPr>
          <w:rFonts w:ascii="Aptos" w:hAnsi="Aptos" w:cstheme="minorHAnsi"/>
        </w:rPr>
      </w:pPr>
      <w:r w:rsidRPr="00805EB4">
        <w:rPr>
          <w:rFonts w:ascii="Aptos" w:hAnsi="Aptos" w:cstheme="minorHAnsi"/>
        </w:rPr>
        <w:t>The borrower is responsible for making regular loan payments as specified in the loan agreement. This includes repaying the principal amount along with interest.</w:t>
      </w:r>
    </w:p>
    <w:p w14:paraId="4002CFD9" w14:textId="77777777" w:rsidR="006C7B33" w:rsidRPr="00805EB4" w:rsidRDefault="006C7B33" w:rsidP="006C7B33">
      <w:pPr>
        <w:spacing w:after="0" w:line="360" w:lineRule="auto"/>
        <w:jc w:val="both"/>
        <w:rPr>
          <w:rFonts w:ascii="Aptos" w:hAnsi="Aptos" w:cstheme="minorHAnsi"/>
          <w:color w:val="70AD47" w:themeColor="accent6"/>
        </w:rPr>
      </w:pPr>
      <w:r w:rsidRPr="00805EB4">
        <w:rPr>
          <w:rFonts w:ascii="Aptos" w:hAnsi="Aptos" w:cstheme="minorHAnsi"/>
          <w:b/>
          <w:bCs/>
          <w:color w:val="70AD47" w:themeColor="accent6"/>
        </w:rPr>
        <w:t>Ongoing Monitoring:</w:t>
      </w:r>
      <w:r w:rsidRPr="00805EB4">
        <w:rPr>
          <w:rFonts w:ascii="Aptos" w:hAnsi="Aptos" w:cstheme="minorHAnsi"/>
          <w:color w:val="70AD47" w:themeColor="accent6"/>
        </w:rPr>
        <w:t xml:space="preserve"> </w:t>
      </w:r>
    </w:p>
    <w:p w14:paraId="51DF62E0" w14:textId="7EB9FBEE" w:rsidR="006C7B33" w:rsidRPr="00805EB4" w:rsidRDefault="006C7B33" w:rsidP="006C7B33">
      <w:pPr>
        <w:spacing w:after="0" w:line="360" w:lineRule="auto"/>
        <w:jc w:val="both"/>
        <w:rPr>
          <w:rFonts w:ascii="Aptos" w:hAnsi="Aptos" w:cstheme="minorHAnsi"/>
        </w:rPr>
      </w:pPr>
      <w:r w:rsidRPr="00805EB4">
        <w:rPr>
          <w:rFonts w:ascii="Aptos" w:hAnsi="Aptos" w:cstheme="minorHAnsi"/>
        </w:rPr>
        <w:t>Lenders continue to monitor the loan throughout its term, including tracking payments, assessing the borrower's financial health, and managing any delinquencies or defaults.</w:t>
      </w:r>
    </w:p>
    <w:p w14:paraId="45F0B6C4" w14:textId="77777777" w:rsidR="009C5A7A" w:rsidRPr="00805EB4" w:rsidRDefault="009C5A7A" w:rsidP="001833F2">
      <w:pPr>
        <w:spacing w:after="0" w:line="360" w:lineRule="auto"/>
        <w:jc w:val="both"/>
        <w:rPr>
          <w:rFonts w:ascii="Aptos" w:hAnsi="Aptos" w:cstheme="minorHAnsi"/>
        </w:rPr>
      </w:pPr>
    </w:p>
    <w:p w14:paraId="42524C0A" w14:textId="42D4D218" w:rsidR="00CB6627" w:rsidRPr="00805EB4" w:rsidRDefault="00CB6627" w:rsidP="001833F2">
      <w:pPr>
        <w:jc w:val="both"/>
        <w:rPr>
          <w:rFonts w:ascii="Aptos" w:hAnsi="Aptos"/>
          <w:b/>
          <w:bCs/>
          <w:color w:val="C45911" w:themeColor="accent2" w:themeShade="BF"/>
        </w:rPr>
      </w:pPr>
      <w:r w:rsidRPr="00805EB4">
        <w:rPr>
          <w:rFonts w:ascii="Aptos" w:hAnsi="Aptos"/>
          <w:b/>
          <w:bCs/>
          <w:color w:val="C45911" w:themeColor="accent2" w:themeShade="BF"/>
        </w:rPr>
        <w:t xml:space="preserve">Reasons for </w:t>
      </w:r>
      <w:r w:rsidR="000A2FE1" w:rsidRPr="00805EB4">
        <w:rPr>
          <w:rFonts w:ascii="Aptos" w:hAnsi="Aptos"/>
          <w:b/>
          <w:bCs/>
          <w:color w:val="C45911" w:themeColor="accent2" w:themeShade="BF"/>
        </w:rPr>
        <w:t>Analysing</w:t>
      </w:r>
      <w:r w:rsidRPr="00805EB4">
        <w:rPr>
          <w:rFonts w:ascii="Aptos" w:hAnsi="Aptos"/>
          <w:b/>
          <w:bCs/>
          <w:color w:val="C45911" w:themeColor="accent2" w:themeShade="BF"/>
        </w:rPr>
        <w:t xml:space="preserve"> Bank Loan Data:</w:t>
      </w:r>
    </w:p>
    <w:p w14:paraId="6A3BEF67" w14:textId="276F8885" w:rsidR="00CB6627" w:rsidRPr="00805EB4" w:rsidRDefault="00CB6627" w:rsidP="001833F2">
      <w:pPr>
        <w:spacing w:after="0" w:line="360" w:lineRule="auto"/>
        <w:jc w:val="both"/>
        <w:rPr>
          <w:rFonts w:ascii="Aptos" w:hAnsi="Aptos" w:cstheme="minorHAnsi"/>
        </w:rPr>
      </w:pPr>
      <w:r w:rsidRPr="00805EB4">
        <w:rPr>
          <w:rFonts w:ascii="Aptos" w:hAnsi="Aptos" w:cstheme="minorHAnsi"/>
        </w:rPr>
        <w:t xml:space="preserve">Banks </w:t>
      </w:r>
      <w:r w:rsidR="000A2FE1" w:rsidRPr="00805EB4">
        <w:rPr>
          <w:rFonts w:ascii="Aptos" w:hAnsi="Aptos" w:cstheme="minorHAnsi"/>
        </w:rPr>
        <w:t>analyse</w:t>
      </w:r>
      <w:r w:rsidRPr="00805EB4">
        <w:rPr>
          <w:rFonts w:ascii="Aptos" w:hAnsi="Aptos" w:cstheme="minorHAnsi"/>
        </w:rPr>
        <w:t xml:space="preserve"> loan data for several critical reasons:</w:t>
      </w:r>
    </w:p>
    <w:p w14:paraId="185C1F1B" w14:textId="623C4124"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Risk Assessment:</w:t>
      </w:r>
      <w:r w:rsidRPr="00805EB4">
        <w:rPr>
          <w:rFonts w:ascii="Aptos" w:hAnsi="Aptos" w:cstheme="minorHAnsi"/>
          <w:color w:val="70AD47" w:themeColor="accent6"/>
        </w:rPr>
        <w:t xml:space="preserve"> </w:t>
      </w:r>
      <w:r w:rsidRPr="00805EB4">
        <w:rPr>
          <w:rFonts w:ascii="Aptos" w:hAnsi="Aptos" w:cstheme="minorHAnsi"/>
        </w:rPr>
        <w:t xml:space="preserve">One of the primary purposes of </w:t>
      </w:r>
      <w:r w:rsidR="000A2FE1" w:rsidRPr="00805EB4">
        <w:rPr>
          <w:rFonts w:ascii="Aptos" w:hAnsi="Aptos" w:cstheme="minorHAnsi"/>
        </w:rPr>
        <w:t>analysing</w:t>
      </w:r>
      <w:r w:rsidRPr="00805EB4">
        <w:rPr>
          <w:rFonts w:ascii="Aptos" w:hAnsi="Aptos" w:cstheme="minorHAnsi"/>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Decision-making:</w:t>
      </w:r>
      <w:r w:rsidRPr="00805EB4">
        <w:rPr>
          <w:rFonts w:ascii="Aptos" w:hAnsi="Aptos" w:cstheme="minorHAnsi"/>
          <w:color w:val="70AD47" w:themeColor="accent6"/>
        </w:rPr>
        <w:t xml:space="preserve"> </w:t>
      </w:r>
      <w:r w:rsidRPr="00805EB4">
        <w:rPr>
          <w:rFonts w:ascii="Aptos" w:hAnsi="Aptos" w:cstheme="minorHAnsi"/>
        </w:rPr>
        <w:t>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Portfolio Management:</w:t>
      </w:r>
      <w:r w:rsidRPr="00805EB4">
        <w:rPr>
          <w:rFonts w:ascii="Aptos" w:hAnsi="Aptos" w:cstheme="minorHAnsi"/>
          <w:color w:val="70AD47" w:themeColor="accent6"/>
        </w:rPr>
        <w:t xml:space="preserve"> </w:t>
      </w:r>
      <w:r w:rsidRPr="00805EB4">
        <w:rPr>
          <w:rFonts w:ascii="Aptos" w:hAnsi="Aptos" w:cstheme="minorHAnsi"/>
        </w:rPr>
        <w:t>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Fraud Detection:</w:t>
      </w:r>
      <w:r w:rsidRPr="00805EB4">
        <w:rPr>
          <w:rFonts w:ascii="Aptos" w:hAnsi="Aptos" w:cstheme="minorHAnsi"/>
          <w:color w:val="70AD47" w:themeColor="accent6"/>
        </w:rPr>
        <w:t xml:space="preserve"> </w:t>
      </w:r>
      <w:r w:rsidRPr="00805EB4">
        <w:rPr>
          <w:rFonts w:ascii="Aptos" w:hAnsi="Aptos" w:cstheme="minorHAnsi"/>
        </w:rPr>
        <w:t>Banks use data analysis to detect fraudulent loan applications and activities. Unusual patterns, inconsistencies, or discrepancies in loan data can trigger fraud alerts.</w:t>
      </w:r>
    </w:p>
    <w:p w14:paraId="6805E69A"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Regulatory Compliance:</w:t>
      </w:r>
      <w:r w:rsidRPr="00805EB4">
        <w:rPr>
          <w:rFonts w:ascii="Aptos" w:hAnsi="Aptos" w:cstheme="minorHAnsi"/>
          <w:color w:val="70AD47" w:themeColor="accent6"/>
        </w:rPr>
        <w:t xml:space="preserve"> </w:t>
      </w:r>
      <w:r w:rsidRPr="00805EB4">
        <w:rPr>
          <w:rFonts w:ascii="Aptos" w:hAnsi="Aptos" w:cstheme="minorHAnsi"/>
        </w:rPr>
        <w:t>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Customer Insights:</w:t>
      </w:r>
      <w:r w:rsidRPr="00805EB4">
        <w:rPr>
          <w:rFonts w:ascii="Aptos" w:hAnsi="Aptos" w:cstheme="minorHAnsi"/>
          <w:color w:val="70AD47" w:themeColor="accent6"/>
        </w:rPr>
        <w:t xml:space="preserve"> </w:t>
      </w:r>
      <w:r w:rsidR="003038E2" w:rsidRPr="00805EB4">
        <w:rPr>
          <w:rFonts w:ascii="Aptos" w:hAnsi="Aptos" w:cstheme="minorHAnsi"/>
        </w:rPr>
        <w:t>Analysing</w:t>
      </w:r>
      <w:r w:rsidRPr="00805EB4">
        <w:rPr>
          <w:rFonts w:ascii="Aptos" w:hAnsi="Aptos" w:cstheme="minorHAnsi"/>
        </w:rPr>
        <w:t xml:space="preserve"> loan data provides insights into customer </w:t>
      </w:r>
      <w:r w:rsidR="003038E2" w:rsidRPr="00805EB4">
        <w:rPr>
          <w:rFonts w:ascii="Aptos" w:hAnsi="Aptos" w:cstheme="minorHAnsi"/>
        </w:rPr>
        <w:t>behaviour</w:t>
      </w:r>
      <w:r w:rsidRPr="00805EB4">
        <w:rPr>
          <w:rFonts w:ascii="Aptos" w:hAnsi="Aptos" w:cstheme="minorHAnsi"/>
        </w:rPr>
        <w:t>, preferences, and needs. Banks can use these insights to tailor loan products and marketing strategies to specific customer segments.</w:t>
      </w:r>
    </w:p>
    <w:p w14:paraId="6F25F08F" w14:textId="34C4FB9E"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Profitability Analysis:</w:t>
      </w:r>
      <w:r w:rsidRPr="00805EB4">
        <w:rPr>
          <w:rFonts w:ascii="Aptos" w:hAnsi="Aptos" w:cstheme="minorHAnsi"/>
          <w:color w:val="70AD47" w:themeColor="accent6"/>
        </w:rPr>
        <w:t xml:space="preserve"> </w:t>
      </w:r>
      <w:r w:rsidRPr="00805EB4">
        <w:rPr>
          <w:rFonts w:ascii="Aptos" w:hAnsi="Aptos" w:cstheme="minorHAnsi"/>
        </w:rPr>
        <w:t xml:space="preserve">Banks assess the profitability of their loan portfolios by </w:t>
      </w:r>
      <w:r w:rsidR="003038E2" w:rsidRPr="00805EB4">
        <w:rPr>
          <w:rFonts w:ascii="Aptos" w:hAnsi="Aptos" w:cstheme="minorHAnsi"/>
        </w:rPr>
        <w:t>analysing</w:t>
      </w:r>
      <w:r w:rsidRPr="00805EB4">
        <w:rPr>
          <w:rFonts w:ascii="Aptos" w:hAnsi="Aptos" w:cstheme="minorHAnsi"/>
        </w:rPr>
        <w:t xml:space="preserve"> data related to interest income, loan origination costs, default rates, and collection efforts.</w:t>
      </w:r>
    </w:p>
    <w:p w14:paraId="1D8A87E6"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Market Research:</w:t>
      </w:r>
      <w:r w:rsidRPr="00805EB4">
        <w:rPr>
          <w:rFonts w:ascii="Aptos" w:hAnsi="Aptos" w:cstheme="minorHAnsi"/>
          <w:color w:val="70AD47" w:themeColor="accent6"/>
        </w:rPr>
        <w:t xml:space="preserve"> </w:t>
      </w:r>
      <w:r w:rsidRPr="00805EB4">
        <w:rPr>
          <w:rFonts w:ascii="Aptos" w:hAnsi="Aptos" w:cstheme="minorHAnsi"/>
        </w:rPr>
        <w:t>Data analysis helps banks understand market trends, competitive landscape, and customer demand. This information guides product development and market expansion strategies.</w:t>
      </w:r>
    </w:p>
    <w:p w14:paraId="668C5666"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Credit Risk Management:</w:t>
      </w:r>
      <w:r w:rsidRPr="00805EB4">
        <w:rPr>
          <w:rFonts w:ascii="Aptos" w:hAnsi="Aptos" w:cstheme="minorHAnsi"/>
          <w:color w:val="70AD47" w:themeColor="accent6"/>
        </w:rPr>
        <w:t xml:space="preserve"> </w:t>
      </w:r>
      <w:r w:rsidRPr="00805EB4">
        <w:rPr>
          <w:rFonts w:ascii="Aptos" w:hAnsi="Aptos" w:cstheme="minorHAnsi"/>
        </w:rPr>
        <w:t>Banks continuously monitor and manage credit risk associated with their loans. Data analysis helps in setting risk management strategies, provisioning for potential losses, and stress testing loan portfolios.</w:t>
      </w:r>
    </w:p>
    <w:p w14:paraId="30DB6AB6" w14:textId="77777777" w:rsidR="00CB6627" w:rsidRPr="00805EB4" w:rsidRDefault="00CB6627" w:rsidP="001833F2">
      <w:pPr>
        <w:spacing w:after="0" w:line="360" w:lineRule="auto"/>
        <w:jc w:val="both"/>
        <w:rPr>
          <w:rFonts w:ascii="Aptos" w:hAnsi="Aptos" w:cstheme="minorHAnsi"/>
        </w:rPr>
      </w:pPr>
      <w:r w:rsidRPr="00805EB4">
        <w:rPr>
          <w:rFonts w:ascii="Aptos" w:hAnsi="Aptos" w:cstheme="minorHAnsi"/>
          <w:b/>
          <w:bCs/>
          <w:color w:val="70AD47" w:themeColor="accent6"/>
        </w:rPr>
        <w:t>Customer Retention:</w:t>
      </w:r>
      <w:r w:rsidRPr="00805EB4">
        <w:rPr>
          <w:rFonts w:ascii="Aptos" w:hAnsi="Aptos" w:cstheme="minorHAnsi"/>
          <w:color w:val="70AD47" w:themeColor="accent6"/>
        </w:rPr>
        <w:t xml:space="preserve"> </w:t>
      </w:r>
      <w:r w:rsidRPr="00805EB4">
        <w:rPr>
          <w:rFonts w:ascii="Aptos" w:hAnsi="Aptos" w:cstheme="minorHAnsi"/>
        </w:rPr>
        <w:t>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rFonts w:ascii="Aptos" w:hAnsi="Aptos"/>
          <w:b/>
          <w:bCs/>
          <w:color w:val="4472C4" w:themeColor="accent1"/>
        </w:rPr>
      </w:pPr>
    </w:p>
    <w:p w14:paraId="4D6DCFD4" w14:textId="77777777" w:rsidR="00CC4E90" w:rsidRDefault="00CC4E90" w:rsidP="001833F2">
      <w:pPr>
        <w:jc w:val="both"/>
        <w:rPr>
          <w:rFonts w:ascii="Aptos" w:hAnsi="Aptos"/>
          <w:b/>
          <w:bCs/>
          <w:color w:val="4472C4" w:themeColor="accent1"/>
        </w:rPr>
      </w:pPr>
    </w:p>
    <w:p w14:paraId="3C9194A4" w14:textId="73AF907A" w:rsidR="00CC4E90" w:rsidRPr="00C81D94" w:rsidRDefault="00CC4E90" w:rsidP="00C81D94">
      <w:pPr>
        <w:rPr>
          <w:rFonts w:ascii="Aptos" w:hAnsi="Aptos"/>
          <w:b/>
          <w:bCs/>
          <w:color w:val="C45911" w:themeColor="accent2" w:themeShade="BF"/>
          <w:sz w:val="24"/>
          <w:szCs w:val="24"/>
        </w:rPr>
      </w:pPr>
      <w:r w:rsidRPr="00C81D94">
        <w:rPr>
          <w:rFonts w:ascii="Aptos" w:hAnsi="Aptos"/>
          <w:b/>
          <w:bCs/>
          <w:color w:val="C45911" w:themeColor="accent2" w:themeShade="BF"/>
          <w:sz w:val="24"/>
          <w:szCs w:val="24"/>
        </w:rPr>
        <w:lastRenderedPageBreak/>
        <w:t>TERMINOLOGIES USED IN DATA</w:t>
      </w:r>
      <w:r w:rsidRPr="00C81D94">
        <w:rPr>
          <w:rFonts w:ascii="Aptos" w:hAnsi="Aptos"/>
          <w:b/>
          <w:bCs/>
          <w:color w:val="C45911" w:themeColor="accent2" w:themeShade="BF"/>
          <w:sz w:val="24"/>
          <w:szCs w:val="24"/>
        </w:rPr>
        <w:t xml:space="preserve"> </w:t>
      </w:r>
      <w:r w:rsidR="00C81D94">
        <w:rPr>
          <w:rFonts w:ascii="Aptos" w:hAnsi="Aptos"/>
          <w:b/>
          <w:bCs/>
          <w:color w:val="C45911" w:themeColor="accent2" w:themeShade="BF"/>
          <w:sz w:val="24"/>
          <w:szCs w:val="24"/>
        </w:rPr>
        <w:t xml:space="preserve"> (Field used in Data)</w:t>
      </w:r>
      <w:r w:rsidRPr="00C81D94">
        <w:rPr>
          <w:rFonts w:ascii="Aptos" w:hAnsi="Aptos"/>
          <w:b/>
          <w:bCs/>
          <w:color w:val="C45911" w:themeColor="accent2" w:themeShade="BF"/>
          <w:sz w:val="24"/>
          <w:szCs w:val="24"/>
        </w:rPr>
        <w:t>:</w:t>
      </w:r>
    </w:p>
    <w:p w14:paraId="380019F7"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Loan ID:</w:t>
      </w:r>
    </w:p>
    <w:p w14:paraId="76F0F005"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Loan ID is a unique identifier assigned to each loan application or loan account. It serves as a primary key for tracking and managing individual loans.</w:t>
      </w:r>
    </w:p>
    <w:p w14:paraId="1434E11C"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Loan IDs to efficiently manage and track loans throughout their lifecycle. It aids in organizing loan records, monitoring repayments, and addressing customer inquiries.</w:t>
      </w:r>
    </w:p>
    <w:p w14:paraId="4BACBB39" w14:textId="77777777" w:rsidR="00CC4E90" w:rsidRPr="00CC4E90" w:rsidRDefault="00CC4E90" w:rsidP="00CC4E90">
      <w:pPr>
        <w:spacing w:after="0" w:line="360" w:lineRule="auto"/>
        <w:jc w:val="both"/>
        <w:rPr>
          <w:rFonts w:ascii="Aptos" w:hAnsi="Aptos" w:cstheme="minorHAnsi"/>
        </w:rPr>
      </w:pPr>
    </w:p>
    <w:p w14:paraId="3C97618F"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Address State:</w:t>
      </w:r>
    </w:p>
    <w:p w14:paraId="16867B5A"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Address State indicates the borrower's location. It helps in assessing regional risk factors, compliance with state regulations, and estimating default probabilities.</w:t>
      </w:r>
    </w:p>
    <w:p w14:paraId="4036DB5A"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information to identify regional trends in loan demand, adjust marketing strategies, and manage risk portfolios based on geographic regions.</w:t>
      </w:r>
    </w:p>
    <w:p w14:paraId="1389D341" w14:textId="77777777" w:rsidR="00CC4E90" w:rsidRPr="00CC4E90" w:rsidRDefault="00CC4E90" w:rsidP="00CC4E90">
      <w:pPr>
        <w:spacing w:after="0" w:line="360" w:lineRule="auto"/>
        <w:jc w:val="both"/>
        <w:rPr>
          <w:rFonts w:ascii="Aptos" w:hAnsi="Aptos" w:cstheme="minorHAnsi"/>
        </w:rPr>
      </w:pPr>
    </w:p>
    <w:p w14:paraId="297A2A00"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Employee Length:</w:t>
      </w:r>
    </w:p>
    <w:p w14:paraId="4EA9FD1E"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Employee Length provides insights into the borrower's employment stability. Longer employment durations may indicate greater job security.</w:t>
      </w:r>
    </w:p>
    <w:p w14:paraId="6A604DCC"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consider employment length when assessing a borrower's ability to repay. Stable employment often translates to a lower default risk.</w:t>
      </w:r>
    </w:p>
    <w:p w14:paraId="0B958C84" w14:textId="77777777" w:rsidR="00CC4E90" w:rsidRPr="00CC4E90" w:rsidRDefault="00CC4E90" w:rsidP="00CC4E90">
      <w:pPr>
        <w:spacing w:after="0" w:line="360" w:lineRule="auto"/>
        <w:jc w:val="both"/>
        <w:rPr>
          <w:rFonts w:ascii="Aptos" w:hAnsi="Aptos" w:cstheme="minorHAnsi"/>
        </w:rPr>
      </w:pPr>
    </w:p>
    <w:p w14:paraId="033C4BAB"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Employee Title:</w:t>
      </w:r>
    </w:p>
    <w:p w14:paraId="3B2F9CF0"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Employee Title specifies the borrower's occupation or job title. It helps lenders understand the source of the borrower's income.</w:t>
      </w:r>
    </w:p>
    <w:p w14:paraId="2CA47769"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field to verify income sources, assess the borrower's financial capacity, and tailor loan offers to different professions.</w:t>
      </w:r>
    </w:p>
    <w:p w14:paraId="3C85C7EB" w14:textId="77777777" w:rsidR="00CC4E90" w:rsidRPr="00CC4E90" w:rsidRDefault="00CC4E90" w:rsidP="00CC4E90">
      <w:pPr>
        <w:spacing w:after="0" w:line="360" w:lineRule="auto"/>
        <w:jc w:val="both"/>
        <w:rPr>
          <w:rFonts w:ascii="Aptos" w:hAnsi="Aptos" w:cstheme="minorHAnsi"/>
        </w:rPr>
      </w:pPr>
    </w:p>
    <w:p w14:paraId="735354DD"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Grade:</w:t>
      </w:r>
    </w:p>
    <w:p w14:paraId="5EEBA1F6"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Grade represents a risk classification assigned to the loan based on creditworthiness. Higher grades signify lower risk.</w:t>
      </w:r>
    </w:p>
    <w:p w14:paraId="10B147FE"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the grade to price loans and manage risk. Higher-grade loans typically receive lower interest rates and are more attractive to investors.</w:t>
      </w:r>
    </w:p>
    <w:p w14:paraId="7C2384C8" w14:textId="77777777" w:rsidR="00CC4E90" w:rsidRPr="00CC4E90" w:rsidRDefault="00CC4E90" w:rsidP="00CC4E90">
      <w:pPr>
        <w:spacing w:after="0" w:line="360" w:lineRule="auto"/>
        <w:jc w:val="both"/>
        <w:rPr>
          <w:rFonts w:ascii="Aptos" w:hAnsi="Aptos" w:cstheme="minorHAnsi"/>
        </w:rPr>
      </w:pPr>
    </w:p>
    <w:p w14:paraId="7917635F" w14:textId="77777777" w:rsidR="00C81D94"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Sub Grade:</w:t>
      </w:r>
    </w:p>
    <w:p w14:paraId="04CE5E3F" w14:textId="7CFFB6DE" w:rsidR="00CC4E90" w:rsidRPr="00CC4E90" w:rsidRDefault="00CC4E90" w:rsidP="00CC4E90">
      <w:pPr>
        <w:spacing w:after="0" w:line="360" w:lineRule="auto"/>
        <w:jc w:val="both"/>
        <w:rPr>
          <w:rFonts w:ascii="Aptos" w:hAnsi="Aptos" w:cstheme="minorHAnsi"/>
        </w:rPr>
      </w:pPr>
      <w:r w:rsidRPr="00CC4E90">
        <w:rPr>
          <w:rFonts w:ascii="Aptos" w:hAnsi="Aptos" w:cstheme="minorHAnsi"/>
        </w:rPr>
        <w:lastRenderedPageBreak/>
        <w:t>Purpose: Sub Grade refines the risk assessment within a grade, providing additional risk differentiation.</w:t>
      </w:r>
    </w:p>
    <w:p w14:paraId="7C023A53"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Sub Grades offer a finer level of risk assessment, helping banks tailor interest rates and lending terms to match borrower risk profiles.</w:t>
      </w:r>
    </w:p>
    <w:p w14:paraId="7C847F21" w14:textId="77777777" w:rsidR="00CC4E90" w:rsidRPr="00CC4E90" w:rsidRDefault="00CC4E90" w:rsidP="00CC4E90">
      <w:pPr>
        <w:spacing w:after="0" w:line="360" w:lineRule="auto"/>
        <w:jc w:val="both"/>
        <w:rPr>
          <w:rFonts w:ascii="Aptos" w:hAnsi="Aptos" w:cstheme="minorHAnsi"/>
        </w:rPr>
      </w:pPr>
    </w:p>
    <w:p w14:paraId="020E144C"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Home Ownership:</w:t>
      </w:r>
    </w:p>
    <w:p w14:paraId="712D4C19"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Home Ownership indicates the borrower's housing status. It offers insights into financial stability.</w:t>
      </w:r>
    </w:p>
    <w:p w14:paraId="71CD4687"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field to assess collateral availability and borrower stability. Homeowners may have lower default rates.</w:t>
      </w:r>
    </w:p>
    <w:p w14:paraId="6B17AC17" w14:textId="77777777" w:rsidR="00CC4E90" w:rsidRPr="00CC4E90" w:rsidRDefault="00CC4E90" w:rsidP="00CC4E90">
      <w:pPr>
        <w:spacing w:after="0" w:line="360" w:lineRule="auto"/>
        <w:jc w:val="both"/>
        <w:rPr>
          <w:rFonts w:ascii="Aptos" w:hAnsi="Aptos" w:cstheme="minorHAnsi"/>
          <w:color w:val="70AD47" w:themeColor="accent6"/>
        </w:rPr>
      </w:pPr>
    </w:p>
    <w:p w14:paraId="0631E2B9"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Issue Date:</w:t>
      </w:r>
    </w:p>
    <w:p w14:paraId="42D38A21"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Issue Date marks the loan's origination date. It's crucial for loan tracking and maturity calculations.</w:t>
      </w:r>
    </w:p>
    <w:p w14:paraId="4866F34C"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Issue Dates to track loan aging, calculate interest accruals, and manage loan portfolios.</w:t>
      </w:r>
    </w:p>
    <w:p w14:paraId="3090863F" w14:textId="77777777" w:rsidR="00CC4E90" w:rsidRPr="00CC4E90" w:rsidRDefault="00CC4E90" w:rsidP="00CC4E90">
      <w:pPr>
        <w:spacing w:after="0" w:line="360" w:lineRule="auto"/>
        <w:jc w:val="both"/>
        <w:rPr>
          <w:rFonts w:ascii="Aptos" w:hAnsi="Aptos" w:cstheme="minorHAnsi"/>
        </w:rPr>
      </w:pPr>
    </w:p>
    <w:p w14:paraId="337AFE59"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Last Credit Pull Date:</w:t>
      </w:r>
    </w:p>
    <w:p w14:paraId="107C5F8C"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Last Credit Pull Date records when the borrower's credit report was last accessed. It helps monitor creditworthiness.</w:t>
      </w:r>
    </w:p>
    <w:p w14:paraId="0E6A2EB7"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date to track credit history updates, assess credit risk, and make informed lending decisions.</w:t>
      </w:r>
    </w:p>
    <w:p w14:paraId="1A8EE671" w14:textId="77777777" w:rsidR="00CC4E90" w:rsidRPr="00CC4E90" w:rsidRDefault="00CC4E90" w:rsidP="00CC4E90">
      <w:pPr>
        <w:spacing w:after="0" w:line="360" w:lineRule="auto"/>
        <w:jc w:val="both"/>
        <w:rPr>
          <w:rFonts w:ascii="Aptos" w:hAnsi="Aptos" w:cstheme="minorHAnsi"/>
        </w:rPr>
      </w:pPr>
    </w:p>
    <w:p w14:paraId="772B4D39"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Last Payment Date:</w:t>
      </w:r>
    </w:p>
    <w:p w14:paraId="533E6B2F"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Last Payment Date marks the most recent loan payment received. It tracks the borrower's payment history.</w:t>
      </w:r>
    </w:p>
    <w:p w14:paraId="1CA2BE12" w14:textId="77777777" w:rsidR="00CC4E90" w:rsidRDefault="00CC4E90" w:rsidP="00CC4E90">
      <w:pPr>
        <w:spacing w:after="0" w:line="360" w:lineRule="auto"/>
        <w:jc w:val="both"/>
        <w:rPr>
          <w:rFonts w:ascii="Aptos" w:hAnsi="Aptos" w:cstheme="minorHAnsi"/>
        </w:rPr>
      </w:pPr>
      <w:r w:rsidRPr="00CC4E90">
        <w:rPr>
          <w:rFonts w:ascii="Aptos" w:hAnsi="Aptos" w:cstheme="minorHAnsi"/>
        </w:rPr>
        <w:t xml:space="preserve">Use for Banks: Banks use this date to assess payment </w:t>
      </w:r>
      <w:proofErr w:type="spellStart"/>
      <w:r w:rsidRPr="00CC4E90">
        <w:rPr>
          <w:rFonts w:ascii="Aptos" w:hAnsi="Aptos" w:cstheme="minorHAnsi"/>
        </w:rPr>
        <w:t>behavior</w:t>
      </w:r>
      <w:proofErr w:type="spellEnd"/>
      <w:r w:rsidRPr="00CC4E90">
        <w:rPr>
          <w:rFonts w:ascii="Aptos" w:hAnsi="Aptos" w:cstheme="minorHAnsi"/>
        </w:rPr>
        <w:t>, calculate delinquency, and project future payments.</w:t>
      </w:r>
    </w:p>
    <w:p w14:paraId="689A8D3C" w14:textId="77777777" w:rsidR="00CC4E90" w:rsidRPr="00CC4E90" w:rsidRDefault="00CC4E90" w:rsidP="00CC4E90">
      <w:pPr>
        <w:spacing w:after="0" w:line="360" w:lineRule="auto"/>
        <w:jc w:val="both"/>
        <w:rPr>
          <w:rFonts w:ascii="Aptos" w:hAnsi="Aptos" w:cstheme="minorHAnsi"/>
        </w:rPr>
      </w:pPr>
    </w:p>
    <w:p w14:paraId="2A6283C5"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Loan Status:</w:t>
      </w:r>
    </w:p>
    <w:p w14:paraId="2065DE22"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Loan Status indicates the current state of the loan (e.g., fully paid, current, default). It tracks loan performance.</w:t>
      </w:r>
    </w:p>
    <w:p w14:paraId="7F076F5A"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Loan Status to monitor loan health, categorize loans for risk analysis, and determine provisioning requirements.</w:t>
      </w:r>
    </w:p>
    <w:p w14:paraId="5B47C7F4" w14:textId="77777777" w:rsidR="00CC4E90" w:rsidRPr="00CC4E90" w:rsidRDefault="00CC4E90" w:rsidP="00CC4E90">
      <w:pPr>
        <w:spacing w:after="0" w:line="360" w:lineRule="auto"/>
        <w:jc w:val="both"/>
        <w:rPr>
          <w:rFonts w:ascii="Aptos" w:hAnsi="Aptos" w:cstheme="minorHAnsi"/>
        </w:rPr>
      </w:pPr>
    </w:p>
    <w:p w14:paraId="6BCECA02" w14:textId="77777777" w:rsidR="00CC4E90" w:rsidRPr="00C81D94" w:rsidRDefault="00CC4E90" w:rsidP="00CC4E90">
      <w:pPr>
        <w:spacing w:after="0" w:line="360" w:lineRule="auto"/>
        <w:jc w:val="both"/>
        <w:rPr>
          <w:rFonts w:ascii="Aptos" w:hAnsi="Aptos" w:cstheme="minorHAnsi"/>
          <w:b/>
          <w:bCs/>
          <w:color w:val="70AD47" w:themeColor="accent6"/>
        </w:rPr>
      </w:pPr>
      <w:r w:rsidRPr="00C81D94">
        <w:rPr>
          <w:rFonts w:ascii="Aptos" w:hAnsi="Aptos" w:cstheme="minorHAnsi"/>
          <w:b/>
          <w:bCs/>
          <w:color w:val="70AD47" w:themeColor="accent6"/>
        </w:rPr>
        <w:t>Next Payment Date:</w:t>
      </w:r>
    </w:p>
    <w:p w14:paraId="77289DEB"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Next Payment Date estimates the date of the next loan payment. It assists in cash flow forecasting.</w:t>
      </w:r>
    </w:p>
    <w:p w14:paraId="6C3F2F7D"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date for liquidity planning and to project revenue from loan portfolios.</w:t>
      </w:r>
    </w:p>
    <w:p w14:paraId="4F0DB6A3" w14:textId="77777777" w:rsidR="00CC4E90" w:rsidRPr="00CC4E90" w:rsidRDefault="00CC4E90" w:rsidP="00CC4E90">
      <w:pPr>
        <w:spacing w:after="0" w:line="360" w:lineRule="auto"/>
        <w:jc w:val="both"/>
        <w:rPr>
          <w:rFonts w:ascii="Aptos" w:hAnsi="Aptos" w:cstheme="minorHAnsi"/>
        </w:rPr>
      </w:pPr>
    </w:p>
    <w:p w14:paraId="5C24582A" w14:textId="77777777" w:rsidR="00CC4E90" w:rsidRPr="00C81D94" w:rsidRDefault="00CC4E90" w:rsidP="00CC4E90">
      <w:pPr>
        <w:spacing w:after="0" w:line="360" w:lineRule="auto"/>
        <w:jc w:val="both"/>
        <w:rPr>
          <w:rFonts w:ascii="Aptos" w:hAnsi="Aptos" w:cstheme="minorHAnsi"/>
          <w:b/>
          <w:bCs/>
          <w:color w:val="70AD47" w:themeColor="accent6"/>
        </w:rPr>
      </w:pPr>
      <w:r w:rsidRPr="00C81D94">
        <w:rPr>
          <w:rFonts w:ascii="Aptos" w:hAnsi="Aptos" w:cstheme="minorHAnsi"/>
          <w:b/>
          <w:bCs/>
          <w:color w:val="70AD47" w:themeColor="accent6"/>
        </w:rPr>
        <w:t>Purpose:</w:t>
      </w:r>
    </w:p>
    <w:p w14:paraId="79573200"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Purpose specifies the reason for the loan (e.g., debt consolidation, education). It helps understand borrower intentions.</w:t>
      </w:r>
    </w:p>
    <w:p w14:paraId="212615AD"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field to segment and customize loan offerings, aligning loan terms with borrower needs.</w:t>
      </w:r>
    </w:p>
    <w:p w14:paraId="4D1A4212" w14:textId="77777777" w:rsidR="00CC4E90" w:rsidRPr="00CC4E90" w:rsidRDefault="00CC4E90" w:rsidP="00CC4E90">
      <w:pPr>
        <w:spacing w:after="0" w:line="360" w:lineRule="auto"/>
        <w:jc w:val="both"/>
        <w:rPr>
          <w:rFonts w:ascii="Aptos" w:hAnsi="Aptos" w:cstheme="minorHAnsi"/>
        </w:rPr>
      </w:pPr>
    </w:p>
    <w:p w14:paraId="03659D89"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Term:</w:t>
      </w:r>
    </w:p>
    <w:p w14:paraId="6C5940F2"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Term defines the duration of the loan in months. It sets the repayment period.</w:t>
      </w:r>
    </w:p>
    <w:p w14:paraId="371D7C40"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the term to structure loan agreements, calculate interest payments, and manage loan maturities.</w:t>
      </w:r>
    </w:p>
    <w:p w14:paraId="0134724E" w14:textId="77777777" w:rsidR="00CC4E90" w:rsidRPr="00CC4E90" w:rsidRDefault="00CC4E90" w:rsidP="00CC4E90">
      <w:pPr>
        <w:spacing w:after="0" w:line="360" w:lineRule="auto"/>
        <w:jc w:val="both"/>
        <w:rPr>
          <w:rFonts w:ascii="Aptos" w:hAnsi="Aptos" w:cstheme="minorHAnsi"/>
        </w:rPr>
      </w:pPr>
    </w:p>
    <w:p w14:paraId="5411BFA6"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Verification Status:</w:t>
      </w:r>
    </w:p>
    <w:p w14:paraId="47F22EAE"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Verification Status indicates whether the borrower's financial information has been verified. It assesses data accuracy.</w:t>
      </w:r>
    </w:p>
    <w:p w14:paraId="30F59351"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field to gauge data reliability, verify income, and evaluate loan application credibility.</w:t>
      </w:r>
    </w:p>
    <w:p w14:paraId="5821568D" w14:textId="77777777" w:rsidR="00CC4E90" w:rsidRPr="00CC4E90" w:rsidRDefault="00CC4E90" w:rsidP="00CC4E90">
      <w:pPr>
        <w:spacing w:after="0" w:line="360" w:lineRule="auto"/>
        <w:jc w:val="both"/>
        <w:rPr>
          <w:rFonts w:ascii="Aptos" w:hAnsi="Aptos" w:cstheme="minorHAnsi"/>
          <w:b/>
          <w:bCs/>
        </w:rPr>
      </w:pPr>
    </w:p>
    <w:p w14:paraId="12024E0B"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Annual Income:</w:t>
      </w:r>
    </w:p>
    <w:p w14:paraId="7D78C845"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Annual Income reflects the borrower's total yearly earnings. It assesses repayment capacity.</w:t>
      </w:r>
    </w:p>
    <w:p w14:paraId="1DA7FBD3"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income figure to determine loan eligibility, calculate debt-to-income ratios, and evaluate creditworthiness.</w:t>
      </w:r>
    </w:p>
    <w:p w14:paraId="507491C3" w14:textId="77777777" w:rsidR="00CC4E90" w:rsidRPr="00CC4E90" w:rsidRDefault="00CC4E90" w:rsidP="00CC4E90">
      <w:pPr>
        <w:spacing w:after="0" w:line="360" w:lineRule="auto"/>
        <w:jc w:val="both"/>
        <w:rPr>
          <w:rFonts w:ascii="Aptos" w:hAnsi="Aptos" w:cstheme="minorHAnsi"/>
          <w:color w:val="70AD47" w:themeColor="accent6"/>
        </w:rPr>
      </w:pPr>
    </w:p>
    <w:p w14:paraId="2308C3F4"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DTI (Debt-to-Income Ratio):</w:t>
      </w:r>
    </w:p>
    <w:p w14:paraId="22522083"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DTI measures the borrower's debt burden relative to income. It gauges the borrower's capacity to take on additional debt.</w:t>
      </w:r>
    </w:p>
    <w:p w14:paraId="43B61642"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lastRenderedPageBreak/>
        <w:t>Use for Banks: Banks use DTI to assess a borrower's ability to handle loan payments and make responsible lending decisions.</w:t>
      </w:r>
    </w:p>
    <w:p w14:paraId="3B80C58F" w14:textId="77777777" w:rsidR="00CC4E90" w:rsidRPr="00CC4E90" w:rsidRDefault="00CC4E90" w:rsidP="00CC4E90">
      <w:pPr>
        <w:spacing w:after="0" w:line="360" w:lineRule="auto"/>
        <w:jc w:val="both"/>
        <w:rPr>
          <w:rFonts w:ascii="Aptos" w:hAnsi="Aptos" w:cstheme="minorHAnsi"/>
        </w:rPr>
      </w:pPr>
    </w:p>
    <w:p w14:paraId="5627C1C9"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Instalment:</w:t>
      </w:r>
    </w:p>
    <w:p w14:paraId="4E4216C2"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Instalment is the fixed monthly payment amount for loan repayment, including principal and interest.</w:t>
      </w:r>
    </w:p>
    <w:p w14:paraId="586FE90A"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this field to structure loan terms, calculate amortization schedules, and assess payment affordability.</w:t>
      </w:r>
    </w:p>
    <w:p w14:paraId="584C194C" w14:textId="77777777" w:rsidR="00CC4E90" w:rsidRPr="00CC4E90" w:rsidRDefault="00CC4E90" w:rsidP="00CC4E90">
      <w:pPr>
        <w:spacing w:after="0" w:line="360" w:lineRule="auto"/>
        <w:jc w:val="both"/>
        <w:rPr>
          <w:rFonts w:ascii="Aptos" w:hAnsi="Aptos" w:cstheme="minorHAnsi"/>
        </w:rPr>
      </w:pPr>
    </w:p>
    <w:p w14:paraId="7A734B54"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Interest Rate:</w:t>
      </w:r>
    </w:p>
    <w:p w14:paraId="341DC3BC"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Interest Rate represents the annual cost of borrowing expressed as a percentage. It determines the loan's cost.</w:t>
      </w:r>
    </w:p>
    <w:p w14:paraId="74EAE4A0"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interest rates to price loans, manage profit margins, and attract investors.</w:t>
      </w:r>
    </w:p>
    <w:p w14:paraId="7251CC74" w14:textId="77777777" w:rsidR="00CC4E90" w:rsidRPr="00CC4E90" w:rsidRDefault="00CC4E90" w:rsidP="00CC4E90">
      <w:pPr>
        <w:spacing w:after="0" w:line="360" w:lineRule="auto"/>
        <w:jc w:val="both"/>
        <w:rPr>
          <w:rFonts w:ascii="Aptos" w:hAnsi="Aptos" w:cstheme="minorHAnsi"/>
        </w:rPr>
      </w:pPr>
    </w:p>
    <w:p w14:paraId="471D6192" w14:textId="77777777" w:rsidR="00CC4E90" w:rsidRPr="00CC4E90" w:rsidRDefault="00CC4E90" w:rsidP="00CC4E90">
      <w:pPr>
        <w:spacing w:after="0" w:line="360" w:lineRule="auto"/>
        <w:jc w:val="both"/>
        <w:rPr>
          <w:rFonts w:ascii="Aptos" w:hAnsi="Aptos" w:cstheme="minorHAnsi"/>
          <w:b/>
          <w:bCs/>
          <w:color w:val="70AD47" w:themeColor="accent6"/>
        </w:rPr>
      </w:pPr>
      <w:r w:rsidRPr="00CC4E90">
        <w:rPr>
          <w:rFonts w:ascii="Aptos" w:hAnsi="Aptos" w:cstheme="minorHAnsi"/>
          <w:b/>
          <w:bCs/>
          <w:color w:val="70AD47" w:themeColor="accent6"/>
        </w:rPr>
        <w:t>Loan Amount:</w:t>
      </w:r>
    </w:p>
    <w:p w14:paraId="4D34F960"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Purpose: Loan Amount is the total borrowed sum. It defines the principal amount.</w:t>
      </w:r>
    </w:p>
    <w:p w14:paraId="044FC1D4" w14:textId="77777777" w:rsidR="00CC4E90" w:rsidRPr="00CC4E90" w:rsidRDefault="00CC4E90" w:rsidP="00CC4E90">
      <w:pPr>
        <w:spacing w:after="0" w:line="360" w:lineRule="auto"/>
        <w:jc w:val="both"/>
        <w:rPr>
          <w:rFonts w:ascii="Aptos" w:hAnsi="Aptos" w:cstheme="minorHAnsi"/>
        </w:rPr>
      </w:pPr>
      <w:r w:rsidRPr="00CC4E90">
        <w:rPr>
          <w:rFonts w:ascii="Aptos" w:hAnsi="Aptos" w:cstheme="minorHAnsi"/>
        </w:rPr>
        <w:t>Use for Banks: Banks use Loan Amount to determine loan size</w:t>
      </w:r>
    </w:p>
    <w:p w14:paraId="02CB8F5A" w14:textId="77777777" w:rsidR="00CC4E90" w:rsidRPr="00CC4E90" w:rsidRDefault="00CC4E90" w:rsidP="00CC4E90">
      <w:pPr>
        <w:jc w:val="both"/>
        <w:rPr>
          <w:rFonts w:ascii="Aptos" w:hAnsi="Aptos"/>
        </w:rPr>
      </w:pPr>
    </w:p>
    <w:p w14:paraId="56471F0D" w14:textId="77777777" w:rsidR="00CC4E90" w:rsidRPr="00034003" w:rsidRDefault="00CC4E90" w:rsidP="00CC4E90">
      <w:pPr>
        <w:jc w:val="both"/>
      </w:pPr>
    </w:p>
    <w:p w14:paraId="017F07C7" w14:textId="77777777" w:rsidR="00CC4E90" w:rsidRPr="00034003" w:rsidRDefault="00CC4E90" w:rsidP="00CC4E90">
      <w:pPr>
        <w:jc w:val="both"/>
      </w:pPr>
    </w:p>
    <w:p w14:paraId="0159FD71" w14:textId="77777777" w:rsidR="00CC4E90" w:rsidRDefault="00CC4E90" w:rsidP="00CC4E90"/>
    <w:p w14:paraId="6AF80CAA" w14:textId="77777777" w:rsidR="00CC4E90" w:rsidRPr="00805EB4" w:rsidRDefault="00CC4E90" w:rsidP="001833F2">
      <w:pPr>
        <w:jc w:val="both"/>
        <w:rPr>
          <w:rFonts w:ascii="Aptos" w:hAnsi="Aptos"/>
          <w:b/>
          <w:bCs/>
          <w:color w:val="4472C4" w:themeColor="accent1"/>
        </w:rPr>
      </w:pPr>
    </w:p>
    <w:sectPr w:rsidR="00CC4E90" w:rsidRPr="00805E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4F403" w14:textId="77777777" w:rsidR="009331CF" w:rsidRDefault="009331CF" w:rsidP="00034003">
      <w:pPr>
        <w:spacing w:after="0" w:line="240" w:lineRule="auto"/>
      </w:pPr>
      <w:r>
        <w:separator/>
      </w:r>
    </w:p>
  </w:endnote>
  <w:endnote w:type="continuationSeparator" w:id="0">
    <w:p w14:paraId="597C3207" w14:textId="77777777" w:rsidR="009331CF" w:rsidRDefault="009331CF"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78F77" w14:textId="77777777" w:rsidR="009331CF" w:rsidRDefault="009331CF" w:rsidP="00034003">
      <w:pPr>
        <w:spacing w:after="0" w:line="240" w:lineRule="auto"/>
      </w:pPr>
      <w:r>
        <w:separator/>
      </w:r>
    </w:p>
  </w:footnote>
  <w:footnote w:type="continuationSeparator" w:id="0">
    <w:p w14:paraId="0000B83A" w14:textId="77777777" w:rsidR="009331CF" w:rsidRDefault="009331CF" w:rsidP="00034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120A9"/>
    <w:rsid w:val="00034003"/>
    <w:rsid w:val="000A2FE1"/>
    <w:rsid w:val="000C70AC"/>
    <w:rsid w:val="001833F2"/>
    <w:rsid w:val="002A1405"/>
    <w:rsid w:val="003038E2"/>
    <w:rsid w:val="004D4928"/>
    <w:rsid w:val="006C72DB"/>
    <w:rsid w:val="006C7B33"/>
    <w:rsid w:val="006E701F"/>
    <w:rsid w:val="007643D0"/>
    <w:rsid w:val="00805EB4"/>
    <w:rsid w:val="00816705"/>
    <w:rsid w:val="00860A4B"/>
    <w:rsid w:val="00880659"/>
    <w:rsid w:val="00920AF7"/>
    <w:rsid w:val="009331CF"/>
    <w:rsid w:val="00944891"/>
    <w:rsid w:val="009C5A7A"/>
    <w:rsid w:val="009D3394"/>
    <w:rsid w:val="00B90E3A"/>
    <w:rsid w:val="00C81D94"/>
    <w:rsid w:val="00CB6627"/>
    <w:rsid w:val="00CC4E90"/>
    <w:rsid w:val="00CD3295"/>
    <w:rsid w:val="00E419FF"/>
    <w:rsid w:val="00EA7EDC"/>
    <w:rsid w:val="00EB1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KULDEEP SINGH</cp:lastModifiedBy>
  <cp:revision>17</cp:revision>
  <dcterms:created xsi:type="dcterms:W3CDTF">2023-10-06T11:45:00Z</dcterms:created>
  <dcterms:modified xsi:type="dcterms:W3CDTF">2026-02-20T08:11:00Z</dcterms:modified>
</cp:coreProperties>
</file>