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064E3B"/>
          <w:sz w:val="36"/>
          <w:szCs w:val="36"/>
        </w:rPr>
        <w:t xml:space="preserve">K. GIRDHARLAL</w:t>
      </w:r>
      <w:r>
        <w:rPr>
          <w:rFonts w:ascii="Arial" w:cs="Arial" w:eastAsia="Arial" w:hAnsi="Arial"/>
          <w:b w:val="false"/>
          <w:bCs w:val="false"/>
          <w:color w:val="1F2937"/>
          <w:sz w:val="24"/>
          <w:szCs w:val="24"/>
        </w:rPr>
        <w:t xml:space="preserve">  ESG Sustainability Portal</w:t>
      </w:r>
    </w:p>
    <w:p>
      <w:pPr>
        <w:pBdr>
          <w:bottom w:val="single" w:color="064E3B" w:sz="6"/>
        </w:pBdr>
        <w:spacing w:after="140" w:before="0"/>
      </w:pPr>
      <w:r>
        <w:rPr>
          <w:rFonts w:ascii="Arial" w:cs="Arial" w:eastAsia="Arial" w:hAnsi="Arial"/>
          <w:b w:val="false"/>
          <w:bCs w:val="false"/>
          <w:color w:val="6B7280"/>
          <w:sz w:val="15"/>
          <w:szCs w:val="15"/>
        </w:rPr>
        <w:t xml:space="preserve">PROJECT OVERVIEW  ·  WHAT WE ARE BUILDING  ·  HOW WE ARE BUILDING IT  ·  MAY 2026</w:t>
      </w:r>
    </w:p>
    <w:p>
      <w:pPr>
        <w:spacing w:after="60" w:before="0"/>
      </w:pPr>
      <w:r>
        <w:rPr>
          <w:rFonts w:ascii="Arial" w:cs="Arial" w:eastAsia="Arial" w:hAnsi="Arial"/>
          <w:b/>
          <w:bCs/>
          <w:color w:val="064E3B"/>
          <w:sz w:val="18"/>
          <w:szCs w:val="18"/>
        </w:rPr>
        <w:t xml:space="preserve">PART 1  —  WHAT WE ARE BUILDING</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4700"/>
        <w:gridCol w:w="4820"/>
      </w:tblGrid>
      <w:tr>
        <w:tc>
          <w:tcPr>
            <w:tcW w:type="dxa" w:w="4700"/>
            <w:tcBorders>
              <w:top w:val="single" w:color="D1D5DB" w:sz="1"/>
              <w:left w:val="single" w:color="D1D5DB" w:sz="1"/>
              <w:bottom w:val="single" w:color="D1D5DB" w:sz="1"/>
              <w:right w:val="single" w:color="D1D5DB" w:sz="1"/>
            </w:tcBorders>
            <w:shd w:fill="FFF7ED" w:val="clear"/>
            <w:tcMar>
              <w:top w:type="dxa" w:w="80"/>
              <w:left w:type="dxa" w:w="110"/>
              <w:bottom w:type="dxa" w:w="80"/>
              <w:right w:type="dxa" w:w="110"/>
            </w:tcMar>
          </w:tcPr>
          <w:p>
            <w:pPr>
              <w:spacing w:after="40" w:before="0"/>
            </w:pPr>
            <w:r>
              <w:rPr>
                <w:rFonts w:ascii="Arial" w:cs="Arial" w:eastAsia="Arial" w:hAnsi="Arial"/>
                <w:b/>
                <w:bCs/>
                <w:color w:val="B45309"/>
                <w:sz w:val="18"/>
                <w:szCs w:val="18"/>
              </w:rPr>
              <w:t xml:space="preserve">The Problem</w:t>
            </w:r>
          </w:p>
          <w:p>
            <w:pPr>
              <w:spacing w:after="0" w:before="0"/>
            </w:pPr>
            <w:r>
              <w:rPr>
                <w:rFonts w:ascii="Arial" w:cs="Arial" w:eastAsia="Arial" w:hAnsi="Arial"/>
                <w:b w:val="false"/>
                <w:bCs w:val="false"/>
                <w:color w:val="1F2937"/>
                <w:sz w:val="17"/>
                <w:szCs w:val="17"/>
              </w:rPr>
              <w:t xml:space="preserve">Each of our four sites fills in an Excel sheet every month, emails it to the sustainability team, who then manually apply carbon conversion rates and piece together a PDF report. It takes weeks, errors creep in, and there's no audit trail.</w:t>
            </w:r>
          </w:p>
        </w:tc>
        <w:tc>
          <w:tcPr>
            <w:tcW w:type="dxa" w:w="4820"/>
            <w:tcBorders>
              <w:top w:val="single" w:color="D1D5DB" w:sz="1"/>
              <w:left w:val="single" w:color="D1D5DB" w:sz="1"/>
              <w:bottom w:val="single" w:color="D1D5DB" w:sz="1"/>
              <w:right w:val="single" w:color="D1D5DB" w:sz="1"/>
            </w:tcBorders>
            <w:shd w:fill="E8F5F0" w:val="clear"/>
            <w:tcMar>
              <w:top w:type="dxa" w:w="80"/>
              <w:left w:type="dxa" w:w="110"/>
              <w:bottom w:type="dxa" w:w="80"/>
              <w:right w:type="dxa" w:w="110"/>
            </w:tcMar>
          </w:tcPr>
          <w:p>
            <w:pPr>
              <w:spacing w:after="40" w:before="0"/>
            </w:pPr>
            <w:r>
              <w:rPr>
                <w:rFonts w:ascii="Arial" w:cs="Arial" w:eastAsia="Arial" w:hAnsi="Arial"/>
                <w:b/>
                <w:bCs/>
                <w:color w:val="064E3B"/>
                <w:sz w:val="18"/>
                <w:szCs w:val="18"/>
              </w:rPr>
              <w:t xml:space="preserve">The Solution</w:t>
            </w:r>
          </w:p>
          <w:p>
            <w:pPr>
              <w:spacing w:after="0" w:before="0"/>
            </w:pPr>
            <w:r>
              <w:rPr>
                <w:rFonts w:ascii="Arial" w:cs="Arial" w:eastAsia="Arial" w:hAnsi="Arial"/>
                <w:b w:val="false"/>
                <w:bCs w:val="false"/>
                <w:color w:val="1F2937"/>
                <w:sz w:val="17"/>
                <w:szCs w:val="17"/>
              </w:rPr>
              <w:t xml:space="preserve">A single web portal where every site logs in, enters their monthly data, and the system automatically converts it to carbon figures using official government rates — then produces reports ready to publish. No spreadsheets. No email chains. One source of truth.</w:t>
            </w:r>
          </w:p>
        </w:tc>
      </w:tr>
    </w:tbl>
    <w:p>
      <w:pPr>
        <w:pBdr>
          <w:bottom w:val="single" w:color="E8F5F0" w:sz="3"/>
        </w:pBdr>
        <w:spacing w:after="65" w:before="130"/>
      </w:pPr>
      <w:r>
        <w:rPr>
          <w:rFonts w:ascii="Arial" w:cs="Arial" w:eastAsia="Arial" w:hAnsi="Arial"/>
          <w:b/>
          <w:bCs/>
          <w:color w:val="064E3B"/>
          <w:sz w:val="21"/>
          <w:szCs w:val="21"/>
        </w:rPr>
        <w:t xml:space="preserve">Who Uses It</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100"/>
        <w:gridCol w:w="7420"/>
      </w:tblGrid>
      <w:tr>
        <w:tc>
          <w:tcPr>
            <w:tcW w:type="dxa" w:w="2100"/>
            <w:tcBorders>
              <w:top w:val="single" w:color="D1D5DB" w:sz="1"/>
              <w:left w:val="single" w:color="D1D5DB" w:sz="1"/>
              <w:bottom w:val="single" w:color="D1D5DB" w:sz="1"/>
              <w:right w:val="single" w:color="D1D5DB" w:sz="1"/>
            </w:tcBorders>
            <w:shd w:fill="064E3B" w:val="clear"/>
            <w:tcMar>
              <w:top w:type="dxa" w:w="55"/>
              <w:left w:type="dxa" w:w="90"/>
              <w:bottom w:type="dxa" w:w="55"/>
              <w:right w:type="dxa" w:w="90"/>
            </w:tcMar>
          </w:tcPr>
          <w:p>
            <w:r>
              <w:rPr>
                <w:rFonts w:ascii="Arial" w:cs="Arial" w:eastAsia="Arial" w:hAnsi="Arial"/>
                <w:b/>
                <w:bCs/>
                <w:color w:val="FFFFFF"/>
                <w:sz w:val="16"/>
                <w:szCs w:val="16"/>
              </w:rPr>
              <w:t xml:space="preserve">Who</w:t>
            </w:r>
          </w:p>
        </w:tc>
        <w:tc>
          <w:tcPr>
            <w:tcW w:type="dxa" w:w="7420"/>
            <w:tcBorders>
              <w:top w:val="single" w:color="D1D5DB" w:sz="1"/>
              <w:left w:val="single" w:color="D1D5DB" w:sz="1"/>
              <w:bottom w:val="single" w:color="D1D5DB" w:sz="1"/>
              <w:right w:val="single" w:color="D1D5DB" w:sz="1"/>
            </w:tcBorders>
            <w:shd w:fill="064E3B" w:val="clear"/>
            <w:tcMar>
              <w:top w:type="dxa" w:w="55"/>
              <w:left w:type="dxa" w:w="90"/>
              <w:bottom w:type="dxa" w:w="55"/>
              <w:right w:type="dxa" w:w="90"/>
            </w:tcMar>
          </w:tcPr>
          <w:p>
            <w:r>
              <w:rPr>
                <w:rFonts w:ascii="Arial" w:cs="Arial" w:eastAsia="Arial" w:hAnsi="Arial"/>
                <w:b/>
                <w:bCs/>
                <w:color w:val="FFFFFF"/>
                <w:sz w:val="16"/>
                <w:szCs w:val="16"/>
              </w:rPr>
              <w:t xml:space="preserve">What they can now do</w:t>
            </w:r>
          </w:p>
        </w:tc>
      </w:tr>
      <w:tr>
        <w:tc>
          <w:tcPr>
            <w:tcW w:type="dxa" w:w="2100"/>
            <w:tcBorders>
              <w:top w:val="single" w:color="D1D5DB" w:sz="1"/>
              <w:left w:val="single" w:color="D1D5DB" w:sz="1"/>
              <w:bottom w:val="single" w:color="D1D5DB" w:sz="1"/>
              <w:right w:val="single" w:color="D1D5DB" w:sz="1"/>
            </w:tcBorders>
            <w:shd w:fill="E8F5F0" w:val="clear"/>
            <w:tcMar>
              <w:top w:type="dxa" w:w="55"/>
              <w:left w:type="dxa" w:w="90"/>
              <w:bottom w:type="dxa" w:w="55"/>
              <w:right w:type="dxa" w:w="90"/>
            </w:tcMar>
          </w:tcPr>
          <w:p>
            <w:r>
              <w:rPr>
                <w:rFonts w:ascii="Arial" w:cs="Arial" w:eastAsia="Arial" w:hAnsi="Arial"/>
                <w:b/>
                <w:bCs/>
                <w:color w:val="064E3B"/>
                <w:sz w:val="16"/>
                <w:szCs w:val="16"/>
              </w:rPr>
              <w:t xml:space="preserve">Site Managers</w:t>
            </w:r>
          </w:p>
        </w:tc>
        <w:tc>
          <w:tcPr>
            <w:tcW w:type="dxa" w:w="7420"/>
            <w:tcBorders>
              <w:top w:val="single" w:color="D1D5DB" w:sz="1"/>
              <w:left w:val="single" w:color="D1D5DB" w:sz="1"/>
              <w:bottom w:val="single" w:color="D1D5DB" w:sz="1"/>
              <w:right w:val="single" w:color="D1D5DB" w:sz="1"/>
            </w:tcBorders>
            <w:shd w:fill="E8F5F0" w:val="clear"/>
            <w:tcMar>
              <w:top w:type="dxa" w:w="55"/>
              <w:left w:type="dxa" w:w="90"/>
              <w:bottom w:type="dxa" w:w="55"/>
              <w:right w:type="dxa" w:w="90"/>
            </w:tcMar>
          </w:tcPr>
          <w:p>
            <w:r>
              <w:rPr>
                <w:rFonts w:ascii="Arial" w:cs="Arial" w:eastAsia="Arial" w:hAnsi="Arial"/>
                <w:b w:val="false"/>
                <w:bCs w:val="false"/>
                <w:color w:val="1F2937"/>
                <w:sz w:val="16"/>
                <w:szCs w:val="16"/>
              </w:rPr>
              <w:t xml:space="preserve">Log in once a month and enter fuel, electricity, water, travel data from any device — no spreadsheets.</w:t>
            </w:r>
          </w:p>
        </w:tc>
      </w:tr>
      <w:tr>
        <w:tc>
          <w:tcPr>
            <w:tcW w:type="dxa" w:w="2100"/>
            <w:tcBorders>
              <w:top w:val="single" w:color="D1D5DB" w:sz="1"/>
              <w:left w:val="single" w:color="D1D5DB" w:sz="1"/>
              <w:bottom w:val="single" w:color="D1D5DB" w:sz="1"/>
              <w:right w:val="single" w:color="D1D5DB" w:sz="1"/>
            </w:tcBorders>
            <w:shd w:fill="F9FAFB" w:val="clear"/>
            <w:tcMar>
              <w:top w:type="dxa" w:w="55"/>
              <w:left w:type="dxa" w:w="90"/>
              <w:bottom w:type="dxa" w:w="55"/>
              <w:right w:type="dxa" w:w="90"/>
            </w:tcMar>
          </w:tcPr>
          <w:p>
            <w:r>
              <w:rPr>
                <w:rFonts w:ascii="Arial" w:cs="Arial" w:eastAsia="Arial" w:hAnsi="Arial"/>
                <w:b/>
                <w:bCs/>
                <w:color w:val="064E3B"/>
                <w:sz w:val="16"/>
                <w:szCs w:val="16"/>
              </w:rPr>
              <w:t xml:space="preserve">ESG Team</w:t>
            </w:r>
          </w:p>
        </w:tc>
        <w:tc>
          <w:tcPr>
            <w:tcW w:type="dxa" w:w="7420"/>
            <w:tcBorders>
              <w:top w:val="single" w:color="D1D5DB" w:sz="1"/>
              <w:left w:val="single" w:color="D1D5DB" w:sz="1"/>
              <w:bottom w:val="single" w:color="D1D5DB" w:sz="1"/>
              <w:right w:val="single" w:color="D1D5DB" w:sz="1"/>
            </w:tcBorders>
            <w:shd w:fill="F9FAFB" w:val="clear"/>
            <w:tcMar>
              <w:top w:type="dxa" w:w="55"/>
              <w:left w:type="dxa" w:w="90"/>
              <w:bottom w:type="dxa" w:w="55"/>
              <w:right w:type="dxa" w:w="90"/>
            </w:tcMar>
          </w:tcPr>
          <w:p>
            <w:r>
              <w:rPr>
                <w:rFonts w:ascii="Arial" w:cs="Arial" w:eastAsia="Arial" w:hAnsi="Arial"/>
                <w:b w:val="false"/>
                <w:bCs w:val="false"/>
                <w:color w:val="1F2937"/>
                <w:sz w:val="16"/>
                <w:szCs w:val="16"/>
              </w:rPr>
              <w:t xml:space="preserve">See all four sites in one dashboard. Approve entries. Generate company-wide reports in seconds.</w:t>
            </w:r>
          </w:p>
        </w:tc>
      </w:tr>
      <w:tr>
        <w:tc>
          <w:tcPr>
            <w:tcW w:type="dxa" w:w="2100"/>
            <w:tcBorders>
              <w:top w:val="single" w:color="D1D5DB" w:sz="1"/>
              <w:left w:val="single" w:color="D1D5DB" w:sz="1"/>
              <w:bottom w:val="single" w:color="D1D5DB" w:sz="1"/>
              <w:right w:val="single" w:color="D1D5DB" w:sz="1"/>
            </w:tcBorders>
            <w:shd w:fill="E8F5F0" w:val="clear"/>
            <w:tcMar>
              <w:top w:type="dxa" w:w="55"/>
              <w:left w:type="dxa" w:w="90"/>
              <w:bottom w:type="dxa" w:w="55"/>
              <w:right w:type="dxa" w:w="90"/>
            </w:tcMar>
          </w:tcPr>
          <w:p>
            <w:r>
              <w:rPr>
                <w:rFonts w:ascii="Arial" w:cs="Arial" w:eastAsia="Arial" w:hAnsi="Arial"/>
                <w:b/>
                <w:bCs/>
                <w:color w:val="064E3B"/>
                <w:sz w:val="16"/>
                <w:szCs w:val="16"/>
              </w:rPr>
              <w:t xml:space="preserve">CSR &amp; Social Team</w:t>
            </w:r>
          </w:p>
        </w:tc>
        <w:tc>
          <w:tcPr>
            <w:tcW w:type="dxa" w:w="7420"/>
            <w:tcBorders>
              <w:top w:val="single" w:color="D1D5DB" w:sz="1"/>
              <w:left w:val="single" w:color="D1D5DB" w:sz="1"/>
              <w:bottom w:val="single" w:color="D1D5DB" w:sz="1"/>
              <w:right w:val="single" w:color="D1D5DB" w:sz="1"/>
            </w:tcBorders>
            <w:shd w:fill="E8F5F0" w:val="clear"/>
            <w:tcMar>
              <w:top w:type="dxa" w:w="55"/>
              <w:left w:type="dxa" w:w="90"/>
              <w:bottom w:type="dxa" w:w="55"/>
              <w:right w:type="dxa" w:w="90"/>
            </w:tcMar>
          </w:tcPr>
          <w:p>
            <w:r>
              <w:rPr>
                <w:rFonts w:ascii="Arial" w:cs="Arial" w:eastAsia="Arial" w:hAnsi="Arial"/>
                <w:b w:val="false"/>
                <w:bCs w:val="false"/>
                <w:color w:val="1F2937"/>
                <w:sz w:val="16"/>
                <w:szCs w:val="16"/>
              </w:rPr>
              <w:t xml:space="preserve">Record every community programme — participants, costs, outcomes, evidence — through a guided wizard.</w:t>
            </w:r>
          </w:p>
        </w:tc>
      </w:tr>
      <w:tr>
        <w:tc>
          <w:tcPr>
            <w:tcW w:type="dxa" w:w="2100"/>
            <w:tcBorders>
              <w:top w:val="single" w:color="D1D5DB" w:sz="1"/>
              <w:left w:val="single" w:color="D1D5DB" w:sz="1"/>
              <w:bottom w:val="single" w:color="D1D5DB" w:sz="1"/>
              <w:right w:val="single" w:color="D1D5DB" w:sz="1"/>
            </w:tcBorders>
            <w:shd w:fill="F9FAFB" w:val="clear"/>
            <w:tcMar>
              <w:top w:type="dxa" w:w="55"/>
              <w:left w:type="dxa" w:w="90"/>
              <w:bottom w:type="dxa" w:w="55"/>
              <w:right w:type="dxa" w:w="90"/>
            </w:tcMar>
          </w:tcPr>
          <w:p>
            <w:r>
              <w:rPr>
                <w:rFonts w:ascii="Arial" w:cs="Arial" w:eastAsia="Arial" w:hAnsi="Arial"/>
                <w:b/>
                <w:bCs/>
                <w:color w:val="064E3B"/>
                <w:sz w:val="16"/>
                <w:szCs w:val="16"/>
              </w:rPr>
              <w:t xml:space="preserve">Leadership</w:t>
            </w:r>
          </w:p>
        </w:tc>
        <w:tc>
          <w:tcPr>
            <w:tcW w:type="dxa" w:w="7420"/>
            <w:tcBorders>
              <w:top w:val="single" w:color="D1D5DB" w:sz="1"/>
              <w:left w:val="single" w:color="D1D5DB" w:sz="1"/>
              <w:bottom w:val="single" w:color="D1D5DB" w:sz="1"/>
              <w:right w:val="single" w:color="D1D5DB" w:sz="1"/>
            </w:tcBorders>
            <w:shd w:fill="F9FAFB" w:val="clear"/>
            <w:tcMar>
              <w:top w:type="dxa" w:w="55"/>
              <w:left w:type="dxa" w:w="90"/>
              <w:bottom w:type="dxa" w:w="55"/>
              <w:right w:type="dxa" w:w="90"/>
            </w:tcMar>
          </w:tcPr>
          <w:p>
            <w:r>
              <w:rPr>
                <w:rFonts w:ascii="Arial" w:cs="Arial" w:eastAsia="Arial" w:hAnsi="Arial"/>
                <w:b w:val="false"/>
                <w:bCs w:val="false"/>
                <w:color w:val="1F2937"/>
                <w:sz w:val="16"/>
                <w:szCs w:val="16"/>
              </w:rPr>
              <w:t xml:space="preserve">Open the dashboard and instantly see total carbon emitted, which site is highest, and whether targets are on track.</w:t>
            </w:r>
          </w:p>
        </w:tc>
      </w:tr>
      <w:tr>
        <w:tc>
          <w:tcPr>
            <w:tcW w:type="dxa" w:w="2100"/>
            <w:tcBorders>
              <w:top w:val="single" w:color="D1D5DB" w:sz="1"/>
              <w:left w:val="single" w:color="D1D5DB" w:sz="1"/>
              <w:bottom w:val="single" w:color="D1D5DB" w:sz="1"/>
              <w:right w:val="single" w:color="D1D5DB" w:sz="1"/>
            </w:tcBorders>
            <w:shd w:fill="E8F5F0" w:val="clear"/>
            <w:tcMar>
              <w:top w:type="dxa" w:w="55"/>
              <w:left w:type="dxa" w:w="90"/>
              <w:bottom w:type="dxa" w:w="55"/>
              <w:right w:type="dxa" w:w="90"/>
            </w:tcMar>
          </w:tcPr>
          <w:p>
            <w:r>
              <w:rPr>
                <w:rFonts w:ascii="Arial" w:cs="Arial" w:eastAsia="Arial" w:hAnsi="Arial"/>
                <w:b/>
                <w:bCs/>
                <w:color w:val="064E3B"/>
                <w:sz w:val="16"/>
                <w:szCs w:val="16"/>
              </w:rPr>
              <w:t xml:space="preserve">Auditors</w:t>
            </w:r>
          </w:p>
        </w:tc>
        <w:tc>
          <w:tcPr>
            <w:tcW w:type="dxa" w:w="7420"/>
            <w:tcBorders>
              <w:top w:val="single" w:color="D1D5DB" w:sz="1"/>
              <w:left w:val="single" w:color="D1D5DB" w:sz="1"/>
              <w:bottom w:val="single" w:color="D1D5DB" w:sz="1"/>
              <w:right w:val="single" w:color="D1D5DB" w:sz="1"/>
            </w:tcBorders>
            <w:shd w:fill="E8F5F0" w:val="clear"/>
            <w:tcMar>
              <w:top w:type="dxa" w:w="55"/>
              <w:left w:type="dxa" w:w="90"/>
              <w:bottom w:type="dxa" w:w="55"/>
              <w:right w:type="dxa" w:w="90"/>
            </w:tcMar>
          </w:tcPr>
          <w:p>
            <w:r>
              <w:rPr>
                <w:rFonts w:ascii="Arial" w:cs="Arial" w:eastAsia="Arial" w:hAnsi="Arial"/>
                <w:b w:val="false"/>
                <w:bCs w:val="false"/>
                <w:color w:val="1F2937"/>
                <w:sz w:val="16"/>
                <w:szCs w:val="16"/>
              </w:rPr>
              <w:t xml:space="preserve">Access a clean, timestamped record of every entry, emission factor used, and supporting document.</w:t>
            </w:r>
          </w:p>
        </w:tc>
      </w:tr>
    </w:tbl>
    <w:p>
      <w:pPr>
        <w:pBdr>
          <w:bottom w:val="single" w:color="E8F5F0" w:sz="3"/>
        </w:pBdr>
        <w:spacing w:after="65" w:before="130"/>
      </w:pPr>
      <w:r>
        <w:rPr>
          <w:rFonts w:ascii="Arial" w:cs="Arial" w:eastAsia="Arial" w:hAnsi="Arial"/>
          <w:b/>
          <w:bCs/>
          <w:color w:val="064E3B"/>
          <w:sz w:val="21"/>
          <w:szCs w:val="21"/>
        </w:rPr>
        <w:t xml:space="preserve">What It Covers</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3160"/>
        <w:gridCol w:w="3160"/>
        <w:gridCol w:w="3200"/>
      </w:tblGrid>
      <w:tr>
        <w:tc>
          <w:tcPr>
            <w:tcW w:type="dxa" w:w="3160"/>
            <w:tcBorders>
              <w:top w:val="single" w:color="D1D5DB" w:sz="1"/>
              <w:left w:val="single" w:color="D1D5DB" w:sz="1"/>
              <w:bottom w:val="single" w:color="D1D5DB" w:sz="1"/>
              <w:right w:val="single" w:color="D1D5DB" w:sz="1"/>
            </w:tcBorders>
            <w:shd w:fill="E8F5F0" w:val="clear"/>
            <w:tcMar>
              <w:top w:type="dxa" w:w="70"/>
              <w:left w:type="dxa" w:w="100"/>
              <w:bottom w:type="dxa" w:w="70"/>
              <w:right w:type="dxa" w:w="100"/>
            </w:tcMar>
          </w:tcPr>
          <w:p>
            <w:pPr>
              <w:spacing w:after="35" w:before="0"/>
            </w:pPr>
            <w:r>
              <w:rPr>
                <w:rFonts w:ascii="Arial" w:cs="Arial" w:eastAsia="Arial" w:hAnsi="Arial"/>
                <w:b/>
                <w:bCs/>
                <w:color w:val="064E3B"/>
                <w:sz w:val="17"/>
                <w:szCs w:val="17"/>
              </w:rPr>
              <w:t xml:space="preserve">Scope 1 — Direct Emissions</w:t>
            </w:r>
          </w:p>
          <w:p>
            <w:pPr>
              <w:spacing w:after="0" w:before="0"/>
            </w:pPr>
            <w:r>
              <w:rPr>
                <w:rFonts w:ascii="Arial" w:cs="Arial" w:eastAsia="Arial" w:hAnsi="Arial"/>
                <w:b w:val="false"/>
                <w:bCs w:val="false"/>
                <w:color w:val="1F2937"/>
                <w:sz w:val="16"/>
                <w:szCs w:val="16"/>
              </w:rPr>
              <w:t xml:space="preserve">Fuel burned in generators, boilers, and company vehicles. Gas leaking from AC units.</w:t>
            </w:r>
          </w:p>
        </w:tc>
        <w:tc>
          <w:tcPr>
            <w:tcW w:type="dxa" w:w="3160"/>
            <w:tcBorders>
              <w:top w:val="single" w:color="D1D5DB" w:sz="1"/>
              <w:left w:val="single" w:color="D1D5DB" w:sz="1"/>
              <w:bottom w:val="single" w:color="D1D5DB" w:sz="1"/>
              <w:right w:val="single" w:color="D1D5DB" w:sz="1"/>
            </w:tcBorders>
            <w:shd w:fill="E8F5F0" w:val="clear"/>
            <w:tcMar>
              <w:top w:type="dxa" w:w="70"/>
              <w:left w:type="dxa" w:w="100"/>
              <w:bottom w:type="dxa" w:w="70"/>
              <w:right w:type="dxa" w:w="100"/>
            </w:tcMar>
          </w:tcPr>
          <w:p>
            <w:pPr>
              <w:spacing w:after="35" w:before="0"/>
            </w:pPr>
            <w:r>
              <w:rPr>
                <w:rFonts w:ascii="Arial" w:cs="Arial" w:eastAsia="Arial" w:hAnsi="Arial"/>
                <w:b/>
                <w:bCs/>
                <w:color w:val="064E3B"/>
                <w:sz w:val="17"/>
                <w:szCs w:val="17"/>
              </w:rPr>
              <w:t xml:space="preserve">Scope 2 — Energy Bought</w:t>
            </w:r>
          </w:p>
          <w:p>
            <w:pPr>
              <w:spacing w:after="0" w:before="0"/>
            </w:pPr>
            <w:r>
              <w:rPr>
                <w:rFonts w:ascii="Arial" w:cs="Arial" w:eastAsia="Arial" w:hAnsi="Arial"/>
                <w:b w:val="false"/>
                <w:bCs w:val="false"/>
                <w:color w:val="1F2937"/>
                <w:sz w:val="16"/>
                <w:szCs w:val="16"/>
              </w:rPr>
              <w:t xml:space="preserve">Electricity from the grid. Heat or steam purchased. On-site solar generation reducing grid use.</w:t>
            </w:r>
          </w:p>
        </w:tc>
        <w:tc>
          <w:tcPr>
            <w:tcW w:type="dxa" w:w="3200"/>
            <w:tcBorders>
              <w:top w:val="single" w:color="D1D5DB" w:sz="1"/>
              <w:left w:val="single" w:color="D1D5DB" w:sz="1"/>
              <w:bottom w:val="single" w:color="D1D5DB" w:sz="1"/>
              <w:right w:val="single" w:color="D1D5DB" w:sz="1"/>
            </w:tcBorders>
            <w:shd w:fill="E8F5F0" w:val="clear"/>
            <w:tcMar>
              <w:top w:type="dxa" w:w="70"/>
              <w:left w:type="dxa" w:w="100"/>
              <w:bottom w:type="dxa" w:w="70"/>
              <w:right w:type="dxa" w:w="100"/>
            </w:tcMar>
          </w:tcPr>
          <w:p>
            <w:pPr>
              <w:spacing w:after="35" w:before="0"/>
            </w:pPr>
            <w:r>
              <w:rPr>
                <w:rFonts w:ascii="Arial" w:cs="Arial" w:eastAsia="Arial" w:hAnsi="Arial"/>
                <w:b/>
                <w:bCs/>
                <w:color w:val="064E3B"/>
                <w:sz w:val="17"/>
                <w:szCs w:val="17"/>
              </w:rPr>
              <w:t xml:space="preserve">Scope 3 — Everything Else</w:t>
            </w:r>
          </w:p>
          <w:p>
            <w:pPr>
              <w:spacing w:after="0" w:before="0"/>
            </w:pPr>
            <w:r>
              <w:rPr>
                <w:rFonts w:ascii="Arial" w:cs="Arial" w:eastAsia="Arial" w:hAnsi="Arial"/>
                <w:b w:val="false"/>
                <w:bCs w:val="false"/>
                <w:color w:val="1F2937"/>
                <w:sz w:val="16"/>
                <w:szCs w:val="16"/>
              </w:rPr>
              <w:t xml:space="preserve">Staff commuting, business flights, hotel stays, water use, waste, freight, purchased goods. 13 categories.</w:t>
            </w:r>
          </w:p>
        </w:tc>
      </w:tr>
    </w:tbl>
    <w:p>
      <w:pPr>
        <w:pBdr>
          <w:top w:val="single" w:color="D1D5DB" w:sz="3"/>
        </w:pBdr>
        <w:spacing w:after="60" w:before="140"/>
      </w:pPr>
      <w:r>
        <w:rPr>
          <w:rFonts w:ascii="Arial" w:cs="Arial" w:eastAsia="Arial" w:hAnsi="Arial"/>
          <w:b/>
          <w:bCs/>
          <w:color w:val="064E3B"/>
          <w:sz w:val="18"/>
          <w:szCs w:val="18"/>
        </w:rPr>
        <w:t xml:space="preserve">PART 2  —  HOW WE ARE BUILDING IT</w:t>
      </w:r>
    </w:p>
    <w:p>
      <w:pPr>
        <w:pBdr>
          <w:bottom w:val="single" w:color="E8F5F0" w:sz="3"/>
        </w:pBdr>
        <w:spacing w:after="65" w:before="130"/>
      </w:pPr>
      <w:r>
        <w:rPr>
          <w:rFonts w:ascii="Arial" w:cs="Arial" w:eastAsia="Arial" w:hAnsi="Arial"/>
          <w:b/>
          <w:bCs/>
          <w:color w:val="064E3B"/>
          <w:sz w:val="21"/>
          <w:szCs w:val="21"/>
        </w:rPr>
        <w:t xml:space="preserve">Project Structure</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760"/>
      </w:tblGrid>
      <w:tr>
        <w:tc>
          <w:tcPr>
            <w:tcW w:type="dxa" w:w="2000"/>
            <w:tcBorders>
              <w:top w:val="single" w:color="D1D5DB" w:sz="1"/>
              <w:left w:val="single" w:color="D1D5DB" w:sz="1"/>
              <w:bottom w:val="single" w:color="D1D5DB" w:sz="1"/>
              <w:right w:val="single" w:color="D1D5DB" w:sz="1"/>
            </w:tcBorders>
            <w:shd w:fill="064E3B" w:val="clear"/>
            <w:tcMar>
              <w:top w:type="dxa" w:w="55"/>
              <w:left w:type="dxa" w:w="90"/>
              <w:bottom w:type="dxa" w:w="55"/>
              <w:right w:type="dxa" w:w="90"/>
            </w:tcMar>
          </w:tcPr>
          <w:p>
            <w:r>
              <w:rPr>
                <w:rFonts w:ascii="Arial" w:cs="Arial" w:eastAsia="Arial" w:hAnsi="Arial"/>
                <w:b/>
                <w:bCs/>
                <w:color w:val="FFFFFF"/>
                <w:sz w:val="16"/>
                <w:szCs w:val="16"/>
              </w:rPr>
              <w:t xml:space="preserve">Area</w:t>
            </w:r>
          </w:p>
        </w:tc>
        <w:tc>
          <w:tcPr>
            <w:tcW w:type="dxa" w:w="3760"/>
            <w:tcBorders>
              <w:top w:val="single" w:color="D1D5DB" w:sz="1"/>
              <w:left w:val="single" w:color="D1D5DB" w:sz="1"/>
              <w:bottom w:val="single" w:color="D1D5DB" w:sz="1"/>
              <w:right w:val="single" w:color="D1D5DB" w:sz="1"/>
            </w:tcBorders>
            <w:shd w:fill="064E3B" w:val="clear"/>
            <w:tcMar>
              <w:top w:type="dxa" w:w="55"/>
              <w:left w:type="dxa" w:w="90"/>
              <w:bottom w:type="dxa" w:w="55"/>
              <w:right w:type="dxa" w:w="90"/>
            </w:tcMar>
          </w:tcPr>
          <w:p>
            <w:r>
              <w:rPr>
                <w:rFonts w:ascii="Arial" w:cs="Arial" w:eastAsia="Arial" w:hAnsi="Arial"/>
                <w:b/>
                <w:bCs/>
                <w:color w:val="FFFFFF"/>
                <w:sz w:val="16"/>
                <w:szCs w:val="16"/>
              </w:rPr>
              <w:t xml:space="preserve">Claude (AI Agent)</w:t>
            </w:r>
          </w:p>
        </w:tc>
        <w:tc>
          <w:tcPr>
            <w:tcW w:type="dxa" w:w="3760"/>
            <w:tcBorders>
              <w:top w:val="single" w:color="D1D5DB" w:sz="1"/>
              <w:left w:val="single" w:color="D1D5DB" w:sz="1"/>
              <w:bottom w:val="single" w:color="D1D5DB" w:sz="1"/>
              <w:right w:val="single" w:color="D1D5DB" w:sz="1"/>
            </w:tcBorders>
            <w:shd w:fill="064E3B" w:val="clear"/>
            <w:tcMar>
              <w:top w:type="dxa" w:w="55"/>
              <w:left w:type="dxa" w:w="90"/>
              <w:bottom w:type="dxa" w:w="55"/>
              <w:right w:type="dxa" w:w="90"/>
            </w:tcMar>
          </w:tcPr>
          <w:p>
            <w:r>
              <w:rPr>
                <w:rFonts w:ascii="Arial" w:cs="Arial" w:eastAsia="Arial" w:hAnsi="Arial"/>
                <w:b/>
                <w:bCs/>
                <w:color w:val="FFFFFF"/>
                <w:sz w:val="16"/>
                <w:szCs w:val="16"/>
              </w:rPr>
              <w:t xml:space="preserve">Codex (AI Agent)</w:t>
            </w:r>
          </w:p>
        </w:tc>
      </w:tr>
      <w:tr>
        <w:tc>
          <w:tcPr>
            <w:tcW w:type="dxa" w:w="2000"/>
            <w:tcBorders>
              <w:top w:val="single" w:color="D1D5DB" w:sz="1"/>
              <w:left w:val="single" w:color="D1D5DB" w:sz="1"/>
              <w:bottom w:val="single" w:color="D1D5DB" w:sz="1"/>
              <w:right w:val="single" w:color="D1D5DB" w:sz="1"/>
            </w:tcBorders>
            <w:shd w:fill="E8F5F0" w:val="clear"/>
            <w:tcMar>
              <w:top w:type="dxa" w:w="55"/>
              <w:left w:type="dxa" w:w="90"/>
              <w:bottom w:type="dxa" w:w="55"/>
              <w:right w:type="dxa" w:w="90"/>
            </w:tcMar>
          </w:tcPr>
          <w:p>
            <w:r>
              <w:rPr>
                <w:rFonts w:ascii="Arial" w:cs="Arial" w:eastAsia="Arial" w:hAnsi="Arial"/>
                <w:b/>
                <w:bCs/>
                <w:color w:val="064E3B"/>
                <w:sz w:val="16"/>
                <w:szCs w:val="16"/>
              </w:rPr>
              <w:t xml:space="preserve">Frontend</w:t>
            </w:r>
          </w:p>
        </w:tc>
        <w:tc>
          <w:tcPr>
            <w:tcW w:type="dxa" w:w="3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spacing w:after="0" w:before="0"/>
            </w:pPr>
            <w:r>
              <w:rPr>
                <w:rFonts w:ascii="Arial" w:cs="Arial" w:eastAsia="Arial" w:hAnsi="Arial"/>
                <w:b w:val="false"/>
                <w:bCs w:val="false"/>
                <w:color w:val="1F2937"/>
                <w:sz w:val="16"/>
                <w:szCs w:val="16"/>
              </w:rPr>
              <w:t xml:space="preserve">Login, Reset Password, Navbar, Layout, Help, Governance pages. Design system &amp; brand identity.</w:t>
            </w:r>
          </w:p>
        </w:tc>
        <w:tc>
          <w:tcPr>
            <w:tcW w:type="dxa" w:w="3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spacing w:after="0" w:before="0"/>
            </w:pPr>
            <w:r>
              <w:rPr>
                <w:rFonts w:ascii="Arial" w:cs="Arial" w:eastAsia="Arial" w:hAnsi="Arial"/>
                <w:b w:val="false"/>
                <w:bCs w:val="false"/>
                <w:color w:val="1F2937"/>
                <w:sz w:val="16"/>
                <w:szCs w:val="16"/>
              </w:rPr>
              <w:t xml:space="preserve">Dashboard, Sites, GHG Reports, all 19 emission entry forms, Social wizard (complete), CSR wizard (in progress).</w:t>
            </w:r>
          </w:p>
        </w:tc>
      </w:tr>
      <w:tr>
        <w:tc>
          <w:tcPr>
            <w:tcW w:type="dxa" w:w="2000"/>
            <w:tcBorders>
              <w:top w:val="single" w:color="D1D5DB" w:sz="1"/>
              <w:left w:val="single" w:color="D1D5DB" w:sz="1"/>
              <w:bottom w:val="single" w:color="D1D5DB" w:sz="1"/>
              <w:right w:val="single" w:color="D1D5DB" w:sz="1"/>
            </w:tcBorders>
            <w:shd w:fill="E8F5F0" w:val="clear"/>
            <w:tcMar>
              <w:top w:type="dxa" w:w="55"/>
              <w:left w:type="dxa" w:w="90"/>
              <w:bottom w:type="dxa" w:w="55"/>
              <w:right w:type="dxa" w:w="90"/>
            </w:tcMar>
          </w:tcPr>
          <w:p>
            <w:r>
              <w:rPr>
                <w:rFonts w:ascii="Arial" w:cs="Arial" w:eastAsia="Arial" w:hAnsi="Arial"/>
                <w:b/>
                <w:bCs/>
                <w:color w:val="064E3B"/>
                <w:sz w:val="16"/>
                <w:szCs w:val="16"/>
              </w:rPr>
              <w:t xml:space="preserve">Data &amp; Calc</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F2937"/>
                <w:sz w:val="16"/>
                <w:szCs w:val="16"/>
              </w:rPr>
              <w:t xml:space="preserve">DEFRA 2025 emission factors wired in (50+ fuels, 30+ vehicles, 150+ refrigerants). Dashboard live data.</w:t>
            </w:r>
          </w:p>
        </w:tc>
        <w:tc>
          <w:tcPr>
            <w:tcW w:type="dxa" w:w="3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1F2937"/>
                <w:sz w:val="16"/>
                <w:szCs w:val="16"/>
              </w:rPr>
              <w:t xml:space="preserve">SQL database schema. Python calculation engine. GHG report export. Scope summary pages.</w:t>
            </w:r>
          </w:p>
        </w:tc>
      </w:tr>
    </w:tbl>
    <w:p>
      <w:pPr>
        <w:pBdr>
          <w:bottom w:val="single" w:color="E8F5F0" w:sz="3"/>
        </w:pBdr>
        <w:spacing w:after="65" w:before="130"/>
      </w:pPr>
      <w:r>
        <w:rPr>
          <w:rFonts w:ascii="Arial" w:cs="Arial" w:eastAsia="Arial" w:hAnsi="Arial"/>
          <w:b/>
          <w:bCs/>
          <w:color w:val="064E3B"/>
          <w:sz w:val="21"/>
          <w:szCs w:val="21"/>
        </w:rPr>
        <w:t xml:space="preserve">Progress &amp; What's Left</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4760"/>
        <w:gridCol w:w="4760"/>
      </w:tblGrid>
      <w:tr>
        <w:tc>
          <w:tcPr>
            <w:tcW w:type="dxa" w:w="4760"/>
            <w:tcBorders>
              <w:top w:val="single" w:color="D1D5DB" w:sz="1"/>
              <w:left w:val="single" w:color="D1D5DB" w:sz="1"/>
              <w:bottom w:val="single" w:color="D1D5DB" w:sz="1"/>
              <w:right w:val="single" w:color="D1D5DB" w:sz="1"/>
            </w:tcBorders>
            <w:shd w:fill="E8F5F0" w:val="clear"/>
            <w:tcMar>
              <w:top w:type="dxa" w:w="80"/>
              <w:left w:type="dxa" w:w="110"/>
              <w:bottom w:type="dxa" w:w="80"/>
              <w:right w:type="dxa" w:w="110"/>
            </w:tcMar>
          </w:tcPr>
          <w:p>
            <w:pPr>
              <w:spacing w:after="50" w:before="0"/>
            </w:pPr>
            <w:r>
              <w:rPr>
                <w:rFonts w:ascii="Arial" w:cs="Arial" w:eastAsia="Arial" w:hAnsi="Arial"/>
                <w:b/>
                <w:bCs/>
                <w:color w:val="064E3B"/>
                <w:sz w:val="18"/>
                <w:szCs w:val="18"/>
              </w:rPr>
              <w:t xml:space="preserve">✓  Already Done</w:t>
            </w:r>
          </w:p>
          <w:p>
            <w:pPr>
              <w:spacing w:after="22" w:before="0"/>
            </w:pPr>
            <w:r>
              <w:rPr>
                <w:rFonts w:ascii="Arial" w:cs="Arial" w:eastAsia="Arial" w:hAnsi="Arial"/>
                <w:b w:val="false"/>
                <w:bCs w:val="false"/>
                <w:color w:val="1F2937"/>
                <w:sz w:val="16"/>
                <w:szCs w:val="16"/>
              </w:rPr>
              <w:t xml:space="preserve">• Full design system — login, navbar, all page layouts</w:t>
            </w:r>
          </w:p>
          <w:p>
            <w:pPr>
              <w:spacing w:after="22" w:before="0"/>
            </w:pPr>
            <w:r>
              <w:rPr>
                <w:rFonts w:ascii="Arial" w:cs="Arial" w:eastAsia="Arial" w:hAnsi="Arial"/>
                <w:b w:val="false"/>
                <w:bCs w:val="false"/>
                <w:color w:val="1F2937"/>
                <w:sz w:val="16"/>
                <w:szCs w:val="16"/>
              </w:rPr>
              <w:t xml:space="preserve">• All 19 emission data-entry forms built and working</w:t>
            </w:r>
          </w:p>
          <w:p>
            <w:pPr>
              <w:spacing w:after="22" w:before="0"/>
            </w:pPr>
            <w:r>
              <w:rPr>
                <w:rFonts w:ascii="Arial" w:cs="Arial" w:eastAsia="Arial" w:hAnsi="Arial"/>
                <w:b w:val="false"/>
                <w:bCs w:val="false"/>
                <w:color w:val="1F2937"/>
                <w:sz w:val="16"/>
                <w:szCs w:val="16"/>
              </w:rPr>
              <w:t xml:space="preserve">• DEFRA 2025 factors wired to every calculation</w:t>
            </w:r>
          </w:p>
          <w:p>
            <w:pPr>
              <w:spacing w:after="22" w:before="0"/>
            </w:pPr>
            <w:r>
              <w:rPr>
                <w:rFonts w:ascii="Arial" w:cs="Arial" w:eastAsia="Arial" w:hAnsi="Arial"/>
                <w:b w:val="false"/>
                <w:bCs w:val="false"/>
                <w:color w:val="1F2937"/>
                <w:sz w:val="16"/>
                <w:szCs w:val="16"/>
              </w:rPr>
              <w:t xml:space="preserve">• Social module — complete 7-step activity wizard</w:t>
            </w:r>
          </w:p>
          <w:p>
            <w:pPr>
              <w:spacing w:after="22" w:before="0"/>
            </w:pPr>
            <w:r>
              <w:rPr>
                <w:rFonts w:ascii="Arial" w:cs="Arial" w:eastAsia="Arial" w:hAnsi="Arial"/>
                <w:b w:val="false"/>
                <w:bCs w:val="false"/>
                <w:color w:val="1F2937"/>
                <w:sz w:val="16"/>
                <w:szCs w:val="16"/>
              </w:rPr>
              <w:t xml:space="preserve">• Dashboard with live charts and scope breakdowns</w:t>
            </w:r>
          </w:p>
          <w:p>
            <w:pPr>
              <w:spacing w:after="22" w:before="0"/>
            </w:pPr>
            <w:r>
              <w:rPr>
                <w:rFonts w:ascii="Arial" w:cs="Arial" w:eastAsia="Arial" w:hAnsi="Arial"/>
                <w:b w:val="false"/>
                <w:bCs w:val="false"/>
                <w:color w:val="1F2937"/>
                <w:sz w:val="16"/>
                <w:szCs w:val="16"/>
              </w:rPr>
              <w:t xml:space="preserve">• 270-screenshot reference map of the full portal UI</w:t>
            </w:r>
          </w:p>
        </w:tc>
        <w:tc>
          <w:tcPr>
            <w:tcW w:type="dxa" w:w="4760"/>
            <w:tcBorders>
              <w:top w:val="single" w:color="D1D5DB" w:sz="1"/>
              <w:left w:val="single" w:color="D1D5DB" w:sz="1"/>
              <w:bottom w:val="single" w:color="D1D5DB" w:sz="1"/>
              <w:right w:val="single" w:color="D1D5DB" w:sz="1"/>
            </w:tcBorders>
            <w:shd w:fill="FFF7ED" w:val="clear"/>
            <w:tcMar>
              <w:top w:type="dxa" w:w="80"/>
              <w:left w:type="dxa" w:w="110"/>
              <w:bottom w:type="dxa" w:w="80"/>
              <w:right w:type="dxa" w:w="110"/>
            </w:tcMar>
          </w:tcPr>
          <w:p>
            <w:pPr>
              <w:spacing w:after="50" w:before="0"/>
            </w:pPr>
            <w:r>
              <w:rPr>
                <w:rFonts w:ascii="Arial" w:cs="Arial" w:eastAsia="Arial" w:hAnsi="Arial"/>
                <w:b/>
                <w:bCs/>
                <w:color w:val="B45309"/>
                <w:sz w:val="18"/>
                <w:szCs w:val="18"/>
              </w:rPr>
              <w:t xml:space="preserve">⏳  Still To Complete</w:t>
            </w:r>
          </w:p>
          <w:p>
            <w:pPr>
              <w:spacing w:after="22" w:before="0"/>
            </w:pPr>
            <w:r>
              <w:rPr>
                <w:rFonts w:ascii="Arial" w:cs="Arial" w:eastAsia="Arial" w:hAnsi="Arial"/>
                <w:b w:val="false"/>
                <w:bCs w:val="false"/>
                <w:color w:val="1F2937"/>
                <w:sz w:val="16"/>
                <w:szCs w:val="16"/>
              </w:rPr>
              <w:t xml:space="preserve">• CSR module — finish all wizard steps</w:t>
            </w:r>
          </w:p>
          <w:p>
            <w:pPr>
              <w:spacing w:after="22" w:before="0"/>
            </w:pPr>
            <w:r>
              <w:rPr>
                <w:rFonts w:ascii="Arial" w:cs="Arial" w:eastAsia="Arial" w:hAnsi="Arial"/>
                <w:b w:val="false"/>
                <w:bCs w:val="false"/>
                <w:color w:val="1F2937"/>
                <w:sz w:val="16"/>
                <w:szCs w:val="16"/>
              </w:rPr>
              <w:t xml:space="preserve">• Governance module — full page build</w:t>
            </w:r>
          </w:p>
          <w:p>
            <w:pPr>
              <w:spacing w:after="22" w:before="0"/>
            </w:pPr>
            <w:r>
              <w:rPr>
                <w:rFonts w:ascii="Arial" w:cs="Arial" w:eastAsia="Arial" w:hAnsi="Arial"/>
                <w:b w:val="false"/>
                <w:bCs w:val="false"/>
                <w:color w:val="1F2937"/>
                <w:sz w:val="16"/>
                <w:szCs w:val="16"/>
              </w:rPr>
              <w:t xml:space="preserve">• Connect all forms to the database (live data)</w:t>
            </w:r>
          </w:p>
          <w:p>
            <w:pPr>
              <w:spacing w:after="22" w:before="0"/>
            </w:pPr>
            <w:r>
              <w:rPr>
                <w:rFonts w:ascii="Arial" w:cs="Arial" w:eastAsia="Arial" w:hAnsi="Arial"/>
                <w:b w:val="false"/>
                <w:bCs w:val="false"/>
                <w:color w:val="1F2937"/>
                <w:sz w:val="16"/>
                <w:szCs w:val="16"/>
              </w:rPr>
              <w:t xml:space="preserve">• GHG report CSV/PDF export button</w:t>
            </w:r>
          </w:p>
          <w:p>
            <w:pPr>
              <w:spacing w:after="22" w:before="0"/>
            </w:pPr>
            <w:r>
              <w:rPr>
                <w:rFonts w:ascii="Arial" w:cs="Arial" w:eastAsia="Arial" w:hAnsi="Arial"/>
                <w:b w:val="false"/>
                <w:bCs w:val="false"/>
                <w:color w:val="1F2937"/>
                <w:sz w:val="16"/>
                <w:szCs w:val="16"/>
              </w:rPr>
              <w:t xml:space="preserve">• Login authentication + role-based access control</w:t>
            </w:r>
          </w:p>
          <w:p>
            <w:pPr>
              <w:spacing w:after="22" w:before="0"/>
            </w:pPr>
            <w:r>
              <w:rPr>
                <w:rFonts w:ascii="Arial" w:cs="Arial" w:eastAsia="Arial" w:hAnsi="Arial"/>
                <w:b w:val="false"/>
                <w:bCs w:val="false"/>
                <w:color w:val="1F2937"/>
                <w:sz w:val="16"/>
                <w:szCs w:val="16"/>
              </w:rPr>
              <w:t xml:space="preserve">• End-to-end testing across all four sites</w:t>
            </w:r>
          </w:p>
        </w:tc>
      </w:tr>
    </w:tbl>
    <w:p>
      <w:pPr>
        <w:pBdr>
          <w:top w:val="single" w:color="D1D5DB" w:sz="1"/>
          <w:bottom w:val="single" w:color="D1D5DB" w:sz="1"/>
        </w:pBdr>
        <w:shd w:fill="E8F5F0" w:val="clear"/>
        <w:spacing w:after="0" w:before="110"/>
      </w:pPr>
      <w:r>
        <w:rPr>
          <w:rFonts w:ascii="Arial" w:cs="Arial" w:eastAsia="Arial" w:hAnsi="Arial"/>
          <w:b/>
          <w:bCs/>
          <w:color w:val="064E3B"/>
          <w:sz w:val="17"/>
          <w:szCs w:val="17"/>
        </w:rPr>
        <w:t xml:space="preserve">✔  AUDITED BY CLAUDE — May 2026.  </w:t>
      </w:r>
      <w:r>
        <w:rPr>
          <w:rFonts w:ascii="Arial" w:cs="Arial" w:eastAsia="Arial" w:hAnsi="Arial"/>
          <w:b w:val="false"/>
          <w:bCs w:val="false"/>
          <w:color w:val="1F2937"/>
          <w:sz w:val="16"/>
          <w:szCs w:val="16"/>
        </w:rPr>
        <w:t xml:space="preserve">All content verified against the live codebase, AGENTS.md handoff log, GHG PDF reports (CY 2023–26), and DEFRA 2025 emission factor spreadsheet. Site names, scope categories, user roles, progress status, and remaining tasks confirmed accurate.</w:t>
      </w:r>
    </w:p>
    <w:sectPr>
      <w:headerReference w:type="default" r:id="rId7"/>
      <w:footerReference w:type="default" r:id="rId8"/>
      <w:pgSz w:w="12240" w:h="15840" w:orient="portrait"/>
      <w:pgMar w:top="720" w:right="800" w:bottom="72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64E3B" w:sz="3"/>
      </w:pBdr>
      <w:spacing w:before="40"/>
      <w:jc w:val="right"/>
    </w:pPr>
    <w:r>
      <w:rPr>
        <w:rFonts w:ascii="Arial" w:cs="Arial" w:eastAsia="Arial" w:hAnsi="Arial"/>
        <w:b w:val="false"/>
        <w:bCs w:val="false"/>
        <w:color w:val="6B7280"/>
        <w:sz w:val="14"/>
        <w:szCs w:val="14"/>
      </w:rPr>
      <w:t xml:space="preserve">Page </w:t>
    </w:r>
    <w:r>
      <w:rPr>
        <w:rFonts w:ascii="Arial" w:cs="Arial" w:eastAsia="Arial" w:hAnsi="Arial"/>
        <w:color w:val="6B7280"/>
        <w:sz w:val="14"/>
        <w:szCs w:val="14"/>
      </w:rPr>
      <w:fldChar w:fldCharType="begin"/>
      <w:instrText xml:space="preserve">PAGE</w:instrText>
      <w:fldChar w:fldCharType="separate"/>
      <w:fldChar w:fldCharType="end"/>
    </w:r>
    <w:r>
      <w:rPr>
        <w:rFonts w:ascii="Arial" w:cs="Arial" w:eastAsia="Arial" w:hAnsi="Arial"/>
        <w:b w:val="false"/>
        <w:bCs w:val="false"/>
        <w:color w:val="6B7280"/>
        <w:sz w:val="14"/>
        <w:szCs w:val="14"/>
      </w:rPr>
      <w:t xml:space="preserve">  |  Audited by Claude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64E3B" w:sz="3"/>
      </w:pBdr>
      <w:spacing w:after="0"/>
      <w:jc w:val="right"/>
    </w:pPr>
    <w:r>
      <w:rPr>
        <w:rFonts w:ascii="Arial" w:cs="Arial" w:eastAsia="Arial" w:hAnsi="Arial"/>
        <w:b w:val="false"/>
        <w:bCs w:val="false"/>
        <w:color w:val="6B7280"/>
        <w:sz w:val="14"/>
        <w:szCs w:val="14"/>
      </w:rPr>
      <w:t xml:space="preserve">K. GIRDHARLAL  |  ESG Sustainability Portal  |  Project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2026-05-26T03:54:05.976Z</dcterms:created>
  <dcterms:modified xsi:type="dcterms:W3CDTF">2026-05-26T03:54:05.976Z</dcterms:modified>
</cp:coreProperties>
</file>

<file path=docProps/custom.xml><?xml version="1.0" encoding="utf-8"?>
<Properties xmlns="http://schemas.openxmlformats.org/officeDocument/2006/custom-properties" xmlns:vt="http://schemas.openxmlformats.org/officeDocument/2006/docPropsVTypes"/>
</file>