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i w:val="0"/>
          <w:color w:val="0B2545"/>
          <w:sz w:val="34"/>
        </w:rPr>
        <w:t>KULDEEP SINGH</w:t>
      </w:r>
    </w:p>
    <w:p>
      <w:pPr>
        <w:spacing w:before="0" w:after="20" w:line="240" w:lineRule="auto"/>
        <w:jc w:val="center"/>
      </w:pPr>
      <w:r>
        <w:rPr>
          <w:rFonts w:ascii="Arial" w:hAnsi="Arial"/>
          <w:b/>
          <w:i w:val="0"/>
          <w:color w:val="1F4D78"/>
          <w:sz w:val="19"/>
        </w:rPr>
        <w:t>Commercial EV Software &amp; Electronics Lead | Embedded SDV Systems</w:t>
      </w:r>
    </w:p>
    <w:p>
      <w:pPr>
        <w:spacing w:before="0" w:after="100" w:line="240" w:lineRule="auto"/>
        <w:jc w:val="center"/>
      </w:pPr>
      <w:r>
        <w:rPr>
          <w:rFonts w:ascii="Arial" w:hAnsi="Arial"/>
          <w:b w:val="0"/>
          <w:i w:val="0"/>
          <w:color w:val="555555"/>
          <w:sz w:val="16"/>
        </w:rPr>
        <w:t>kuldeeppatel9125@gmail.com | +91 99448 76466 | Noida, India | linkedin.com/in/kuldeep9125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PROFESSIONAL SUMMARY</w:t>
      </w:r>
    </w:p>
    <w:p>
      <w:pPr>
        <w:spacing w:before="0" w:after="50" w:line="247" w:lineRule="auto"/>
      </w:pPr>
      <w:r>
        <w:rPr>
          <w:rFonts w:ascii="Arial" w:hAnsi="Arial"/>
          <w:b w:val="0"/>
          <w:i w:val="0"/>
          <w:color w:val="000000"/>
          <w:sz w:val="18"/>
        </w:rPr>
        <w:t>Commercial EV and hybrid powertrain software leader with 8 years delivering truck, bus, and retrofit electrification systems from architecture through validation and ICAT/ARAI homologation. Strong fit for engineering roles requiring embedded automotive software, MATLAB/Simulink, CAN/LIN/Ethernet mindset, AUTOSAR basics, ISO 26262, software-defined vehicle readiness, supplier coordination, and global team collaboration. Directly supported 5T EV architecture and certified commercial EV and P4 hybrid programmes.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TARGET ROLE FIT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Embedded Software Architect / Engineer - Commercial Vehicles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EV Powertrain Software Lead - Trucks &amp; Buses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Software and Electronics Engineer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Vehicle Systems Integration Lead - Electrification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CORE STRENGTHS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Strong commercial vehicle fit: LCV/LPT EV, 5T EV, 16T P4 hybrid bus, and 6T GVW EV ARAI certification exposure across trucks and buses.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Developed eVCU/BMS application software and system logic for power-up/power-down sequencing, vehicle operating states, DCDC/OBC/PDU integration, charging controller interfaces, diagnostics, and HV-LV handshakes.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Comfortable with software/electronics requirements: MATLAB, CAN, embedded software, functional safety, AUTOSAR basics, system decomposition, global coordination, supplier quality, and change-ready product development.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PROFESSIONAL EXPERIENCE</w:t>
      </w:r>
    </w:p>
    <w:p>
      <w:pPr>
        <w:spacing w:before="60" w:after="0" w:line="240" w:lineRule="auto"/>
      </w:pPr>
      <w:r>
        <w:rPr>
          <w:rFonts w:ascii="Arial" w:hAnsi="Arial"/>
          <w:b/>
          <w:i w:val="0"/>
          <w:color w:val="000000"/>
          <w:sz w:val="19"/>
        </w:rPr>
        <w:t>Technical Manager - Product Development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color w:val="555555"/>
          <w:sz w:val="17"/>
        </w:rPr>
        <w:t>IX Energy Pvt. Ltd., Noida, India | Jul 2018 - Present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Led EV and P4 hybrid powertrain architecture, ECU software, battery engineering, supplier development, validation, and homologation readiness for commercial vehicle platforms.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Supported 5T EV conversion architecture with 80 kW powertrain, 56 kWh / 310V NMC battery system, power electronics interfaces, HV battery integration, vehicle validation, and supplier coordination.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Developed MATLAB/Simulink/Stateflow eVCU and BMS logic for functional requirements, safety requirements, V-model verification artefacts, and ISO 26262 ASIL-aligned control behaviour.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Integrated vehicle communication and software interfaces across CAN-connected battery, charger, DCDC, OBC, motor controller, PDU, telematics, instrument cluster, EPS, BCS, TCS, and HVAC systems.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Managed cross-functional teams and global suppliers while applying DFMEA, RCA, Six Sigma, and validation planning to close integration issues and improve release readiness.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SELECTED PROGRAMMES &amp; PROOF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5T EV conversion: supported EV architecture, 80 kW powertrain, 56 kWh / 310V NMC battery system, 140 km range target, power electronics interfaces, and vehicle validation.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LCV/LPT EV and 6T GVW EV ARAI programme: delivered commercial EV software/system integration exposure directly aligned with electric truck and bus development.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16T P4 hybrid ICAT programme: collaborated with senior OEM/Tier-1 leadership on hybrid bus certification and state government pilot fleet trials.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TECHNICAL TOOLKIT &amp; CERTIFICATIONS</w:t>
      </w:r>
    </w:p>
    <w:p>
      <w:pPr>
        <w:spacing w:before="0" w:after="40" w:line="247" w:lineRule="auto"/>
      </w:pPr>
      <w:r>
        <w:rPr>
          <w:rFonts w:ascii="Arial" w:hAnsi="Arial"/>
          <w:b w:val="0"/>
          <w:i w:val="0"/>
          <w:color w:val="000000"/>
          <w:sz w:val="17"/>
        </w:rPr>
        <w:t>MATLAB, Simulink, Stateflow, Embedded C/C++, CAN, DBC, Vector CANoe, Peak CAN, AUTOSAR basics, ISO 26262, V-model, Git awareness, eVCU, BMS, DCDC, OBC, PDU, HV battery, commercial EV, SDV, trucks, buses, homologation.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Six Sigma Black Belt - Certified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ISO 26262 Functional Safety for Road Vehicles - TUV SUD Certified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IATF 16949:2016 Automotive Quality Management - TUV SUD Certified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AWS IoT &amp; SIMULINK - Amazon Web Services / MathWorks Certified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EDUCATION</w:t>
      </w:r>
    </w:p>
    <w:p>
      <w:pPr>
        <w:spacing w:before="0" w:after="50" w:line="247" w:lineRule="auto"/>
      </w:pPr>
      <w:r>
        <w:rPr>
          <w:rFonts w:ascii="Arial" w:hAnsi="Arial"/>
          <w:b w:val="0"/>
          <w:i w:val="0"/>
          <w:color w:val="000000"/>
          <w:sz w:val="17"/>
        </w:rPr>
        <w:t>B.Tech - Mechanical Engineering, VIT University, Vellore, Tamil Nadu | 2014 - 2018 | First Class, 75%</w:t>
      </w:r>
    </w:p>
    <w:sectPr w:rsidR="00FC693F" w:rsidRPr="0006063C" w:rsidSect="00034616">
      <w:pgSz w:w="12240" w:h="15840"/>
      <w:pgMar w:top="720" w:right="864" w:bottom="720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