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  <w:jc w:val="center"/>
      </w:pPr>
      <w:r>
        <w:rPr>
          <w:rFonts w:ascii="Arial" w:hAnsi="Arial"/>
          <w:b/>
          <w:i w:val="0"/>
          <w:color w:val="0B2545"/>
          <w:sz w:val="34"/>
        </w:rPr>
        <w:t>KULDEEP SINGH</w:t>
      </w:r>
    </w:p>
    <w:p>
      <w:pPr>
        <w:spacing w:before="0" w:after="20" w:line="240" w:lineRule="auto"/>
        <w:jc w:val="center"/>
      </w:pPr>
      <w:r>
        <w:rPr>
          <w:rFonts w:ascii="Arial" w:hAnsi="Arial"/>
          <w:b/>
          <w:i w:val="0"/>
          <w:color w:val="1F4D78"/>
          <w:sz w:val="19"/>
        </w:rPr>
        <w:t>E-Mobility, Simulation &amp; Test Systems Lead | EV Software Engineering</w:t>
      </w:r>
    </w:p>
    <w:p>
      <w:pPr>
        <w:spacing w:before="0" w:after="100" w:line="240" w:lineRule="auto"/>
        <w:jc w:val="center"/>
      </w:pPr>
      <w:r>
        <w:rPr>
          <w:rFonts w:ascii="Arial" w:hAnsi="Arial"/>
          <w:b w:val="0"/>
          <w:i w:val="0"/>
          <w:color w:val="555555"/>
          <w:sz w:val="16"/>
        </w:rPr>
        <w:t>kuldeeppatel9125@gmail.com | +91 99448 76466 | Noida, India | linkedin.com/in/kuldeep9125</w:t>
      </w:r>
    </w:p>
    <w:p>
      <w:pPr>
        <w:spacing w:before="140" w:after="60" w:line="240" w:lineRule="auto"/>
        <w:pBdr>
          <w:bottom w:val="single" w:sz="6" w:space="1" w:color="D9D9D9"/>
        </w:pBdr>
      </w:pPr>
      <w:r>
        <w:rPr>
          <w:rFonts w:ascii="Arial" w:hAnsi="Arial"/>
          <w:b/>
          <w:i w:val="0"/>
          <w:color w:val="1F4D78"/>
          <w:sz w:val="21"/>
        </w:rPr>
        <w:t>PROFESSIONAL SUMMARY</w:t>
      </w:r>
    </w:p>
    <w:p>
      <w:pPr>
        <w:spacing w:before="0" w:after="50" w:line="247" w:lineRule="auto"/>
      </w:pPr>
      <w:r>
        <w:rPr>
          <w:rFonts w:ascii="Arial" w:hAnsi="Arial"/>
          <w:b w:val="0"/>
          <w:i w:val="0"/>
          <w:color w:val="000000"/>
          <w:sz w:val="18"/>
        </w:rPr>
        <w:t>E-mobility software and systems leader targeting roles in electrification, simulation, test/validation systems, charging solutions, and vehicle efficiency engineering. Offers 8 years delivering EV/hybrid systems with MATLAB/Simulink/Stateflow MBD, range estimation models, BMS/eVCU software, charging controller logic, HV battery systems, DCDC/OBC/PDU integration, and validation/homologation support. Strongly aligned with engineering, simulation, testing, electrification, software, AI/automation, battery/e-drive/inverter validation, and model-based virtual development before hardware build.</w:t>
      </w:r>
    </w:p>
    <w:p>
      <w:pPr>
        <w:spacing w:before="140" w:after="60" w:line="240" w:lineRule="auto"/>
        <w:pBdr>
          <w:bottom w:val="single" w:sz="6" w:space="1" w:color="D9D9D9"/>
        </w:pBdr>
      </w:pPr>
      <w:r>
        <w:rPr>
          <w:rFonts w:ascii="Arial" w:hAnsi="Arial"/>
          <w:b/>
          <w:i w:val="0"/>
          <w:color w:val="1F4D78"/>
          <w:sz w:val="21"/>
        </w:rPr>
        <w:t>TARGET ROLE FIT</w:t>
      </w:r>
    </w:p>
    <w:p>
      <w:pPr>
        <w:pStyle w:val="ListBullet"/>
        <w:spacing w:before="0" w:after="24" w:line="242" w:lineRule="auto"/>
        <w:ind w:left="317" w:hanging="202"/>
      </w:pPr>
      <w:r>
        <w:rPr>
          <w:rFonts w:ascii="Arial" w:hAnsi="Arial"/>
          <w:b w:val="0"/>
          <w:i w:val="0"/>
          <w:color w:val="000000"/>
          <w:sz w:val="17"/>
        </w:rPr>
        <w:t>E-Mobility Systems Engineer</w:t>
      </w:r>
    </w:p>
    <w:p>
      <w:pPr>
        <w:pStyle w:val="ListBullet"/>
        <w:spacing w:before="0" w:after="24" w:line="242" w:lineRule="auto"/>
        <w:ind w:left="317" w:hanging="202"/>
      </w:pPr>
      <w:r>
        <w:rPr>
          <w:rFonts w:ascii="Arial" w:hAnsi="Arial"/>
          <w:b w:val="0"/>
          <w:i w:val="0"/>
          <w:color w:val="000000"/>
          <w:sz w:val="17"/>
        </w:rPr>
        <w:t>Software Development Engineer - EV Test / Simulation</w:t>
      </w:r>
    </w:p>
    <w:p>
      <w:pPr>
        <w:pStyle w:val="ListBullet"/>
        <w:spacing w:before="0" w:after="24" w:line="242" w:lineRule="auto"/>
        <w:ind w:left="317" w:hanging="202"/>
      </w:pPr>
      <w:r>
        <w:rPr>
          <w:rFonts w:ascii="Arial" w:hAnsi="Arial"/>
          <w:b w:val="0"/>
          <w:i w:val="0"/>
          <w:color w:val="000000"/>
          <w:sz w:val="17"/>
        </w:rPr>
        <w:t>Battery / E-Drive Test Systems Engineer</w:t>
      </w:r>
    </w:p>
    <w:p>
      <w:pPr>
        <w:pStyle w:val="ListBullet"/>
        <w:spacing w:before="0" w:after="24" w:line="242" w:lineRule="auto"/>
        <w:ind w:left="317" w:hanging="202"/>
      </w:pPr>
      <w:r>
        <w:rPr>
          <w:rFonts w:ascii="Arial" w:hAnsi="Arial"/>
          <w:b w:val="0"/>
          <w:i w:val="0"/>
          <w:color w:val="000000"/>
          <w:sz w:val="17"/>
        </w:rPr>
        <w:t>Model-Based Development / System Integration Engineer</w:t>
      </w:r>
    </w:p>
    <w:p>
      <w:pPr>
        <w:spacing w:before="140" w:after="60" w:line="240" w:lineRule="auto"/>
        <w:pBdr>
          <w:bottom w:val="single" w:sz="6" w:space="1" w:color="D9D9D9"/>
        </w:pBdr>
      </w:pPr>
      <w:r>
        <w:rPr>
          <w:rFonts w:ascii="Arial" w:hAnsi="Arial"/>
          <w:b/>
          <w:i w:val="0"/>
          <w:color w:val="1F4D78"/>
          <w:sz w:val="21"/>
        </w:rPr>
        <w:t>CORE STRENGTHS</w:t>
      </w:r>
    </w:p>
    <w:p>
      <w:pPr>
        <w:pStyle w:val="ListBullet"/>
        <w:spacing w:before="0" w:after="24" w:line="242" w:lineRule="auto"/>
        <w:ind w:left="317" w:hanging="202"/>
      </w:pPr>
      <w:r>
        <w:rPr>
          <w:rFonts w:ascii="Arial" w:hAnsi="Arial"/>
          <w:b w:val="0"/>
          <w:i w:val="0"/>
          <w:color w:val="000000"/>
          <w:sz w:val="17"/>
        </w:rPr>
        <w:t>Built MBD models for component-level and vehicle-level EV/hybrid range estimation, supporting virtual design decisions, vehicle efficiency studies, and validation planning.</w:t>
      </w:r>
    </w:p>
    <w:p>
      <w:pPr>
        <w:pStyle w:val="ListBullet"/>
        <w:spacing w:before="0" w:after="24" w:line="242" w:lineRule="auto"/>
        <w:ind w:left="317" w:hanging="202"/>
      </w:pPr>
      <w:r>
        <w:rPr>
          <w:rFonts w:ascii="Arial" w:hAnsi="Arial"/>
          <w:b w:val="0"/>
          <w:i w:val="0"/>
          <w:color w:val="000000"/>
          <w:sz w:val="17"/>
        </w:rPr>
        <w:t>Led EV charging controller logic and system integration across charger, BMS, eVCU/VCU, DCDC, OBC, PDU, HV battery, contactors, and vehicle safety states.</w:t>
      </w:r>
    </w:p>
    <w:p>
      <w:pPr>
        <w:pStyle w:val="ListBullet"/>
        <w:spacing w:before="0" w:after="24" w:line="242" w:lineRule="auto"/>
        <w:ind w:left="317" w:hanging="202"/>
      </w:pPr>
      <w:r>
        <w:rPr>
          <w:rFonts w:ascii="Arial" w:hAnsi="Arial"/>
          <w:b w:val="0"/>
          <w:i w:val="0"/>
          <w:color w:val="000000"/>
          <w:sz w:val="17"/>
        </w:rPr>
        <w:t>Designed HV battery systems and certified battery packs across LFP, NMC, LTO, and ultra-capacitor chemistries for work around batteries, e-motors, inverters, simulation, testing, and charging solutions.</w:t>
      </w:r>
    </w:p>
    <w:p>
      <w:pPr>
        <w:spacing w:before="140" w:after="60" w:line="240" w:lineRule="auto"/>
        <w:pBdr>
          <w:bottom w:val="single" w:sz="6" w:space="1" w:color="D9D9D9"/>
        </w:pBdr>
      </w:pPr>
      <w:r>
        <w:rPr>
          <w:rFonts w:ascii="Arial" w:hAnsi="Arial"/>
          <w:b/>
          <w:i w:val="0"/>
          <w:color w:val="1F4D78"/>
          <w:sz w:val="21"/>
        </w:rPr>
        <w:t>PROFESSIONAL EXPERIENCE</w:t>
      </w:r>
    </w:p>
    <w:p>
      <w:pPr>
        <w:spacing w:before="60" w:after="0" w:line="240" w:lineRule="auto"/>
      </w:pPr>
      <w:r>
        <w:rPr>
          <w:rFonts w:ascii="Arial" w:hAnsi="Arial"/>
          <w:b/>
          <w:i w:val="0"/>
          <w:color w:val="000000"/>
          <w:sz w:val="19"/>
        </w:rPr>
        <w:t>Technical Manager - Product Development</w:t>
      </w:r>
    </w:p>
    <w:p>
      <w:pPr>
        <w:spacing w:before="0" w:after="40" w:line="240" w:lineRule="auto"/>
      </w:pPr>
      <w:r>
        <w:rPr>
          <w:rFonts w:ascii="Arial" w:hAnsi="Arial"/>
          <w:b w:val="0"/>
          <w:i w:val="0"/>
          <w:color w:val="555555"/>
          <w:sz w:val="17"/>
        </w:rPr>
        <w:t>IX Energy Pvt. Ltd., Noida, India | Jul 2018 - Present</w:t>
      </w:r>
    </w:p>
    <w:p>
      <w:pPr>
        <w:pStyle w:val="ListBullet"/>
        <w:spacing w:before="0" w:after="24" w:line="242" w:lineRule="auto"/>
        <w:ind w:left="317" w:hanging="202"/>
      </w:pPr>
      <w:r>
        <w:rPr>
          <w:rFonts w:ascii="Arial" w:hAnsi="Arial"/>
          <w:b w:val="0"/>
          <w:i w:val="0"/>
          <w:color w:val="000000"/>
          <w:sz w:val="17"/>
        </w:rPr>
        <w:t>Developed MATLAB/Simulink/Stateflow control models for eVCU/BMS functions, range estimation, charging logic, and EV/hybrid operating-state behaviour.</w:t>
      </w:r>
    </w:p>
    <w:p>
      <w:pPr>
        <w:pStyle w:val="ListBullet"/>
        <w:spacing w:before="0" w:after="24" w:line="242" w:lineRule="auto"/>
        <w:ind w:left="317" w:hanging="202"/>
      </w:pPr>
      <w:r>
        <w:rPr>
          <w:rFonts w:ascii="Arial" w:hAnsi="Arial"/>
          <w:b w:val="0"/>
          <w:i w:val="0"/>
          <w:color w:val="000000"/>
          <w:sz w:val="17"/>
        </w:rPr>
        <w:t>Integrated EV components and test/validation workflows across battery, motor, gearbox, DCDC, OBC, PDU, charger, controller, telematics, and thermal systems.</w:t>
      </w:r>
    </w:p>
    <w:p>
      <w:pPr>
        <w:pStyle w:val="ListBullet"/>
        <w:spacing w:before="0" w:after="24" w:line="242" w:lineRule="auto"/>
        <w:ind w:left="317" w:hanging="202"/>
      </w:pPr>
      <w:r>
        <w:rPr>
          <w:rFonts w:ascii="Arial" w:hAnsi="Arial"/>
          <w:b w:val="0"/>
          <w:i w:val="0"/>
          <w:color w:val="000000"/>
          <w:sz w:val="17"/>
        </w:rPr>
        <w:t>Applied DFMEA, RCA, Six Sigma, and validation evidence reviews to improve design robustness and shorten test/debug cycles across EV programmes.</w:t>
      </w:r>
    </w:p>
    <w:p>
      <w:pPr>
        <w:pStyle w:val="ListBullet"/>
        <w:spacing w:before="0" w:after="24" w:line="242" w:lineRule="auto"/>
        <w:ind w:left="317" w:hanging="202"/>
      </w:pPr>
      <w:r>
        <w:rPr>
          <w:rFonts w:ascii="Arial" w:hAnsi="Arial"/>
          <w:b w:val="0"/>
          <w:i w:val="0"/>
          <w:color w:val="000000"/>
          <w:sz w:val="17"/>
        </w:rPr>
        <w:t>Led supplier coordination and hardware-software interface definition for battery, motor, gearbox, DCDC, EPS, BCS, TCS, HVAC, and controller systems.</w:t>
      </w:r>
    </w:p>
    <w:p>
      <w:pPr>
        <w:pStyle w:val="ListBullet"/>
        <w:spacing w:before="0" w:after="24" w:line="242" w:lineRule="auto"/>
        <w:ind w:left="317" w:hanging="202"/>
      </w:pPr>
      <w:r>
        <w:rPr>
          <w:rFonts w:ascii="Arial" w:hAnsi="Arial"/>
          <w:b w:val="0"/>
          <w:i w:val="0"/>
          <w:color w:val="000000"/>
          <w:sz w:val="17"/>
        </w:rPr>
        <w:t>Supported vehicle-level validation, certification documentation, and homologation readiness for ICAT/ARAI-certified EV and hybrid programmes.</w:t>
      </w:r>
    </w:p>
    <w:p>
      <w:pPr>
        <w:spacing w:before="140" w:after="60" w:line="240" w:lineRule="auto"/>
        <w:pBdr>
          <w:bottom w:val="single" w:sz="6" w:space="1" w:color="D9D9D9"/>
        </w:pBdr>
      </w:pPr>
      <w:r>
        <w:rPr>
          <w:rFonts w:ascii="Arial" w:hAnsi="Arial"/>
          <w:b/>
          <w:i w:val="0"/>
          <w:color w:val="1F4D78"/>
          <w:sz w:val="21"/>
        </w:rPr>
        <w:t>SELECTED PROGRAMMES &amp; PROOF</w:t>
      </w:r>
    </w:p>
    <w:p>
      <w:pPr>
        <w:pStyle w:val="ListBullet"/>
        <w:spacing w:before="0" w:after="24" w:line="242" w:lineRule="auto"/>
        <w:ind w:left="317" w:hanging="202"/>
      </w:pPr>
      <w:r>
        <w:rPr>
          <w:rFonts w:ascii="Arial" w:hAnsi="Arial"/>
          <w:b w:val="0"/>
          <w:i w:val="0"/>
          <w:color w:val="000000"/>
          <w:sz w:val="17"/>
        </w:rPr>
        <w:t>E-mobility models: created EV/hybrid range estimation and control models for component and vehicle-level scenarios using MATLAB/Simulink.</w:t>
      </w:r>
    </w:p>
    <w:p>
      <w:pPr>
        <w:pStyle w:val="ListBullet"/>
        <w:spacing w:before="0" w:after="24" w:line="242" w:lineRule="auto"/>
        <w:ind w:left="317" w:hanging="202"/>
      </w:pPr>
      <w:r>
        <w:rPr>
          <w:rFonts w:ascii="Arial" w:hAnsi="Arial"/>
          <w:b w:val="0"/>
          <w:i w:val="0"/>
          <w:color w:val="000000"/>
          <w:sz w:val="17"/>
        </w:rPr>
        <w:t>Battery and charging systems: delivered 5 kWh to 300 kWh HV battery systems, AC/DC charging controller logic, DCDC/OBC/PDU integration, and BTMS/HVAC validation.</w:t>
      </w:r>
    </w:p>
    <w:p>
      <w:pPr>
        <w:pStyle w:val="ListBullet"/>
        <w:spacing w:before="0" w:after="24" w:line="242" w:lineRule="auto"/>
        <w:ind w:left="317" w:hanging="202"/>
      </w:pPr>
      <w:r>
        <w:rPr>
          <w:rFonts w:ascii="Arial" w:hAnsi="Arial"/>
          <w:b w:val="0"/>
          <w:i w:val="0"/>
          <w:color w:val="000000"/>
          <w:sz w:val="17"/>
        </w:rPr>
        <w:t>Commercial EV programmes: supported LCV/LPT EV, 5T EV, 16T P4 hybrid bus, sedan, and light commercial EV conversion programmes through integration and validation.</w:t>
      </w:r>
    </w:p>
    <w:p>
      <w:pPr>
        <w:spacing w:before="140" w:after="60" w:line="240" w:lineRule="auto"/>
        <w:pBdr>
          <w:bottom w:val="single" w:sz="6" w:space="1" w:color="D9D9D9"/>
        </w:pBdr>
      </w:pPr>
      <w:r>
        <w:rPr>
          <w:rFonts w:ascii="Arial" w:hAnsi="Arial"/>
          <w:b/>
          <w:i w:val="0"/>
          <w:color w:val="1F4D78"/>
          <w:sz w:val="21"/>
        </w:rPr>
        <w:t>TECHNICAL TOOLKIT &amp; CERTIFICATIONS</w:t>
      </w:r>
    </w:p>
    <w:p>
      <w:pPr>
        <w:spacing w:before="0" w:after="40" w:line="247" w:lineRule="auto"/>
      </w:pPr>
      <w:r>
        <w:rPr>
          <w:rFonts w:ascii="Arial" w:hAnsi="Arial"/>
          <w:b w:val="0"/>
          <w:i w:val="0"/>
          <w:color w:val="000000"/>
          <w:sz w:val="17"/>
        </w:rPr>
        <w:t>MATLAB, Simulink, Stateflow, model-based simulation, range estimation, e-mobility, EV test systems, BMS, eVCU, charging systems, DCDC, OBC, PDU, battery testing, e-drive, inverter, CAN, diagnostics, DFMEA, RCA, Six Sigma.</w:t>
      </w:r>
    </w:p>
    <w:p>
      <w:pPr>
        <w:pStyle w:val="ListBullet"/>
        <w:spacing w:before="0" w:after="24" w:line="242" w:lineRule="auto"/>
        <w:ind w:left="317" w:hanging="202"/>
      </w:pPr>
      <w:r>
        <w:rPr>
          <w:rFonts w:ascii="Arial" w:hAnsi="Arial"/>
          <w:b w:val="0"/>
          <w:i w:val="0"/>
          <w:color w:val="000000"/>
          <w:sz w:val="17"/>
        </w:rPr>
        <w:t>Six Sigma Black Belt - Certified</w:t>
      </w:r>
    </w:p>
    <w:p>
      <w:pPr>
        <w:pStyle w:val="ListBullet"/>
        <w:spacing w:before="0" w:after="24" w:line="242" w:lineRule="auto"/>
        <w:ind w:left="317" w:hanging="202"/>
      </w:pPr>
      <w:r>
        <w:rPr>
          <w:rFonts w:ascii="Arial" w:hAnsi="Arial"/>
          <w:b w:val="0"/>
          <w:i w:val="0"/>
          <w:color w:val="000000"/>
          <w:sz w:val="17"/>
        </w:rPr>
        <w:t>ISO 26262 Functional Safety for Road Vehicles - TUV SUD Certified</w:t>
      </w:r>
    </w:p>
    <w:p>
      <w:pPr>
        <w:pStyle w:val="ListBullet"/>
        <w:spacing w:before="0" w:after="24" w:line="242" w:lineRule="auto"/>
        <w:ind w:left="317" w:hanging="202"/>
      </w:pPr>
      <w:r>
        <w:rPr>
          <w:rFonts w:ascii="Arial" w:hAnsi="Arial"/>
          <w:b w:val="0"/>
          <w:i w:val="0"/>
          <w:color w:val="000000"/>
          <w:sz w:val="17"/>
        </w:rPr>
        <w:t>IATF 16949:2016 Automotive Quality Management - TUV SUD Certified</w:t>
      </w:r>
    </w:p>
    <w:p>
      <w:pPr>
        <w:pStyle w:val="ListBullet"/>
        <w:spacing w:before="0" w:after="24" w:line="242" w:lineRule="auto"/>
        <w:ind w:left="317" w:hanging="202"/>
      </w:pPr>
      <w:r>
        <w:rPr>
          <w:rFonts w:ascii="Arial" w:hAnsi="Arial"/>
          <w:b w:val="0"/>
          <w:i w:val="0"/>
          <w:color w:val="000000"/>
          <w:sz w:val="17"/>
        </w:rPr>
        <w:t>AWS IoT &amp; SIMULINK - Amazon Web Services / MathWorks Certified</w:t>
      </w:r>
    </w:p>
    <w:p>
      <w:pPr>
        <w:spacing w:before="140" w:after="60" w:line="240" w:lineRule="auto"/>
        <w:pBdr>
          <w:bottom w:val="single" w:sz="6" w:space="1" w:color="D9D9D9"/>
        </w:pBdr>
      </w:pPr>
      <w:r>
        <w:rPr>
          <w:rFonts w:ascii="Arial" w:hAnsi="Arial"/>
          <w:b/>
          <w:i w:val="0"/>
          <w:color w:val="1F4D78"/>
          <w:sz w:val="21"/>
        </w:rPr>
        <w:t>EDUCATION</w:t>
      </w:r>
    </w:p>
    <w:p>
      <w:pPr>
        <w:spacing w:before="0" w:after="50" w:line="247" w:lineRule="auto"/>
      </w:pPr>
      <w:r>
        <w:rPr>
          <w:rFonts w:ascii="Arial" w:hAnsi="Arial"/>
          <w:b w:val="0"/>
          <w:i w:val="0"/>
          <w:color w:val="000000"/>
          <w:sz w:val="17"/>
        </w:rPr>
        <w:t>B.Tech - Mechanical Engineering, VIT University, Vellore, Tamil Nadu | 2014 - 2018 | First Class, 75%</w:t>
      </w:r>
    </w:p>
    <w:sectPr w:rsidR="00FC693F" w:rsidRPr="0006063C" w:rsidSect="00034616">
      <w:pgSz w:w="12240" w:h="15840"/>
      <w:pgMar w:top="720" w:right="864" w:bottom="720" w:left="864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17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