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10" w:line="240" w:lineRule="auto"/>
        <w:jc w:val="center"/>
      </w:pPr>
      <w:r>
        <w:rPr>
          <w:rFonts w:ascii="Arial" w:hAnsi="Arial"/>
          <w:b/>
          <w:i w:val="0"/>
          <w:color w:val="0B2545"/>
          <w:sz w:val="36"/>
        </w:rPr>
        <w:t>KULDEEP SINGH</w:t>
      </w:r>
    </w:p>
    <w:p>
      <w:pPr>
        <w:keepNext/>
        <w:keepLines/>
        <w:spacing w:before="0" w:after="14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EV Technical Manager | Vehicle Controls, BMS &amp; Electrified Powertrain Integration</w:t>
      </w:r>
    </w:p>
    <w:p>
      <w:pPr>
        <w:spacing w:before="0" w:after="58" w:line="240" w:lineRule="auto"/>
        <w:jc w:val="center"/>
      </w:pPr>
      <w:r>
        <w:rPr>
          <w:rFonts w:ascii="Arial" w:hAnsi="Arial"/>
          <w:b w:val="0"/>
          <w:i w:val="0"/>
          <w:color w:val="5B6573"/>
          <w:sz w:val="16"/>
        </w:rPr>
        <w:t>kuldeeppatel9125@gmail.com | +91 99448 76466 | Noida, India | linkedin.com/in/kuldeep9125</w:t>
      </w:r>
    </w:p>
    <w:p>
      <w:pPr>
        <w:keepNext/>
        <w:keepLines/>
        <w:spacing w:before="2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EXECUTIVE PROFILE</w:t>
      </w:r>
    </w:p>
    <w:p>
      <w:pPr>
        <w:spacing w:before="0" w:after="28" w:line="254" w:lineRule="auto"/>
      </w:pPr>
      <w:r>
        <w:rPr>
          <w:rFonts w:ascii="Arial" w:hAnsi="Arial"/>
          <w:b w:val="0"/>
          <w:i w:val="0"/>
          <w:color w:val="000000"/>
          <w:sz w:val="18"/>
        </w:rPr>
        <w:t>EV Technical Manager with 8 years of experience delivering electric and hybrid vehicle platforms from business need and system architecture through ECU software, vehicle integration, validation, homologation, and production readiness. Combines hands-on expertise in MATLAB/Simulink/Stateflow, eVCU/BMS controls, CAN/J1939 diagnostics, high-voltage batteries, charging, and power electronics with leadership of multidisciplinary engineering teams and suppliers. Delivered ARAI/ICAT-certified commercial EV and hybrid programmes, including a validated 25% fuel-efficiency improvement.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LEADERSHIP &amp; DELIVERY SNAPSHOT</w:t>
      </w:r>
    </w:p>
    <w:p>
      <w:pPr>
        <w:pStyle w:val="ResumeBullet"/>
        <w:numPr>
          <w:ilvl w:val="0"/>
          <w:numId w:val="42"/>
        </w:numPr>
        <w:spacing w:before="0" w:after="2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End-to-end programme ownership: translate business requirements into architecture, SORs, development plans, supplier deliverables, validation evidence, certification outputs, and release readiness.</w:t>
      </w:r>
    </w:p>
    <w:p>
      <w:pPr>
        <w:pStyle w:val="ResumeBullet"/>
        <w:numPr>
          <w:ilvl w:val="0"/>
          <w:numId w:val="42"/>
        </w:numPr>
        <w:spacing w:before="0" w:after="2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Cross-functional leadership: lead Manufacturing, Electrical &amp; Electronics, and Mechanical Design with 6 direct and 6 indirect team members; report project initiation, priorities, risks, and readiness to the Business Development Lead and Company Director.</w:t>
      </w:r>
    </w:p>
    <w:p>
      <w:pPr>
        <w:pStyle w:val="ResumeBullet"/>
        <w:numPr>
          <w:ilvl w:val="0"/>
          <w:numId w:val="42"/>
        </w:numPr>
        <w:spacing w:before="0" w:after="2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Technical depth with delivery focus: bridge vehicle-level performance, ECU software, HV safety, component interfaces, manufacturing constraints, cost, timing, and homologation requirements.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PROFESSIONAL EXPERIENCE</w:t>
      </w:r>
    </w:p>
    <w:p>
      <w:pPr>
        <w:keepNext/>
        <w:keepLines/>
        <w:spacing w:before="8" w:after="3" w:line="240" w:lineRule="auto"/>
      </w:pPr>
      <w:r>
        <w:rPr>
          <w:rFonts w:ascii="Arial" w:hAnsi="Arial"/>
          <w:b/>
          <w:i w:val="0"/>
          <w:color w:val="0B2545"/>
          <w:sz w:val="18"/>
        </w:rPr>
        <w:t>Technical Manager - Product Development</w:t>
      </w:r>
    </w:p>
    <w:p>
      <w:pPr>
        <w:keepNext/>
        <w:keepLines/>
        <w:spacing w:before="0" w:after="24" w:line="240" w:lineRule="auto"/>
      </w:pPr>
      <w:r>
        <w:rPr>
          <w:rFonts w:ascii="Arial" w:hAnsi="Arial"/>
          <w:b w:val="0"/>
          <w:i/>
          <w:color w:val="5B6573"/>
          <w:sz w:val="16"/>
        </w:rPr>
        <w:t>IX Energy Pvt. Ltd., Noida, India | Jul 2018 - Present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Lead new EV and P4 hybrid vehicle-platform development across requirements, system architecture, ECU application software, HV battery engineering, power electronics, supplier development, vehicle integration, validation, and homologation.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Own project initiation inputs by identifying customer and business needs, defining the next development stage, estimating technical scope, and presenting programme readiness and key decisions for leadership approval.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Develop and review BMS/eVCU/VCU firmware and application software in MATLAB/Simulink/Stateflow for drive, charge, assist, regenerative braking, torque/speed control, diagnostics, derating, precharge, active discharge, fault response, and safe-state behaviour.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Architect and package 5 kWh to 300 kWh battery systems across 72V-800V LFP, NMC, LTO, and ultra-capacitor technologies, covering BMS/BMU logic, contactor strategy, precharge, charging handshake, thermal management, protection, and vehicle integration.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Define SORs, technical specifications, CAN/DBC interfaces, DVP expectations, acceptance criteria, and release evidence for motors, batteries, PDU, DCDC, OBC, chargers, gearboxes, controllers, HVAC, telematics, instrumentation, and embedded electronics.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Drive bench and vehicle issue resolution using CAN diagnostics, J1939/DBC review, MF4 and test-data analysis, calibration, DFMEA, root-cause analysis, supplier reviews, and structured closure tracking.</w:t>
      </w:r>
    </w:p>
    <w:p>
      <w:pPr>
        <w:pStyle w:val="ResumeBullet"/>
        <w:numPr>
          <w:ilvl w:val="0"/>
          <w:numId w:val="42"/>
        </w:numPr>
        <w:spacing w:before="0" w:after="22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Govern programme risks, design maturity, supplier readiness, validation status, change control, and certification evidence while balancing performance, range, thermal limits, safety, serviceability, cost, timing, and manufacturability.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SELECTED PROGRAMME IMPACT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16T P4 hybrid bus: delivered an ICAT-certified platform with ultra-capacitor energy storage and a validated 25% fuel-efficiency improvement through controls integration, pilot-fleet trials, issue closure, and certification readiness.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6.5T commercial EV: delivered an ARAI-homologated platform with an 80 kW powertrain, 53 kWh / 320V LFP battery, and 119 km certified range; contributed eVCU/BMS logic, DCDC/PDU/OBC integration, diagnostics, HV safety, and validation.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5T commercial EV: engineered vehicle and HV-system integration for an 80 kW powertrain and 56 kWh / 310V NMC battery with a 140 km range target, coordinating interfaces, suppliers, power electronics, and vehicle validation.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Certified energy-storage portfolio: supported 53 kWh/332V LFP, 11.5 kWh/332V LTO, 28 kWh NMC, and 0.5 kWh/400V ultra-capacitor systems from design and controls through integration and homologation evidence.</w:t>
      </w:r>
    </w:p>
    <w:p>
      <w:r>
        <w:br w:type="page"/>
      </w:r>
    </w:p>
    <w:p>
      <w:pPr>
        <w:keepNext/>
        <w:keepLines/>
        <w:spacing w:before="0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MODEL-BASED CONTROLS, FIRMWARE &amp; VALIDATION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Independently developed and validated a hybrid-control model in MATLAB/Simulink/Stateflow, including model revisions, generated target outputs, calibration artefacts, and bench/vehicle evidence.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Implemented torque and speed requests, assist/regen, SOC and charge limits, thermal derating, contactor/precharge sequencing, MCU enable, fault reset, active discharge, diagnostics, telematics status, and safe-state logic.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Built CAN/J1939 and DBC-based communication among VCU, BMS, motor controller, charger, telematics, and vehicle systems; used MF4 logs and calibration evidence to tune controls and support release decisions.</w:t>
      </w:r>
    </w:p>
    <w:p>
      <w:pPr>
        <w:pStyle w:val="ResumeBullet"/>
        <w:numPr>
          <w:ilvl w:val="0"/>
          <w:numId w:val="42"/>
        </w:numPr>
        <w:spacing w:before="0" w:after="24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Developed and integrated LV/HV PDU functions, STM32F4/F1 instrument-cluster electronics, a dual-CAN telematics unit, and an ultra-capacitor monitoring/control system with CAN-based diagnostics.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CORE TECHNICAL EXPERTISE</w:t>
      </w:r>
    </w:p>
    <w:p>
      <w:pPr>
        <w:spacing w:before="0" w:after="29" w:line="252" w:lineRule="auto"/>
      </w:pPr>
      <w:r>
        <w:rPr>
          <w:rFonts w:ascii="Arial" w:hAnsi="Arial"/>
          <w:b/>
          <w:i w:val="0"/>
          <w:color w:val="0B2545"/>
          <w:sz w:val="17"/>
        </w:rPr>
        <w:t xml:space="preserve">Vehicle &amp; powertrain: </w:t>
      </w:r>
      <w:r>
        <w:rPr>
          <w:rFonts w:ascii="Arial" w:hAnsi="Arial"/>
          <w:b w:val="0"/>
          <w:i w:val="0"/>
          <w:color w:val="000000"/>
          <w:sz w:val="17"/>
        </w:rPr>
        <w:t>EV/P4 hybrid architecture, e-drive/EDU, eVCU/VCU, BMS, HV battery, charging, DCDC, OBC, PDU, motor controller, BTMS/HVAC, vehicle integration, homologation</w:t>
      </w:r>
    </w:p>
    <w:p>
      <w:pPr>
        <w:spacing w:before="0" w:after="29" w:line="252" w:lineRule="auto"/>
      </w:pPr>
      <w:r>
        <w:rPr>
          <w:rFonts w:ascii="Arial" w:hAnsi="Arial"/>
          <w:b/>
          <w:i w:val="0"/>
          <w:color w:val="0B2545"/>
          <w:sz w:val="17"/>
        </w:rPr>
        <w:t xml:space="preserve">Software &amp; controls: </w:t>
      </w:r>
      <w:r>
        <w:rPr>
          <w:rFonts w:ascii="Arial" w:hAnsi="Arial"/>
          <w:b w:val="0"/>
          <w:i w:val="0"/>
          <w:color w:val="000000"/>
          <w:sz w:val="17"/>
        </w:rPr>
        <w:t>MATLAB, Simulink, Stateflow, Model-Based Design, Embedded C/C++, ECU firmware/application software, control logic, calibration, generated outputs, A2L/MOT artefacts</w:t>
      </w:r>
    </w:p>
    <w:p>
      <w:pPr>
        <w:spacing w:before="0" w:after="29" w:line="252" w:lineRule="auto"/>
      </w:pPr>
      <w:r>
        <w:rPr>
          <w:rFonts w:ascii="Arial" w:hAnsi="Arial"/>
          <w:b/>
          <w:i w:val="0"/>
          <w:color w:val="0B2545"/>
          <w:sz w:val="17"/>
        </w:rPr>
        <w:t xml:space="preserve">Networks &amp; diagnostics: </w:t>
      </w:r>
      <w:r>
        <w:rPr>
          <w:rFonts w:ascii="Arial" w:hAnsi="Arial"/>
          <w:b w:val="0"/>
          <w:i w:val="0"/>
          <w:color w:val="000000"/>
          <w:sz w:val="17"/>
        </w:rPr>
        <w:t>CAN, J1939, DBC, Vector CANoe, Peak CAN, BusMaster, CSS Electronics, MF4 logs, UDS awareness, DTC/SPN diagnostics, signal and interface analysis</w:t>
      </w:r>
    </w:p>
    <w:p>
      <w:pPr>
        <w:spacing w:before="0" w:after="29" w:line="252" w:lineRule="auto"/>
      </w:pPr>
      <w:r>
        <w:rPr>
          <w:rFonts w:ascii="Arial" w:hAnsi="Arial"/>
          <w:b/>
          <w:i w:val="0"/>
          <w:color w:val="0B2545"/>
          <w:sz w:val="17"/>
        </w:rPr>
        <w:t xml:space="preserve">Systems &amp; validation: </w:t>
      </w:r>
      <w:r>
        <w:rPr>
          <w:rFonts w:ascii="Arial" w:hAnsi="Arial"/>
          <w:b w:val="0"/>
          <w:i w:val="0"/>
          <w:color w:val="000000"/>
          <w:sz w:val="17"/>
        </w:rPr>
        <w:t>requirements, SOR, V-model lifecycle, interface control, DVP, MIL/SIL/HIL readiness, bench/vehicle testing, traceability, release documentation, ARAI/ICAT evidence</w:t>
      </w:r>
    </w:p>
    <w:p>
      <w:pPr>
        <w:spacing w:before="0" w:after="29" w:line="252" w:lineRule="auto"/>
      </w:pPr>
      <w:r>
        <w:rPr>
          <w:rFonts w:ascii="Arial" w:hAnsi="Arial"/>
          <w:b/>
          <w:i w:val="0"/>
          <w:color w:val="0B2545"/>
          <w:sz w:val="17"/>
        </w:rPr>
        <w:t xml:space="preserve">Quality &amp; leadership: </w:t>
      </w:r>
      <w:r>
        <w:rPr>
          <w:rFonts w:ascii="Arial" w:hAnsi="Arial"/>
          <w:b w:val="0"/>
          <w:i w:val="0"/>
          <w:color w:val="000000"/>
          <w:sz w:val="17"/>
        </w:rPr>
        <w:t>ISO 26262 awareness, IATF 16949, DFMEA, RCA, Six Sigma/DMAIC, supplier development, risk reviews, change control, team mentoring, production readiness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CERTIFICATIONS</w:t>
      </w:r>
    </w:p>
    <w:p>
      <w:pPr>
        <w:pStyle w:val="ResumeBullet"/>
        <w:numPr>
          <w:ilvl w:val="0"/>
          <w:numId w:val="42"/>
        </w:numPr>
        <w:spacing w:before="0" w:after="1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ResumeBullet"/>
        <w:numPr>
          <w:ilvl w:val="0"/>
          <w:numId w:val="42"/>
        </w:numPr>
        <w:spacing w:before="0" w:after="1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ResumeBullet"/>
        <w:numPr>
          <w:ilvl w:val="0"/>
          <w:numId w:val="42"/>
        </w:numPr>
        <w:spacing w:before="0" w:after="1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ResumeBullet"/>
        <w:numPr>
          <w:ilvl w:val="0"/>
          <w:numId w:val="42"/>
        </w:numPr>
        <w:spacing w:before="0" w:after="15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keepNext/>
        <w:keepLines/>
        <w:spacing w:before="104" w:after="44" w:line="240" w:lineRule="auto"/>
        <w:pBdr>
          <w:bottom w:val="single" w:sz="6" w:space="1" w:color="C7D2DC"/>
        </w:pBdr>
      </w:pPr>
      <w:r>
        <w:rPr>
          <w:rFonts w:ascii="Arial" w:hAnsi="Arial"/>
          <w:b/>
          <w:i w:val="0"/>
          <w:color w:val="1F4D78"/>
          <w:sz w:val="20"/>
        </w:rPr>
        <w:t>EDUCATION</w:t>
      </w:r>
    </w:p>
    <w:p>
      <w:pPr>
        <w:spacing w:before="0" w:after="0" w:line="254" w:lineRule="auto"/>
      </w:pPr>
      <w:r>
        <w:rPr>
          <w:rFonts w:ascii="Arial" w:hAnsi="Arial"/>
          <w:b w:val="0"/>
          <w:i w:val="0"/>
          <w:color w:val="000000"/>
          <w:sz w:val="17"/>
        </w:rPr>
        <w:t>B.Tech, Mechanical Engineering | VIT University, Vellore | 2014 - 2018 | First Class, 75%</w:t>
      </w:r>
    </w:p>
    <w:sectPr w:rsidR="00FC693F" w:rsidRPr="0006063C" w:rsidSect="00034616">
      <w:footerReference w:type="default" r:id="rId9"/>
      <w:pgSz w:w="12240" w:h="15840"/>
      <w:pgMar w:top="662" w:right="893" w:bottom="634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573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310"/>
        </w:tabs>
        <w:ind w:left="310" w:hanging="180"/>
      </w:pPr>
      <w:rPr>
        <w:color w:val="1F4D78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4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7" w:line="252" w:lineRule="auto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