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14" w:line="240" w:lineRule="auto"/>
        <w:jc w:val="center"/>
      </w:pPr>
      <w:r>
        <w:rPr>
          <w:rFonts w:ascii="Arial" w:hAnsi="Arial"/>
          <w:b/>
          <w:i w:val="0"/>
          <w:color w:val="1F4D78"/>
          <w:sz w:val="18"/>
        </w:rPr>
        <w:t>EV Technical Manager | Automotive Software Lead - eVCU/BMS, MBD, CAN, HV Battery</w:t>
      </w:r>
    </w:p>
    <w:p>
      <w:pPr>
        <w:spacing w:before="0" w:after="48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2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EXECUTIVE SUMMARY</w:t>
      </w:r>
    </w:p>
    <w:p>
      <w:pPr>
        <w:spacing w:before="0" w:after="28" w:line="250" w:lineRule="auto"/>
      </w:pPr>
      <w:r>
        <w:rPr>
          <w:rFonts w:ascii="Arial" w:hAnsi="Arial"/>
          <w:b w:val="0"/>
          <w:i w:val="0"/>
          <w:color w:val="000000"/>
          <w:sz w:val="17"/>
        </w:rPr>
        <w:t>EV Technical Manager and automotive software lead with 8 years delivering commercial EV, hybrid bus, HV battery, embedded electronics, and vehicle integration programmes from requirements through model-based software, supplier integration, validation evidence, and ICAT/ARAI homologation. Combines hands-on MATLAB/Simulink/Stateflow, eVCU/BMS/VCU logic, CAN/J1939 diagnostics, HV battery/charging, DCDC/OBC/PDU integration, and release discipline with cross-functional team and supplier leadership.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TECHNICAL MANAGER FIT</w:t>
      </w:r>
    </w:p>
    <w:p>
      <w:pPr>
        <w:pStyle w:val="ListBullet"/>
        <w:spacing w:before="0" w:after="11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7"/>
        </w:rPr>
        <w:t>Lead-level ownership: requirements, architecture, SORs, supplier interfaces, model logic, calibration, integration, validation, certification evidence, and release readiness.</w:t>
      </w:r>
    </w:p>
    <w:p>
      <w:pPr>
        <w:pStyle w:val="ListBullet"/>
        <w:spacing w:before="0" w:after="11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7"/>
        </w:rPr>
        <w:t>Hands-on software depth: Simulink/Stateflow controls, eVCU/BMS/VCU functions, CAN/J1939/DBC communication, diagnostics, fault handling, safe-state logic, and calibration artefacts.</w:t>
      </w:r>
    </w:p>
    <w:p>
      <w:pPr>
        <w:pStyle w:val="ListBullet"/>
        <w:spacing w:before="0" w:after="11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7"/>
        </w:rPr>
        <w:t>Proven delivery: ARAI/ICAT-certified programmes, 16T P4 hybrid bus, 6.5T and 5T commercial EV platforms, 5 kWh to 300 kWh HV battery systems, and 25% fuel-efficiency validation.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PROFESSIONAL EXPERIENCE</w:t>
      </w:r>
    </w:p>
    <w:p>
      <w:pPr>
        <w:spacing w:before="12" w:after="0" w:line="240" w:lineRule="auto"/>
      </w:pPr>
      <w:r>
        <w:rPr>
          <w:rFonts w:ascii="Arial" w:hAnsi="Arial"/>
          <w:b/>
          <w:i w:val="0"/>
          <w:color w:val="000000"/>
          <w:sz w:val="18"/>
        </w:rPr>
        <w:t>Technical Manager - Product Development</w:t>
      </w:r>
    </w:p>
    <w:p>
      <w:pPr>
        <w:spacing w:before="0" w:after="18" w:line="240" w:lineRule="auto"/>
      </w:pPr>
      <w:r>
        <w:rPr>
          <w:rFonts w:ascii="Arial" w:hAnsi="Arial"/>
          <w:b w:val="0"/>
          <w:i w:val="0"/>
          <w:color w:val="555555"/>
          <w:sz w:val="16"/>
        </w:rPr>
        <w:t>IX Energy Pvt. Ltd., Noida, India | Jul 2018 - Present</w:t>
      </w:r>
    </w:p>
    <w:p>
      <w:pPr>
        <w:pStyle w:val="ListBullet"/>
        <w:spacing w:before="0" w:after="9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Lead EV and P4 hybrid product development across ECU application software, HV battery engineering, power electronics, supplier development, vehicle integration, validation, and homologation readiness.</w:t>
      </w:r>
    </w:p>
    <w:p>
      <w:pPr>
        <w:pStyle w:val="ListBullet"/>
        <w:spacing w:before="0" w:after="9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Develop BMS/eVCU/VCU application software in MATLAB/Simulink/Stateflow for drive, charge, assist, regen, diagnostics, derating, fault response, precharge, active discharge, and safe-state behaviour.</w:t>
      </w:r>
    </w:p>
    <w:p>
      <w:pPr>
        <w:pStyle w:val="ListBullet"/>
        <w:spacing w:before="0" w:after="9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Define SORs, component specifications, CAN signal interfaces, test evidence, and supplier deliverables for motor, HV battery, PDU, DCDC, OBC, gearbox, controllers, HVAC, telematics, instrumentation, and embedded electronics.</w:t>
      </w:r>
    </w:p>
    <w:p>
      <w:pPr>
        <w:pStyle w:val="ListBullet"/>
        <w:spacing w:before="0" w:after="9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Architect certified commercial EV systems from requirement capture through ICAT/ARAI outputs, linking hardware, software, supplier readiness, vehicle validation, issue closure, and release documentation.</w:t>
      </w:r>
    </w:p>
    <w:p>
      <w:pPr>
        <w:pStyle w:val="ListBullet"/>
        <w:spacing w:before="0" w:after="9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Design and package 5 kWh to 300 kWh HV battery systems across 72V-800V LFP, NMC, LTO, and ultra-capacitor chemistries, including BMS/BMU logic, contactor/precharge, BTMS/HVAC, charging handshake, and pack integration.</w:t>
      </w:r>
    </w:p>
    <w:p>
      <w:pPr>
        <w:pStyle w:val="ListBullet"/>
        <w:spacing w:before="0" w:after="9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Use CAN diagnostics, DBC review, MF4/test-data analysis, bench and vehicle testing, calibration review, DFMEA/RCA, and MIL/SIL/HIL-ready model practices to reduce validation cycles and close issues.</w:t>
      </w:r>
    </w:p>
    <w:p>
      <w:pPr>
        <w:pStyle w:val="ListBullet"/>
        <w:spacing w:before="0" w:after="9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Manage internal engineering teams and external suppliers across mechanical, electrical, software, battery, power electronics, quality, and vehicle integration workstreams; report risk, readiness, and closure to leadership.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MODEL-BASED CONTROLS &amp; VALIDATION PROOF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Independently developed a project-verified hybrid control model in MATLAB/Simulink/Stateflow with final model revisions, generated target outputs, calibration artefacts, and bench/vehicle validation evidence.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Implemented control logic for torque/speed requests, assist/regen, temperature derate, BMS state, SOC, charging limits, contactor/precharge, fault reset, MCU enable, active discharge, DTC/DM01-style diagnostics, and telematics status.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Built CAN/J1939 and DBC-based communication across VCU, BMS, motor controller, charger, telematics, remote access, battery status, motor status, vehicle status, and EV fault signals.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Used MF4 logs and code-log evidence to tune assist/regen calibration, temperature derate around 40-42 degC, cut-off voltage changes, charging limits, and validation-oriented release updates.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SELECTED DELIVERY PROOF</w:t>
      </w:r>
    </w:p>
    <w:p>
      <w:pPr>
        <w:pStyle w:val="ListBullet"/>
        <w:spacing w:before="0" w:after="12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16T P4 hybrid bus: ICAT-certified platform with super-capacitor energy storage and validated 25% fuel-efficiency improvement; supported system integration, pilot fleet trials, validation evidence, and certification readiness.</w:t>
      </w:r>
    </w:p>
    <w:p>
      <w:pPr>
        <w:pStyle w:val="ListBullet"/>
        <w:spacing w:before="0" w:after="12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6.5T LCV/LPT commercial EV: ARAI-homologated platform with 80 kW powertrain, 53 kWh / 320V LFP battery, and 119 km range; contributed eVCU/BMS logic, DCDC/PDU/OBC integration, diagnostics, safety logic, and validation.</w:t>
      </w:r>
    </w:p>
    <w:p>
      <w:pPr>
        <w:pStyle w:val="ListBullet"/>
        <w:spacing w:before="0" w:after="12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5T commercial EV: supported 80 kW powertrain, 56 kWh / 310V NMC battery system, 140 km range target, HV battery integration, power electronics interfaces, supplier coordination, and vehicle validation.</w:t>
      </w:r>
    </w:p>
    <w:p>
      <w:r>
        <w:br w:type="page"/>
      </w:r>
    </w:p>
    <w:p>
      <w:pPr>
        <w:spacing w:before="0" w:after="68" w:line="240" w:lineRule="auto"/>
        <w:jc w:val="center"/>
      </w:pPr>
      <w:r>
        <w:rPr>
          <w:rFonts w:ascii="Arial" w:hAnsi="Arial"/>
          <w:b/>
          <w:i w:val="0"/>
          <w:color w:val="555555"/>
          <w:sz w:val="15"/>
        </w:rPr>
        <w:t>KULDEEP SINGH | EV Technical Manager | Page 2</w:t>
      </w:r>
    </w:p>
    <w:p>
      <w:pPr>
        <w:spacing w:before="0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SELECTED PROGRAMMES &amp; QUANTIFIED PROOF</w:t>
      </w:r>
    </w:p>
    <w:p>
      <w:pPr>
        <w:pStyle w:val="ListBullet"/>
        <w:spacing w:before="0" w:after="12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Hybrid controls programme: Simulink/Stateflow model with torque/speed, assist/regen, BMS charge, CAN/J1939, telematics, diagnostics, MF4 logs, MOT firmware output, and A2L calibration evidence.</w:t>
      </w:r>
    </w:p>
    <w:p>
      <w:pPr>
        <w:pStyle w:val="ListBullet"/>
        <w:spacing w:before="0" w:after="12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Multi-platform EV conversions: supported sedan and light commercial EV conversions across HV battery, charger, DCDC, controller, vehicle controls, diagnostics, CAN integration, and validation.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TECHNICAL PORTFOLIO</w:t>
      </w:r>
    </w:p>
    <w:p>
      <w:pPr>
        <w:pStyle w:val="ListBullet"/>
        <w:spacing w:before="0" w:after="11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Battery and charging: 53 kWh/332V LFP truck pack, 11.5 kWh/332V LTO hybrid bus pack, 28 kWh NMC pack, 0.5 kWh/400V ultra-capacitor pack, AC/DC charging controller logic, charger/BMS/VCU coordination, HV-LV handshake, contactor/precharge, and fault response.</w:t>
      </w:r>
    </w:p>
    <w:p>
      <w:pPr>
        <w:pStyle w:val="ListBullet"/>
        <w:spacing w:before="0" w:after="11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Control and diagnostics: torque request, speed limit, gear, brake, accelerator, MCU enable, fault reset, active discharge, FailGrade, motor speed/torque/current, DC voltage/current, DTC/SPN-style diagnostics, remote access, and vehicle status interfaces.</w:t>
      </w:r>
    </w:p>
    <w:p>
      <w:pPr>
        <w:pStyle w:val="ListBullet"/>
        <w:spacing w:before="0" w:after="11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Embedded electronics: LV/HV PDU, STM32F4/F1 instrument cluster, Quectel dual-CAN telematics unit, ultra-capacitor cell monitoring/control system, battery-related software interfaces, and CAN-based diagnostics.</w:t>
      </w:r>
    </w:p>
    <w:p>
      <w:pPr>
        <w:pStyle w:val="ListBullet"/>
        <w:spacing w:before="0" w:after="11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Validation and homologation: ARAI/ICAT evidence, DBC/CAN review, MF4 logs, code-log updates, assist/regen calibration, temperature derate tuning, bench/vehicle testing, validation reports, and release documentation.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TOOLKIT, PROCESS &amp; LEADERSHIP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MBD/software: MATLAB, Simulink, Stateflow, Model-Based Design, Embedded C/C++, generated build outputs, A2L, MOT, calibration/measurement artefacts.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Networks/diagnostics: CAN, J1939, DBC, ECOCAN-style scripts, Vector CANoe, Peak CAN, Bus Master, CSS Electronics, MF4 logs, UDS-aware diagnostics, DTC/SPN concepts.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EV systems: eVCU, VCU, BMS, HV battery, LFP, NMC, LTO, ultra-capacitor, DCDC, OBC, PDU, charger, contactor, precharge, BTMS/HVAC, motor controller, e-drive/EDU, hybrid powertrain.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QUALITY, SAFETY &amp; SUPPLIER LEADERSHIP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Run programme cadence from vehicle objectives to software requirements, interface freeze, supplier DVP, vehicle validation, release notes, and issue closure.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Requirements and release governance: maintain SORs, component specifications, validation evidence, supplier acceptance criteria, and release documentation from requirement to vehicle sign-off.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Translate test data into model changes, CAN/DBC updates, calibration decisions, supplier actions, risk closure, and certification evidence.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Safety and quality methods: apply ISO 26262 awareness, IATF 16949 discipline, DFMEA/RCA, Six Sigma, DMAIC, SPC, control charts, and production-readiness review habits.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Supplier leadership: align motor controller, HV battery/BMS, charger, DCDC/OBC/PDU, telematics, instrumentation, and embedded electronics suppliers against test evidence and issue closure.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Team leadership: guide mechanical, electrical, embedded software, battery, power electronics, quality, and vehicle integration teams with clear risk, readiness, and closure reporting.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Decision balance: manage range, performance, thermal limits, diagnostics coverage, safety response, supplier readiness, cost, timing, serviceability, and manufacturing constraints.</w:t>
      </w:r>
    </w:p>
    <w:p>
      <w:pPr>
        <w:pStyle w:val="ListBullet"/>
        <w:spacing w:before="0" w:after="10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Forward-looking readiness: AUTOSAR basics, SDV awareness, MIL/SIL/HIL readiness, model/code review mindset, and validation-data-driven release decisions.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CERTIFICATIONS</w:t>
      </w:r>
    </w:p>
    <w:p>
      <w:pPr>
        <w:pStyle w:val="ListBullet"/>
        <w:spacing w:before="0" w:after="8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Six Sigma Black Belt - Certified</w:t>
      </w:r>
    </w:p>
    <w:p>
      <w:pPr>
        <w:pStyle w:val="ListBullet"/>
        <w:spacing w:before="0" w:after="8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ISO 26262 Functional Safety for Road Vehicles - TUV SUD Certified</w:t>
      </w:r>
    </w:p>
    <w:p>
      <w:pPr>
        <w:pStyle w:val="ListBullet"/>
        <w:spacing w:before="0" w:after="8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IATF 16949:2016 Automotive Quality Management - TUV SUD Certified</w:t>
      </w:r>
    </w:p>
    <w:p>
      <w:pPr>
        <w:pStyle w:val="ListBullet"/>
        <w:spacing w:before="0" w:after="8" w:line="25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AWS IoT &amp; SIMULINK - Amazon Web Services / MathWorks Certified</w:t>
      </w:r>
    </w:p>
    <w:p>
      <w:pPr>
        <w:spacing w:before="108" w:after="45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0"/>
        </w:rPr>
        <w:t>EDUCATION</w:t>
      </w:r>
    </w:p>
    <w:p>
      <w:pPr>
        <w:spacing w:before="0" w:after="0" w:line="250" w:lineRule="auto"/>
      </w:pPr>
      <w:r>
        <w:rPr>
          <w:rFonts w:ascii="Arial" w:hAnsi="Arial"/>
          <w:b w:val="0"/>
          <w:i w:val="0"/>
          <w:color w:val="000000"/>
          <w:sz w:val="16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576" w:right="792" w:bottom="576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8" w:line="25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8" w:line="25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