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C9BF9" w14:textId="77777777" w:rsidR="00621AAE" w:rsidRPr="00C51F57" w:rsidRDefault="00621AAE" w:rsidP="002B74B4">
      <w:pPr>
        <w:spacing w:after="0" w:line="540" w:lineRule="atLeast"/>
        <w:ind w:right="4200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GB"/>
        </w:rPr>
      </w:pPr>
      <w:r w:rsidRPr="00C51F5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GB"/>
        </w:rPr>
        <w:t>Overview</w:t>
      </w:r>
    </w:p>
    <w:p w14:paraId="55C86BF5" w14:textId="77777777" w:rsidR="005C0C47" w:rsidRPr="00C51F57" w:rsidRDefault="005C0C47" w:rsidP="002B74B4">
      <w:pPr>
        <w:spacing w:after="0" w:line="540" w:lineRule="atLeast"/>
        <w:ind w:right="4200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GB"/>
        </w:rPr>
      </w:pPr>
    </w:p>
    <w:p w14:paraId="04E2814E" w14:textId="77777777" w:rsidR="00621AAE" w:rsidRPr="00C51F57" w:rsidRDefault="006E7664" w:rsidP="00321C4E">
      <w:pPr>
        <w:pStyle w:val="NoSpacing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C51F57">
        <w:rPr>
          <w:rFonts w:ascii="Times New Roman" w:hAnsi="Times New Roman" w:cs="Times New Roman"/>
          <w:bCs/>
          <w:shd w:val="clear" w:color="auto" w:fill="FFFFFF"/>
        </w:rPr>
        <w:t>Gulf Keystone</w:t>
      </w:r>
      <w:r w:rsidR="004438EA" w:rsidRPr="00C51F57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C87370" w:rsidRPr="00C51F57">
        <w:rPr>
          <w:rFonts w:ascii="Times New Roman" w:hAnsi="Times New Roman" w:cs="Times New Roman"/>
          <w:bCs/>
          <w:shd w:val="clear" w:color="auto" w:fill="FFFFFF"/>
        </w:rPr>
        <w:t>Ltd</w:t>
      </w:r>
      <w:r w:rsidR="004438EA" w:rsidRPr="00C51F57">
        <w:rPr>
          <w:rFonts w:ascii="Times New Roman" w:hAnsi="Times New Roman" w:cs="Times New Roman"/>
          <w:bCs/>
          <w:shd w:val="clear" w:color="auto" w:fill="FFFFFF"/>
        </w:rPr>
        <w:t xml:space="preserve"> (GKP) </w:t>
      </w:r>
      <w:r w:rsidR="00BF0142" w:rsidRPr="00C51F57">
        <w:rPr>
          <w:rFonts w:ascii="Times New Roman" w:hAnsi="Times New Roman" w:cs="Times New Roman"/>
          <w:bCs/>
          <w:shd w:val="clear" w:color="auto" w:fill="FFFFFF"/>
        </w:rPr>
        <w:t>was founded in 2001 by UAE, Kuwaiti and US private equity</w:t>
      </w:r>
      <w:r w:rsidR="00661FDA" w:rsidRPr="00C51F57">
        <w:rPr>
          <w:rFonts w:ascii="Times New Roman" w:hAnsi="Times New Roman" w:cs="Times New Roman"/>
          <w:bCs/>
          <w:shd w:val="clear" w:color="auto" w:fill="FFFFFF"/>
        </w:rPr>
        <w:t>,</w:t>
      </w:r>
      <w:r w:rsidR="00BF0142" w:rsidRPr="00C51F57">
        <w:rPr>
          <w:rFonts w:ascii="Times New Roman" w:hAnsi="Times New Roman" w:cs="Times New Roman"/>
          <w:bCs/>
          <w:shd w:val="clear" w:color="auto" w:fill="FFFFFF"/>
        </w:rPr>
        <w:t xml:space="preserve"> and </w:t>
      </w:r>
      <w:r w:rsidR="000B5404" w:rsidRPr="00C51F57">
        <w:rPr>
          <w:rFonts w:ascii="Times New Roman" w:hAnsi="Times New Roman" w:cs="Times New Roman"/>
          <w:bCs/>
          <w:shd w:val="clear" w:color="auto" w:fill="FFFFFF"/>
        </w:rPr>
        <w:t xml:space="preserve">is </w:t>
      </w:r>
      <w:r w:rsidR="00BF0142" w:rsidRPr="00C51F57">
        <w:rPr>
          <w:rFonts w:ascii="Times New Roman" w:hAnsi="Times New Roman" w:cs="Times New Roman"/>
          <w:bCs/>
          <w:shd w:val="clear" w:color="auto" w:fill="FFFFFF"/>
        </w:rPr>
        <w:t>incorporated in Bermuda.</w:t>
      </w:r>
      <w:r w:rsidR="0082536C" w:rsidRPr="00C51F57">
        <w:rPr>
          <w:rFonts w:ascii="Times New Roman" w:hAnsi="Times New Roman" w:cs="Times New Roman"/>
          <w:bCs/>
          <w:shd w:val="clear" w:color="auto" w:fill="FFFFFF"/>
        </w:rPr>
        <w:t xml:space="preserve"> In 2004 it was admitted </w:t>
      </w:r>
      <w:r w:rsidR="000B5404" w:rsidRPr="00C51F57">
        <w:rPr>
          <w:rFonts w:ascii="Times New Roman" w:hAnsi="Times New Roman" w:cs="Times New Roman"/>
          <w:bCs/>
          <w:shd w:val="clear" w:color="auto" w:fill="FFFFFF"/>
        </w:rPr>
        <w:t xml:space="preserve">on </w:t>
      </w:r>
      <w:r w:rsidR="0082536C" w:rsidRPr="00C51F57">
        <w:rPr>
          <w:rFonts w:ascii="Times New Roman" w:hAnsi="Times New Roman" w:cs="Times New Roman"/>
          <w:bCs/>
          <w:shd w:val="clear" w:color="auto" w:fill="FFFFFF"/>
        </w:rPr>
        <w:t>to AIM raising £60.0m at 48.0 pence per share</w:t>
      </w:r>
      <w:r w:rsidR="00AA2156" w:rsidRPr="00C51F57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9409B5" w:rsidRPr="00C51F57">
        <w:rPr>
          <w:rFonts w:ascii="Times New Roman" w:hAnsi="Times New Roman" w:cs="Times New Roman"/>
          <w:bCs/>
          <w:shd w:val="clear" w:color="auto" w:fill="FFFFFF"/>
        </w:rPr>
        <w:t>providing capital for</w:t>
      </w:r>
      <w:r w:rsidR="00AA2156" w:rsidRPr="00C51F57">
        <w:rPr>
          <w:rFonts w:ascii="Times New Roman" w:hAnsi="Times New Roman" w:cs="Times New Roman"/>
          <w:bCs/>
          <w:shd w:val="clear" w:color="auto" w:fill="FFFFFF"/>
        </w:rPr>
        <w:t xml:space="preserve"> further exploration in Algeria</w:t>
      </w:r>
      <w:r w:rsidR="0082536C" w:rsidRPr="00C51F57">
        <w:rPr>
          <w:rFonts w:ascii="Times New Roman" w:hAnsi="Times New Roman" w:cs="Times New Roman"/>
          <w:bCs/>
          <w:shd w:val="clear" w:color="auto" w:fill="FFFFFF"/>
        </w:rPr>
        <w:t>.</w:t>
      </w:r>
      <w:r w:rsidR="00AA2156" w:rsidRPr="00C51F57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61701B" w:rsidRPr="00C51F57">
        <w:rPr>
          <w:rFonts w:ascii="Times New Roman" w:hAnsi="Times New Roman" w:cs="Times New Roman"/>
          <w:bCs/>
          <w:shd w:val="clear" w:color="auto" w:fill="FFFFFF"/>
        </w:rPr>
        <w:t>I</w:t>
      </w:r>
      <w:r w:rsidR="00A07065" w:rsidRPr="00C51F57">
        <w:rPr>
          <w:rFonts w:ascii="Times New Roman" w:hAnsi="Times New Roman" w:cs="Times New Roman"/>
          <w:bCs/>
          <w:shd w:val="clear" w:color="auto" w:fill="FFFFFF"/>
        </w:rPr>
        <w:t xml:space="preserve">n 2007 </w:t>
      </w:r>
      <w:r w:rsidR="00C87370" w:rsidRPr="00C51F57">
        <w:rPr>
          <w:rFonts w:ascii="Times New Roman" w:hAnsi="Times New Roman" w:cs="Times New Roman"/>
          <w:bCs/>
          <w:shd w:val="clear" w:color="auto" w:fill="FFFFFF"/>
        </w:rPr>
        <w:t>GKP</w:t>
      </w:r>
      <w:r w:rsidR="00A07065" w:rsidRPr="00C51F57">
        <w:rPr>
          <w:rFonts w:ascii="Times New Roman" w:hAnsi="Times New Roman" w:cs="Times New Roman"/>
          <w:shd w:val="clear" w:color="auto" w:fill="FFFFFF"/>
        </w:rPr>
        <w:t xml:space="preserve"> signed a production sharing contract with the Kurdistan regional government to explore and de</w:t>
      </w:r>
      <w:r w:rsidR="00661FDA" w:rsidRPr="00C51F57">
        <w:rPr>
          <w:rFonts w:ascii="Times New Roman" w:hAnsi="Times New Roman" w:cs="Times New Roman"/>
          <w:shd w:val="clear" w:color="auto" w:fill="FFFFFF"/>
        </w:rPr>
        <w:t>velop the Shaikan oil field in N</w:t>
      </w:r>
      <w:r w:rsidR="00A07065" w:rsidRPr="00C51F57">
        <w:rPr>
          <w:rFonts w:ascii="Times New Roman" w:hAnsi="Times New Roman" w:cs="Times New Roman"/>
          <w:shd w:val="clear" w:color="auto" w:fill="FFFFFF"/>
        </w:rPr>
        <w:t>orthern Iraq.</w:t>
      </w:r>
      <w:r w:rsidRPr="00C51F57">
        <w:rPr>
          <w:rFonts w:ascii="Times New Roman" w:hAnsi="Times New Roman" w:cs="Times New Roman"/>
          <w:shd w:val="clear" w:color="auto" w:fill="FFFFFF"/>
        </w:rPr>
        <w:t xml:space="preserve"> Through its subsidiary, Gulf Keyston</w:t>
      </w:r>
      <w:r w:rsidR="00C87370" w:rsidRPr="00C51F57">
        <w:rPr>
          <w:rFonts w:ascii="Times New Roman" w:hAnsi="Times New Roman" w:cs="Times New Roman"/>
          <w:shd w:val="clear" w:color="auto" w:fill="FFFFFF"/>
        </w:rPr>
        <w:t>e Petroleum International, the company owns p</w:t>
      </w:r>
      <w:r w:rsidRPr="00C51F57">
        <w:rPr>
          <w:rFonts w:ascii="Times New Roman" w:hAnsi="Times New Roman" w:cs="Times New Roman"/>
          <w:shd w:val="clear" w:color="auto" w:fill="FFFFFF"/>
        </w:rPr>
        <w:t xml:space="preserve">roduction </w:t>
      </w:r>
      <w:r w:rsidR="00C87370" w:rsidRPr="00C51F57">
        <w:rPr>
          <w:rFonts w:ascii="Times New Roman" w:hAnsi="Times New Roman" w:cs="Times New Roman"/>
          <w:shd w:val="clear" w:color="auto" w:fill="FFFFFF"/>
        </w:rPr>
        <w:t>sharing c</w:t>
      </w:r>
      <w:r w:rsidRPr="00C51F57">
        <w:rPr>
          <w:rFonts w:ascii="Times New Roman" w:hAnsi="Times New Roman" w:cs="Times New Roman"/>
          <w:shd w:val="clear" w:color="auto" w:fill="FFFFFF"/>
        </w:rPr>
        <w:t>ontracts for four explor</w:t>
      </w:r>
      <w:r w:rsidR="00AB51B3" w:rsidRPr="00C51F57">
        <w:rPr>
          <w:rFonts w:ascii="Times New Roman" w:hAnsi="Times New Roman" w:cs="Times New Roman"/>
          <w:shd w:val="clear" w:color="auto" w:fill="FFFFFF"/>
        </w:rPr>
        <w:t xml:space="preserve">ation blocks in Iraqi Kurdistan </w:t>
      </w:r>
      <w:r w:rsidR="000B5404" w:rsidRPr="00C51F57">
        <w:rPr>
          <w:rFonts w:ascii="Times New Roman" w:hAnsi="Times New Roman" w:cs="Times New Roman"/>
          <w:shd w:val="clear" w:color="auto" w:fill="FFFFFF"/>
        </w:rPr>
        <w:t>that</w:t>
      </w:r>
      <w:r w:rsidR="00AB51B3" w:rsidRPr="00C51F57">
        <w:rPr>
          <w:rFonts w:ascii="Times New Roman" w:hAnsi="Times New Roman" w:cs="Times New Roman"/>
          <w:shd w:val="clear" w:color="auto" w:fill="FFFFFF"/>
        </w:rPr>
        <w:t xml:space="preserve"> include Shaikan, Sheikh Adi, Ber Bahr and Akri-Bijeel, with a total area under license of 1,624</w:t>
      </w:r>
      <w:r w:rsidR="00AB51B3" w:rsidRPr="00C51F57">
        <w:rPr>
          <w:rFonts w:ascii="Times New Roman" w:hAnsi="Times New Roman" w:cs="Times New Roman"/>
          <w:shd w:val="clear" w:color="auto" w:fill="FFFFFF"/>
          <w:vertAlign w:val="superscript"/>
        </w:rPr>
        <w:t xml:space="preserve"> </w:t>
      </w:r>
      <w:r w:rsidR="00AB51B3" w:rsidRPr="00C51F57">
        <w:rPr>
          <w:rFonts w:ascii="Times New Roman" w:hAnsi="Times New Roman" w:cs="Times New Roman"/>
          <w:shd w:val="clear" w:color="auto" w:fill="FFFFFF"/>
        </w:rPr>
        <w:t>km</w:t>
      </w:r>
      <w:r w:rsidR="00AB51B3" w:rsidRPr="00C51F57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AB51B3" w:rsidRPr="00C51F57">
        <w:rPr>
          <w:rFonts w:ascii="Times New Roman" w:hAnsi="Times New Roman" w:cs="Times New Roman"/>
          <w:shd w:val="clear" w:color="auto" w:fill="FFFFFF"/>
        </w:rPr>
        <w:t>.</w:t>
      </w:r>
      <w:r w:rsidR="00A07065" w:rsidRPr="00C51F57">
        <w:rPr>
          <w:rFonts w:ascii="Times New Roman" w:hAnsi="Times New Roman" w:cs="Times New Roman"/>
          <w:shd w:val="clear" w:color="auto" w:fill="FFFFFF"/>
        </w:rPr>
        <w:t xml:space="preserve"> </w:t>
      </w:r>
      <w:r w:rsidR="00C87370" w:rsidRPr="00C51F57">
        <w:rPr>
          <w:rFonts w:ascii="Times New Roman" w:hAnsi="Times New Roman" w:cs="Times New Roman"/>
          <w:shd w:val="clear" w:color="auto" w:fill="FFFFFF"/>
        </w:rPr>
        <w:t>The c</w:t>
      </w:r>
      <w:r w:rsidR="00A07065" w:rsidRPr="00C51F57">
        <w:rPr>
          <w:rFonts w:ascii="Times New Roman" w:hAnsi="Times New Roman" w:cs="Times New Roman"/>
          <w:shd w:val="clear" w:color="auto" w:fill="FFFFFF"/>
        </w:rPr>
        <w:t>ompany has branch offices in</w:t>
      </w:r>
      <w:r w:rsidR="00A07065" w:rsidRPr="00C51F5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8" w:tooltip="Arbil" w:history="1">
        <w:r w:rsidR="00A07065" w:rsidRPr="00C51F57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Arbil</w:t>
        </w:r>
      </w:hyperlink>
      <w:r w:rsidR="00A07065" w:rsidRPr="00C51F57">
        <w:rPr>
          <w:rFonts w:ascii="Times New Roman" w:hAnsi="Times New Roman" w:cs="Times New Roman"/>
          <w:shd w:val="clear" w:color="auto" w:fill="FFFFFF"/>
        </w:rPr>
        <w:t>, Kurdistan,</w:t>
      </w:r>
      <w:r w:rsidR="00A07065" w:rsidRPr="00C51F5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9" w:tooltip="Algiers" w:history="1">
        <w:r w:rsidR="00A07065" w:rsidRPr="00C51F57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Algiers</w:t>
        </w:r>
      </w:hyperlink>
      <w:r w:rsidR="000B5404" w:rsidRPr="00C51F57">
        <w:rPr>
          <w:rFonts w:ascii="Times New Roman" w:hAnsi="Times New Roman" w:cs="Times New Roman"/>
          <w:shd w:val="clear" w:color="auto" w:fill="FFFFFF"/>
        </w:rPr>
        <w:t>, Algeria, and London</w:t>
      </w:r>
      <w:r w:rsidR="000E6656" w:rsidRPr="00C51F57">
        <w:rPr>
          <w:rFonts w:ascii="Times New Roman" w:hAnsi="Times New Roman" w:cs="Times New Roman"/>
          <w:shd w:val="clear" w:color="auto" w:fill="FFFFFF"/>
        </w:rPr>
        <w:t>.</w:t>
      </w:r>
    </w:p>
    <w:p w14:paraId="00874503" w14:textId="77777777" w:rsidR="00C87370" w:rsidRPr="00C51F57" w:rsidRDefault="00C87370" w:rsidP="00321C4E">
      <w:pPr>
        <w:pStyle w:val="NoSpacing"/>
        <w:spacing w:line="360" w:lineRule="auto"/>
        <w:rPr>
          <w:rFonts w:ascii="Times New Roman" w:eastAsia="Times New Roman" w:hAnsi="Times New Roman" w:cs="Times New Roman"/>
          <w:kern w:val="36"/>
          <w:lang w:eastAsia="en-GB"/>
        </w:rPr>
      </w:pPr>
    </w:p>
    <w:p w14:paraId="606F35FE" w14:textId="77777777" w:rsidR="006E7664" w:rsidRPr="00C51F57" w:rsidRDefault="00C87370" w:rsidP="008E16AE">
      <w:pPr>
        <w:pStyle w:val="NoSpacing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>Shaikan B</w:t>
      </w:r>
      <w:r w:rsidR="008E16AE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>lock</w:t>
      </w:r>
      <w:r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5C0C47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- </w:t>
      </w:r>
      <w:r w:rsidR="00D5432C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a </w:t>
      </w:r>
      <w:r w:rsidR="008E16AE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>huge</w:t>
      </w:r>
      <w:r w:rsidR="0022031D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8E16AE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commercial </w:t>
      </w:r>
      <w:r w:rsidR="00FC2BAF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success from </w:t>
      </w:r>
      <w:r w:rsidR="0022031D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exploration </w:t>
      </w:r>
      <w:r w:rsidR="00FC2BAF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to production </w:t>
      </w:r>
      <w:r w:rsidR="0022031D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in Kurdistan </w:t>
      </w:r>
    </w:p>
    <w:p w14:paraId="25772A11" w14:textId="77777777" w:rsidR="008E16AE" w:rsidRPr="00C51F57" w:rsidRDefault="008E16AE" w:rsidP="008E16AE">
      <w:pPr>
        <w:pStyle w:val="NoSpacing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6795967B" w14:textId="77777777" w:rsidR="006E7664" w:rsidRPr="00C51F57" w:rsidRDefault="00F3332E" w:rsidP="00321C4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C51F57">
        <w:rPr>
          <w:rFonts w:ascii="Times New Roman" w:eastAsia="Times New Roman" w:hAnsi="Times New Roman" w:cs="Times New Roman"/>
          <w:kern w:val="36"/>
          <w:lang w:eastAsia="en-GB"/>
        </w:rPr>
        <w:t xml:space="preserve">In 2007 </w:t>
      </w:r>
      <w:r w:rsidR="005B03B8" w:rsidRPr="00C51F57">
        <w:rPr>
          <w:rFonts w:ascii="Times New Roman" w:eastAsia="Times New Roman" w:hAnsi="Times New Roman" w:cs="Times New Roman"/>
          <w:kern w:val="36"/>
          <w:lang w:eastAsia="en-GB"/>
        </w:rPr>
        <w:t xml:space="preserve">GKP </w:t>
      </w:r>
      <w:r w:rsidR="005B03B8" w:rsidRPr="00C51F57">
        <w:rPr>
          <w:rFonts w:ascii="Times New Roman" w:hAnsi="Times New Roman" w:cs="Times New Roman"/>
          <w:shd w:val="clear" w:color="auto" w:fill="FFFFFF"/>
        </w:rPr>
        <w:t>in</w:t>
      </w:r>
      <w:r w:rsidR="001C000F" w:rsidRPr="00C51F57">
        <w:rPr>
          <w:rFonts w:ascii="Times New Roman" w:hAnsi="Times New Roman" w:cs="Times New Roman"/>
          <w:shd w:val="clear" w:color="auto" w:fill="FFFFFF"/>
        </w:rPr>
        <w:t xml:space="preserve"> partnership with Kalegran Ltd, a subsidiary of MOL Hungarian Oil a</w:t>
      </w:r>
      <w:r w:rsidR="00C87370" w:rsidRPr="00C51F57">
        <w:rPr>
          <w:rFonts w:ascii="Times New Roman" w:hAnsi="Times New Roman" w:cs="Times New Roman"/>
          <w:shd w:val="clear" w:color="auto" w:fill="FFFFFF"/>
        </w:rPr>
        <w:t>nd Gas Public Limited Company (MOL</w:t>
      </w:r>
      <w:r w:rsidR="001C000F" w:rsidRPr="00C51F57">
        <w:rPr>
          <w:rFonts w:ascii="Times New Roman" w:hAnsi="Times New Roman" w:cs="Times New Roman"/>
          <w:shd w:val="clear" w:color="auto" w:fill="FFFFFF"/>
        </w:rPr>
        <w:t>) and Texas Keystone Inc</w:t>
      </w:r>
      <w:r w:rsidR="00661FDA" w:rsidRPr="00C51F57">
        <w:rPr>
          <w:rFonts w:ascii="Times New Roman" w:hAnsi="Times New Roman" w:cs="Times New Roman"/>
          <w:shd w:val="clear" w:color="auto" w:fill="FFFFFF"/>
        </w:rPr>
        <w:t>,</w:t>
      </w:r>
      <w:r w:rsidR="001C000F" w:rsidRPr="00C51F57">
        <w:rPr>
          <w:rFonts w:ascii="Times New Roman" w:hAnsi="Times New Roman" w:cs="Times New Roman"/>
          <w:shd w:val="clear" w:color="auto" w:fill="FFFFFF"/>
        </w:rPr>
        <w:t xml:space="preserve"> signed a </w:t>
      </w:r>
      <w:r w:rsidR="00C87370" w:rsidRPr="00C51F57">
        <w:rPr>
          <w:rFonts w:ascii="Times New Roman" w:hAnsi="Times New Roman" w:cs="Times New Roman"/>
          <w:shd w:val="clear" w:color="auto" w:fill="FFFFFF"/>
        </w:rPr>
        <w:t>production sharing c</w:t>
      </w:r>
      <w:r w:rsidR="001C000F" w:rsidRPr="00C51F57">
        <w:rPr>
          <w:rFonts w:ascii="Times New Roman" w:hAnsi="Times New Roman" w:cs="Times New Roman"/>
          <w:shd w:val="clear" w:color="auto" w:fill="FFFFFF"/>
        </w:rPr>
        <w:t xml:space="preserve">ontract with the </w:t>
      </w:r>
      <w:r w:rsidR="00C87370" w:rsidRPr="00C51F57">
        <w:rPr>
          <w:rFonts w:ascii="Times New Roman" w:hAnsi="Times New Roman" w:cs="Times New Roman"/>
          <w:shd w:val="clear" w:color="auto" w:fill="FFFFFF"/>
        </w:rPr>
        <w:t>Kurdistan Regional Government (KRG</w:t>
      </w:r>
      <w:r w:rsidR="001C000F" w:rsidRPr="00C51F57">
        <w:rPr>
          <w:rFonts w:ascii="Times New Roman" w:hAnsi="Times New Roman" w:cs="Times New Roman"/>
          <w:shd w:val="clear" w:color="auto" w:fill="FFFFFF"/>
        </w:rPr>
        <w:t xml:space="preserve">), for the exploration, development and production of hydrocarbon resources in the Shaikan Block in the Dihok area of the Kurdistan Region </w:t>
      </w:r>
      <w:r w:rsidR="009409B5" w:rsidRPr="00C51F57">
        <w:rPr>
          <w:rFonts w:ascii="Times New Roman" w:hAnsi="Times New Roman" w:cs="Times New Roman"/>
          <w:shd w:val="clear" w:color="auto" w:fill="FFFFFF"/>
        </w:rPr>
        <w:t>of</w:t>
      </w:r>
      <w:r w:rsidR="001C000F" w:rsidRPr="00C51F57">
        <w:rPr>
          <w:rFonts w:ascii="Times New Roman" w:hAnsi="Times New Roman" w:cs="Times New Roman"/>
          <w:shd w:val="clear" w:color="auto" w:fill="FFFFFF"/>
        </w:rPr>
        <w:t xml:space="preserve"> Northern Iraq. Under the </w:t>
      </w:r>
      <w:r w:rsidR="00F21A7D" w:rsidRPr="00C51F57">
        <w:rPr>
          <w:rFonts w:ascii="Times New Roman" w:hAnsi="Times New Roman" w:cs="Times New Roman"/>
          <w:shd w:val="clear" w:color="auto" w:fill="FFFFFF"/>
        </w:rPr>
        <w:t>partnership</w:t>
      </w:r>
      <w:r w:rsidR="001C000F" w:rsidRPr="00C51F57">
        <w:rPr>
          <w:rFonts w:ascii="Times New Roman" w:hAnsi="Times New Roman" w:cs="Times New Roman"/>
          <w:shd w:val="clear" w:color="auto" w:fill="FFFFFF"/>
        </w:rPr>
        <w:t xml:space="preserve"> </w:t>
      </w:r>
      <w:r w:rsidR="00F21A7D" w:rsidRPr="00C51F57">
        <w:rPr>
          <w:rFonts w:ascii="Times New Roman" w:hAnsi="Times New Roman" w:cs="Times New Roman"/>
          <w:shd w:val="clear" w:color="auto" w:fill="FFFFFF"/>
        </w:rPr>
        <w:t>GKP hold</w:t>
      </w:r>
      <w:r w:rsidR="00C87370" w:rsidRPr="00C51F57">
        <w:rPr>
          <w:rFonts w:ascii="Times New Roman" w:hAnsi="Times New Roman" w:cs="Times New Roman"/>
          <w:shd w:val="clear" w:color="auto" w:fill="FFFFFF"/>
        </w:rPr>
        <w:t>s</w:t>
      </w:r>
      <w:r w:rsidR="00F21A7D" w:rsidRPr="00C51F57">
        <w:rPr>
          <w:rFonts w:ascii="Times New Roman" w:hAnsi="Times New Roman" w:cs="Times New Roman"/>
          <w:shd w:val="clear" w:color="auto" w:fill="FFFFFF"/>
        </w:rPr>
        <w:t xml:space="preserve"> 75%, </w:t>
      </w:r>
      <w:r w:rsidR="009A3057" w:rsidRPr="00C51F57">
        <w:rPr>
          <w:rFonts w:ascii="Times New Roman" w:hAnsi="Times New Roman" w:cs="Times New Roman"/>
          <w:shd w:val="clear" w:color="auto" w:fill="FFFFFF"/>
        </w:rPr>
        <w:t xml:space="preserve">Kalegran </w:t>
      </w:r>
      <w:r w:rsidR="00F21A7D" w:rsidRPr="00C51F57">
        <w:rPr>
          <w:rFonts w:ascii="Times New Roman" w:hAnsi="Times New Roman" w:cs="Times New Roman"/>
          <w:shd w:val="clear" w:color="auto" w:fill="FFFFFF"/>
        </w:rPr>
        <w:t>20% and Te</w:t>
      </w:r>
      <w:r w:rsidR="00C87370" w:rsidRPr="00C51F57">
        <w:rPr>
          <w:rFonts w:ascii="Times New Roman" w:hAnsi="Times New Roman" w:cs="Times New Roman"/>
          <w:shd w:val="clear" w:color="auto" w:fill="FFFFFF"/>
        </w:rPr>
        <w:t>xas Keystone 5% of the Shaikan B</w:t>
      </w:r>
      <w:r w:rsidR="00F21A7D" w:rsidRPr="00C51F57">
        <w:rPr>
          <w:rFonts w:ascii="Times New Roman" w:hAnsi="Times New Roman" w:cs="Times New Roman"/>
          <w:shd w:val="clear" w:color="auto" w:fill="FFFFFF"/>
        </w:rPr>
        <w:t>lock.</w:t>
      </w:r>
      <w:r w:rsidR="00A21A7B" w:rsidRPr="00C51F57">
        <w:rPr>
          <w:rFonts w:ascii="Times New Roman" w:hAnsi="Times New Roman" w:cs="Times New Roman"/>
          <w:shd w:val="clear" w:color="auto" w:fill="FFFFFF"/>
        </w:rPr>
        <w:t xml:space="preserve"> In consideration for introducing Kalegran into the Shaikan partnership, GKP received a 20% interest in the Akri-Bijeel Block adjacent to Shaikan.</w:t>
      </w:r>
    </w:p>
    <w:p w14:paraId="70BAD162" w14:textId="77777777" w:rsidR="006C29B8" w:rsidRPr="00C51F57" w:rsidRDefault="009409B5" w:rsidP="00321C4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C51F57">
        <w:rPr>
          <w:rFonts w:ascii="Times New Roman" w:eastAsia="Times New Roman" w:hAnsi="Times New Roman" w:cs="Times New Roman"/>
          <w:kern w:val="36"/>
          <w:lang w:eastAsia="en-GB"/>
        </w:rPr>
        <w:t>During</w:t>
      </w:r>
      <w:r w:rsidR="00CD5302" w:rsidRPr="00C51F57">
        <w:rPr>
          <w:rFonts w:ascii="Times New Roman" w:eastAsia="Times New Roman" w:hAnsi="Times New Roman" w:cs="Times New Roman"/>
          <w:kern w:val="36"/>
          <w:lang w:eastAsia="en-GB"/>
        </w:rPr>
        <w:t xml:space="preserve"> 2008 and 2009</w:t>
      </w:r>
      <w:r w:rsidR="00273662" w:rsidRPr="00C51F57">
        <w:rPr>
          <w:rFonts w:ascii="Times New Roman" w:eastAsia="Times New Roman" w:hAnsi="Times New Roman" w:cs="Times New Roman"/>
          <w:kern w:val="36"/>
          <w:lang w:eastAsia="en-GB"/>
        </w:rPr>
        <w:t xml:space="preserve"> GKP carried out </w:t>
      </w:r>
      <w:r w:rsidR="006C29B8" w:rsidRPr="00C51F57">
        <w:rPr>
          <w:rFonts w:ascii="Times New Roman" w:eastAsia="Times New Roman" w:hAnsi="Times New Roman" w:cs="Times New Roman"/>
          <w:kern w:val="36"/>
          <w:lang w:eastAsia="en-GB"/>
        </w:rPr>
        <w:t xml:space="preserve">extensive </w:t>
      </w:r>
      <w:r w:rsidR="00273662" w:rsidRPr="00C51F57">
        <w:rPr>
          <w:rFonts w:ascii="Times New Roman" w:hAnsi="Times New Roman" w:cs="Times New Roman"/>
          <w:shd w:val="clear" w:color="auto" w:fill="FFFFFF"/>
        </w:rPr>
        <w:t xml:space="preserve">2D seismic </w:t>
      </w:r>
      <w:r w:rsidR="00C87370" w:rsidRPr="00C51F57">
        <w:rPr>
          <w:rFonts w:ascii="Times New Roman" w:hAnsi="Times New Roman" w:cs="Times New Roman"/>
          <w:shd w:val="clear" w:color="auto" w:fill="FFFFFF"/>
        </w:rPr>
        <w:t xml:space="preserve">explorations and started drilling wells </w:t>
      </w:r>
      <w:r w:rsidR="00273662" w:rsidRPr="00C51F57">
        <w:rPr>
          <w:rFonts w:ascii="Times New Roman" w:hAnsi="Times New Roman" w:cs="Times New Roman"/>
          <w:shd w:val="clear" w:color="auto" w:fill="FFFFFF"/>
        </w:rPr>
        <w:t xml:space="preserve">on </w:t>
      </w:r>
      <w:r w:rsidR="00C87370" w:rsidRPr="00C51F57">
        <w:rPr>
          <w:rFonts w:ascii="Times New Roman" w:hAnsi="Times New Roman" w:cs="Times New Roman"/>
          <w:shd w:val="clear" w:color="auto" w:fill="FFFFFF"/>
        </w:rPr>
        <w:t>the Shaikan B</w:t>
      </w:r>
      <w:r w:rsidR="00273662" w:rsidRPr="00C51F57">
        <w:rPr>
          <w:rFonts w:ascii="Times New Roman" w:hAnsi="Times New Roman" w:cs="Times New Roman"/>
          <w:shd w:val="clear" w:color="auto" w:fill="FFFFFF"/>
        </w:rPr>
        <w:t xml:space="preserve">lock. </w:t>
      </w:r>
      <w:r w:rsidR="00F0118E" w:rsidRPr="00C51F57">
        <w:rPr>
          <w:rFonts w:ascii="Times New Roman" w:hAnsi="Times New Roman" w:cs="Times New Roman"/>
          <w:shd w:val="clear" w:color="auto" w:fill="FFFFFF"/>
        </w:rPr>
        <w:t xml:space="preserve">In </w:t>
      </w:r>
      <w:r w:rsidRPr="00C51F57">
        <w:rPr>
          <w:rFonts w:ascii="Times New Roman" w:hAnsi="Times New Roman" w:cs="Times New Roman"/>
          <w:shd w:val="clear" w:color="auto" w:fill="FFFFFF"/>
        </w:rPr>
        <w:t xml:space="preserve">the </w:t>
      </w:r>
      <w:r w:rsidR="00F0118E" w:rsidRPr="00C51F57">
        <w:rPr>
          <w:rFonts w:ascii="Times New Roman" w:hAnsi="Times New Roman" w:cs="Times New Roman"/>
          <w:shd w:val="clear" w:color="auto" w:fill="FFFFFF"/>
        </w:rPr>
        <w:t>s</w:t>
      </w:r>
      <w:r w:rsidR="00C87370" w:rsidRPr="00C51F57">
        <w:rPr>
          <w:rFonts w:ascii="Times New Roman" w:hAnsi="Times New Roman" w:cs="Times New Roman"/>
          <w:shd w:val="clear" w:color="auto" w:fill="FFFFFF"/>
        </w:rPr>
        <w:t>econd half of 2009 GKP announced a</w:t>
      </w:r>
      <w:r w:rsidR="00F0118E" w:rsidRPr="00C51F57">
        <w:rPr>
          <w:rFonts w:ascii="Times New Roman" w:hAnsi="Times New Roman" w:cs="Times New Roman"/>
          <w:shd w:val="clear" w:color="auto" w:fill="FFFFFF"/>
        </w:rPr>
        <w:t xml:space="preserve"> huge oil discovery in </w:t>
      </w:r>
      <w:r w:rsidR="00321C4E" w:rsidRPr="00C51F57">
        <w:rPr>
          <w:rFonts w:ascii="Times New Roman" w:hAnsi="Times New Roman" w:cs="Times New Roman"/>
          <w:shd w:val="clear" w:color="auto" w:fill="FFFFFF"/>
        </w:rPr>
        <w:t>the Shaikan</w:t>
      </w:r>
      <w:r w:rsidR="00E925F3" w:rsidRPr="00C51F57">
        <w:rPr>
          <w:rFonts w:ascii="Times New Roman" w:hAnsi="Times New Roman" w:cs="Times New Roman"/>
          <w:shd w:val="clear" w:color="auto" w:fill="FFFFFF"/>
        </w:rPr>
        <w:t>-1</w:t>
      </w:r>
      <w:r w:rsidR="00F0118E" w:rsidRPr="00C51F57">
        <w:rPr>
          <w:rFonts w:ascii="Times New Roman" w:hAnsi="Times New Roman" w:cs="Times New Roman"/>
          <w:shd w:val="clear" w:color="auto" w:fill="FFFFFF"/>
        </w:rPr>
        <w:t xml:space="preserve"> exploration well</w:t>
      </w:r>
      <w:r w:rsidR="000B5404" w:rsidRPr="00C51F57">
        <w:rPr>
          <w:rFonts w:ascii="Times New Roman" w:hAnsi="Times New Roman" w:cs="Times New Roman"/>
          <w:shd w:val="clear" w:color="auto" w:fill="FFFFFF"/>
        </w:rPr>
        <w:t>,</w:t>
      </w:r>
      <w:r w:rsidR="00321C4E" w:rsidRPr="00C51F57">
        <w:rPr>
          <w:rFonts w:ascii="Times New Roman" w:hAnsi="Times New Roman" w:cs="Times New Roman"/>
          <w:shd w:val="clear" w:color="auto" w:fill="FFFFFF"/>
        </w:rPr>
        <w:t xml:space="preserve"> </w:t>
      </w:r>
      <w:r w:rsidR="000B5404" w:rsidRPr="00C51F57">
        <w:rPr>
          <w:rFonts w:ascii="Times New Roman" w:hAnsi="Times New Roman" w:cs="Times New Roman"/>
          <w:shd w:val="clear" w:color="auto" w:fill="FFFFFF"/>
        </w:rPr>
        <w:t>which</w:t>
      </w:r>
      <w:r w:rsidR="00E925F3" w:rsidRPr="00C51F57">
        <w:rPr>
          <w:rFonts w:ascii="Times New Roman" w:hAnsi="Times New Roman" w:cs="Times New Roman"/>
          <w:shd w:val="clear" w:color="auto" w:fill="FFFFFF"/>
        </w:rPr>
        <w:t xml:space="preserve"> </w:t>
      </w:r>
      <w:r w:rsidR="00C87370" w:rsidRPr="00C51F57">
        <w:rPr>
          <w:rFonts w:ascii="Times New Roman" w:hAnsi="Times New Roman" w:cs="Times New Roman"/>
          <w:shd w:val="clear" w:color="auto" w:fill="FFFFFF"/>
        </w:rPr>
        <w:t>was estimated to have the</w:t>
      </w:r>
      <w:r w:rsidR="00321C4E" w:rsidRPr="00C51F57">
        <w:rPr>
          <w:rFonts w:ascii="Times New Roman" w:hAnsi="Times New Roman" w:cs="Times New Roman"/>
          <w:shd w:val="clear" w:color="auto" w:fill="FFFFFF"/>
        </w:rPr>
        <w:t xml:space="preserve"> </w:t>
      </w:r>
      <w:r w:rsidR="00C87370" w:rsidRPr="00C51F57">
        <w:rPr>
          <w:rFonts w:ascii="Times New Roman" w:hAnsi="Times New Roman" w:cs="Times New Roman"/>
          <w:shd w:val="clear" w:color="auto" w:fill="FFFFFF"/>
        </w:rPr>
        <w:t xml:space="preserve">production </w:t>
      </w:r>
      <w:r w:rsidR="00321C4E" w:rsidRPr="00C51F57">
        <w:rPr>
          <w:rFonts w:ascii="Times New Roman" w:hAnsi="Times New Roman" w:cs="Times New Roman"/>
          <w:shd w:val="clear" w:color="auto" w:fill="FFFFFF"/>
        </w:rPr>
        <w:t>potential of</w:t>
      </w:r>
      <w:r w:rsidR="00C87370" w:rsidRPr="00C51F57">
        <w:rPr>
          <w:rFonts w:ascii="Times New Roman" w:hAnsi="Times New Roman" w:cs="Times New Roman"/>
          <w:shd w:val="clear" w:color="auto" w:fill="FFFFFF"/>
        </w:rPr>
        <w:t xml:space="preserve"> 1</w:t>
      </w:r>
      <w:r w:rsidR="00321C4E" w:rsidRPr="00C51F57">
        <w:rPr>
          <w:rFonts w:ascii="Times New Roman" w:hAnsi="Times New Roman" w:cs="Times New Roman"/>
          <w:shd w:val="clear" w:color="auto" w:fill="FFFFFF"/>
        </w:rPr>
        <w:t>bn to 5.8bn barrel</w:t>
      </w:r>
      <w:r w:rsidR="00EF2ED4" w:rsidRPr="00C51F57">
        <w:rPr>
          <w:rFonts w:ascii="Times New Roman" w:hAnsi="Times New Roman" w:cs="Times New Roman"/>
          <w:shd w:val="clear" w:color="auto" w:fill="FFFFFF"/>
        </w:rPr>
        <w:t>s</w:t>
      </w:r>
      <w:r w:rsidR="00321C4E" w:rsidRPr="00C51F57">
        <w:rPr>
          <w:rFonts w:ascii="Times New Roman" w:hAnsi="Times New Roman" w:cs="Times New Roman"/>
          <w:shd w:val="clear" w:color="auto" w:fill="FFFFFF"/>
        </w:rPr>
        <w:t xml:space="preserve"> of oil</w:t>
      </w:r>
      <w:r w:rsidR="00F0118E" w:rsidRPr="00C51F57">
        <w:rPr>
          <w:rFonts w:ascii="Times New Roman" w:hAnsi="Times New Roman" w:cs="Times New Roman"/>
          <w:shd w:val="clear" w:color="auto" w:fill="FFFFFF"/>
        </w:rPr>
        <w:t>.</w:t>
      </w:r>
      <w:r w:rsidR="0083789D" w:rsidRPr="00C51F57">
        <w:rPr>
          <w:rFonts w:ascii="Times New Roman" w:hAnsi="Times New Roman" w:cs="Times New Roman"/>
          <w:shd w:val="clear" w:color="auto" w:fill="FFFFFF"/>
        </w:rPr>
        <w:t xml:space="preserve"> To further strengthen </w:t>
      </w:r>
      <w:r w:rsidR="00EF2ED4" w:rsidRPr="00C51F57">
        <w:rPr>
          <w:rFonts w:ascii="Times New Roman" w:hAnsi="Times New Roman" w:cs="Times New Roman"/>
          <w:shd w:val="clear" w:color="auto" w:fill="FFFFFF"/>
        </w:rPr>
        <w:t xml:space="preserve">its </w:t>
      </w:r>
      <w:r w:rsidR="0083789D" w:rsidRPr="00C51F57">
        <w:rPr>
          <w:rFonts w:ascii="Times New Roman" w:hAnsi="Times New Roman" w:cs="Times New Roman"/>
          <w:shd w:val="clear" w:color="auto" w:fill="FFFFFF"/>
        </w:rPr>
        <w:t>position in Kurdistan</w:t>
      </w:r>
      <w:r w:rsidR="00C87370" w:rsidRPr="00C51F57">
        <w:rPr>
          <w:rFonts w:ascii="Times New Roman" w:hAnsi="Times New Roman" w:cs="Times New Roman"/>
          <w:shd w:val="clear" w:color="auto" w:fill="FFFFFF"/>
        </w:rPr>
        <w:t>,</w:t>
      </w:r>
      <w:r w:rsidR="0083789D" w:rsidRPr="00C51F57">
        <w:rPr>
          <w:rFonts w:ascii="Times New Roman" w:hAnsi="Times New Roman" w:cs="Times New Roman"/>
          <w:shd w:val="clear" w:color="auto" w:fill="FFFFFF"/>
        </w:rPr>
        <w:t xml:space="preserve"> GKP </w:t>
      </w:r>
      <w:r w:rsidR="00EF2ED4" w:rsidRPr="00C51F57">
        <w:rPr>
          <w:rFonts w:ascii="Times New Roman" w:hAnsi="Times New Roman" w:cs="Times New Roman"/>
          <w:shd w:val="clear" w:color="auto" w:fill="FFFFFF"/>
        </w:rPr>
        <w:t>acquired</w:t>
      </w:r>
      <w:r w:rsidR="0083789D" w:rsidRPr="00C51F57">
        <w:rPr>
          <w:rFonts w:ascii="Times New Roman" w:hAnsi="Times New Roman" w:cs="Times New Roman"/>
          <w:shd w:val="clear" w:color="auto" w:fill="FFFFFF"/>
        </w:rPr>
        <w:t xml:space="preserve"> two </w:t>
      </w:r>
      <w:r w:rsidR="00C87370" w:rsidRPr="00C51F57">
        <w:rPr>
          <w:rFonts w:ascii="Times New Roman" w:hAnsi="Times New Roman" w:cs="Times New Roman"/>
          <w:shd w:val="clear" w:color="auto" w:fill="FFFFFF"/>
        </w:rPr>
        <w:t>p</w:t>
      </w:r>
      <w:r w:rsidR="0083789D" w:rsidRPr="00C51F57">
        <w:rPr>
          <w:rFonts w:ascii="Times New Roman" w:hAnsi="Times New Roman" w:cs="Times New Roman"/>
          <w:shd w:val="clear" w:color="auto" w:fill="FFFFFF"/>
        </w:rPr>
        <w:t xml:space="preserve">roduction </w:t>
      </w:r>
      <w:r w:rsidR="00C87370" w:rsidRPr="00C51F57">
        <w:rPr>
          <w:rFonts w:ascii="Times New Roman" w:hAnsi="Times New Roman" w:cs="Times New Roman"/>
          <w:shd w:val="clear" w:color="auto" w:fill="FFFFFF"/>
        </w:rPr>
        <w:t>sharing c</w:t>
      </w:r>
      <w:r w:rsidR="0083789D" w:rsidRPr="00C51F57">
        <w:rPr>
          <w:rFonts w:ascii="Times New Roman" w:hAnsi="Times New Roman" w:cs="Times New Roman"/>
          <w:shd w:val="clear" w:color="auto" w:fill="FFFFFF"/>
        </w:rPr>
        <w:t xml:space="preserve">ontracts for the exploration, development and production of hydrocarbon resources in the Sheikh Adi and Ber Bahr </w:t>
      </w:r>
      <w:r w:rsidRPr="00C51F57">
        <w:rPr>
          <w:rFonts w:ascii="Times New Roman" w:hAnsi="Times New Roman" w:cs="Times New Roman"/>
          <w:shd w:val="clear" w:color="auto" w:fill="FFFFFF"/>
        </w:rPr>
        <w:t>B</w:t>
      </w:r>
      <w:r w:rsidR="0083789D" w:rsidRPr="00C51F57">
        <w:rPr>
          <w:rFonts w:ascii="Times New Roman" w:hAnsi="Times New Roman" w:cs="Times New Roman"/>
          <w:shd w:val="clear" w:color="auto" w:fill="FFFFFF"/>
        </w:rPr>
        <w:t>locks of the Kurdistan Region of Northern Iraq. In Sh</w:t>
      </w:r>
      <w:r w:rsidR="00321C4E" w:rsidRPr="00C51F57">
        <w:rPr>
          <w:rFonts w:ascii="Times New Roman" w:hAnsi="Times New Roman" w:cs="Times New Roman"/>
          <w:shd w:val="clear" w:color="auto" w:fill="FFFFFF"/>
        </w:rPr>
        <w:t>e</w:t>
      </w:r>
      <w:r w:rsidR="0083789D" w:rsidRPr="00C51F57">
        <w:rPr>
          <w:rFonts w:ascii="Times New Roman" w:hAnsi="Times New Roman" w:cs="Times New Roman"/>
          <w:shd w:val="clear" w:color="auto" w:fill="FFFFFF"/>
        </w:rPr>
        <w:t xml:space="preserve">ikh Adi GKP </w:t>
      </w:r>
      <w:r w:rsidR="00321C4E" w:rsidRPr="00C51F57">
        <w:rPr>
          <w:rFonts w:ascii="Times New Roman" w:hAnsi="Times New Roman" w:cs="Times New Roman"/>
          <w:shd w:val="clear" w:color="auto" w:fill="FFFFFF"/>
        </w:rPr>
        <w:t>hold</w:t>
      </w:r>
      <w:r w:rsidR="00C87370" w:rsidRPr="00C51F57">
        <w:rPr>
          <w:rFonts w:ascii="Times New Roman" w:hAnsi="Times New Roman" w:cs="Times New Roman"/>
          <w:shd w:val="clear" w:color="auto" w:fill="FFFFFF"/>
        </w:rPr>
        <w:t>s an</w:t>
      </w:r>
      <w:r w:rsidR="00321C4E" w:rsidRPr="00C51F57">
        <w:rPr>
          <w:rFonts w:ascii="Times New Roman" w:hAnsi="Times New Roman" w:cs="Times New Roman"/>
          <w:shd w:val="clear" w:color="auto" w:fill="FFFFFF"/>
        </w:rPr>
        <w:t xml:space="preserve"> 80% </w:t>
      </w:r>
      <w:r w:rsidR="00EF2ED4" w:rsidRPr="00C51F57">
        <w:rPr>
          <w:rFonts w:ascii="Times New Roman" w:hAnsi="Times New Roman" w:cs="Times New Roman"/>
          <w:shd w:val="clear" w:color="auto" w:fill="FFFFFF"/>
        </w:rPr>
        <w:t>interest while in</w:t>
      </w:r>
      <w:r w:rsidR="00321C4E" w:rsidRPr="00C51F57">
        <w:rPr>
          <w:rFonts w:ascii="Times New Roman" w:hAnsi="Times New Roman" w:cs="Times New Roman"/>
          <w:shd w:val="clear" w:color="auto" w:fill="FFFFFF"/>
        </w:rPr>
        <w:t xml:space="preserve"> </w:t>
      </w:r>
      <w:r w:rsidR="00C87370" w:rsidRPr="00C51F57">
        <w:rPr>
          <w:rFonts w:ascii="Times New Roman" w:hAnsi="Times New Roman" w:cs="Times New Roman"/>
          <w:shd w:val="clear" w:color="auto" w:fill="FFFFFF"/>
        </w:rPr>
        <w:t xml:space="preserve">the </w:t>
      </w:r>
      <w:r w:rsidR="00321C4E" w:rsidRPr="00C51F57">
        <w:rPr>
          <w:rFonts w:ascii="Times New Roman" w:hAnsi="Times New Roman" w:cs="Times New Roman"/>
          <w:shd w:val="clear" w:color="auto" w:fill="FFFFFF"/>
        </w:rPr>
        <w:t xml:space="preserve">Ber Bahr </w:t>
      </w:r>
      <w:r w:rsidR="00C87370" w:rsidRPr="00C51F57">
        <w:rPr>
          <w:rFonts w:ascii="Times New Roman" w:hAnsi="Times New Roman" w:cs="Times New Roman"/>
          <w:shd w:val="clear" w:color="auto" w:fill="FFFFFF"/>
        </w:rPr>
        <w:t>B</w:t>
      </w:r>
      <w:r w:rsidR="00321C4E" w:rsidRPr="00C51F57">
        <w:rPr>
          <w:rFonts w:ascii="Times New Roman" w:hAnsi="Times New Roman" w:cs="Times New Roman"/>
          <w:shd w:val="clear" w:color="auto" w:fill="FFFFFF"/>
        </w:rPr>
        <w:t xml:space="preserve">lock </w:t>
      </w:r>
      <w:r w:rsidR="002B21BC" w:rsidRPr="00C51F57">
        <w:rPr>
          <w:rFonts w:ascii="Times New Roman" w:hAnsi="Times New Roman" w:cs="Times New Roman"/>
          <w:shd w:val="clear" w:color="auto" w:fill="FFFFFF"/>
        </w:rPr>
        <w:t>it</w:t>
      </w:r>
      <w:r w:rsidR="00321C4E" w:rsidRPr="00C51F57">
        <w:rPr>
          <w:rFonts w:ascii="Times New Roman" w:hAnsi="Times New Roman" w:cs="Times New Roman"/>
          <w:shd w:val="clear" w:color="auto" w:fill="FFFFFF"/>
        </w:rPr>
        <w:t xml:space="preserve"> hold</w:t>
      </w:r>
      <w:r w:rsidR="00C87370" w:rsidRPr="00C51F57">
        <w:rPr>
          <w:rFonts w:ascii="Times New Roman" w:hAnsi="Times New Roman" w:cs="Times New Roman"/>
          <w:shd w:val="clear" w:color="auto" w:fill="FFFFFF"/>
        </w:rPr>
        <w:t>s a</w:t>
      </w:r>
      <w:r w:rsidR="00321C4E" w:rsidRPr="00C51F57">
        <w:rPr>
          <w:rFonts w:ascii="Times New Roman" w:hAnsi="Times New Roman" w:cs="Times New Roman"/>
          <w:shd w:val="clear" w:color="auto" w:fill="FFFFFF"/>
        </w:rPr>
        <w:t xml:space="preserve"> 40% interest. </w:t>
      </w:r>
      <w:r w:rsidR="00BE7794" w:rsidRPr="00C51F57">
        <w:rPr>
          <w:rFonts w:ascii="Times New Roman" w:hAnsi="Times New Roman" w:cs="Times New Roman"/>
          <w:shd w:val="clear" w:color="auto" w:fill="FFFFFF"/>
        </w:rPr>
        <w:t xml:space="preserve">Meanwhile </w:t>
      </w:r>
      <w:r w:rsidR="00C87370" w:rsidRPr="00C51F57">
        <w:rPr>
          <w:rFonts w:ascii="Times New Roman" w:hAnsi="Times New Roman" w:cs="Times New Roman"/>
          <w:shd w:val="clear" w:color="auto" w:fill="FFFFFF"/>
        </w:rPr>
        <w:t xml:space="preserve">the </w:t>
      </w:r>
      <w:r w:rsidR="00BE7794" w:rsidRPr="00C51F57">
        <w:rPr>
          <w:rFonts w:ascii="Times New Roman" w:hAnsi="Times New Roman" w:cs="Times New Roman"/>
          <w:shd w:val="clear" w:color="auto" w:fill="FFFFFF"/>
        </w:rPr>
        <w:t>company decided to exit from Algeria and focus its resources on Kurdistan operations.</w:t>
      </w:r>
    </w:p>
    <w:p w14:paraId="49FFA199" w14:textId="77777777" w:rsidR="00B5109F" w:rsidRPr="00C51F57" w:rsidRDefault="00756932" w:rsidP="00B5109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jc w:val="both"/>
        <w:rPr>
          <w:sz w:val="22"/>
          <w:szCs w:val="22"/>
          <w:shd w:val="clear" w:color="auto" w:fill="FFFFFF"/>
        </w:rPr>
      </w:pPr>
      <w:r w:rsidRPr="00C51F57">
        <w:rPr>
          <w:kern w:val="36"/>
          <w:sz w:val="22"/>
          <w:szCs w:val="22"/>
        </w:rPr>
        <w:t xml:space="preserve">In </w:t>
      </w:r>
      <w:r w:rsidR="00661FDA" w:rsidRPr="00C51F57">
        <w:rPr>
          <w:kern w:val="36"/>
          <w:sz w:val="22"/>
          <w:szCs w:val="22"/>
        </w:rPr>
        <w:t xml:space="preserve">the </w:t>
      </w:r>
      <w:r w:rsidR="00C87370" w:rsidRPr="00C51F57">
        <w:rPr>
          <w:kern w:val="36"/>
          <w:sz w:val="22"/>
          <w:szCs w:val="22"/>
        </w:rPr>
        <w:t>preceding</w:t>
      </w:r>
      <w:r w:rsidRPr="00C51F57">
        <w:rPr>
          <w:kern w:val="36"/>
          <w:sz w:val="22"/>
          <w:szCs w:val="22"/>
        </w:rPr>
        <w:t xml:space="preserve"> three and half years </w:t>
      </w:r>
      <w:r w:rsidR="00C87370" w:rsidRPr="00C51F57">
        <w:rPr>
          <w:kern w:val="36"/>
          <w:sz w:val="22"/>
          <w:szCs w:val="22"/>
        </w:rPr>
        <w:t xml:space="preserve">following </w:t>
      </w:r>
      <w:r w:rsidR="006620CA" w:rsidRPr="00C51F57">
        <w:rPr>
          <w:kern w:val="36"/>
          <w:sz w:val="22"/>
          <w:szCs w:val="22"/>
        </w:rPr>
        <w:t xml:space="preserve">the </w:t>
      </w:r>
      <w:r w:rsidR="00D25756" w:rsidRPr="00C51F57">
        <w:rPr>
          <w:kern w:val="36"/>
          <w:sz w:val="22"/>
          <w:szCs w:val="22"/>
        </w:rPr>
        <w:t>first discovery of Shaikan-1</w:t>
      </w:r>
      <w:r w:rsidR="006620CA" w:rsidRPr="00C51F57">
        <w:rPr>
          <w:kern w:val="36"/>
          <w:sz w:val="22"/>
          <w:szCs w:val="22"/>
        </w:rPr>
        <w:t>,</w:t>
      </w:r>
      <w:r w:rsidR="00D25756" w:rsidRPr="00C51F57">
        <w:rPr>
          <w:kern w:val="36"/>
          <w:sz w:val="22"/>
          <w:szCs w:val="22"/>
        </w:rPr>
        <w:t xml:space="preserve"> GKP </w:t>
      </w:r>
      <w:r w:rsidR="004D70C7" w:rsidRPr="00C51F57">
        <w:rPr>
          <w:kern w:val="36"/>
          <w:sz w:val="22"/>
          <w:szCs w:val="22"/>
        </w:rPr>
        <w:t>acqui</w:t>
      </w:r>
      <w:r w:rsidR="00C87370" w:rsidRPr="00C51F57">
        <w:rPr>
          <w:kern w:val="36"/>
          <w:sz w:val="22"/>
          <w:szCs w:val="22"/>
        </w:rPr>
        <w:t>red 3D seismic data of the Shaikan B</w:t>
      </w:r>
      <w:r w:rsidR="004D70C7" w:rsidRPr="00C51F57">
        <w:rPr>
          <w:kern w:val="36"/>
          <w:sz w:val="22"/>
          <w:szCs w:val="22"/>
        </w:rPr>
        <w:t>lock</w:t>
      </w:r>
      <w:r w:rsidR="00C87370" w:rsidRPr="00C51F57">
        <w:rPr>
          <w:kern w:val="36"/>
          <w:sz w:val="22"/>
          <w:szCs w:val="22"/>
        </w:rPr>
        <w:t>. Further</w:t>
      </w:r>
      <w:r w:rsidR="004D70C7" w:rsidRPr="00C51F57">
        <w:rPr>
          <w:kern w:val="36"/>
          <w:sz w:val="22"/>
          <w:szCs w:val="22"/>
        </w:rPr>
        <w:t xml:space="preserve"> </w:t>
      </w:r>
      <w:r w:rsidR="00D25756" w:rsidRPr="00C51F57">
        <w:rPr>
          <w:kern w:val="36"/>
          <w:sz w:val="22"/>
          <w:szCs w:val="22"/>
        </w:rPr>
        <w:t>drill</w:t>
      </w:r>
      <w:r w:rsidR="004D70C7" w:rsidRPr="00C51F57">
        <w:rPr>
          <w:kern w:val="36"/>
          <w:sz w:val="22"/>
          <w:szCs w:val="22"/>
        </w:rPr>
        <w:t xml:space="preserve">ing </w:t>
      </w:r>
      <w:r w:rsidR="00C87370" w:rsidRPr="00C51F57">
        <w:rPr>
          <w:kern w:val="36"/>
          <w:sz w:val="22"/>
          <w:szCs w:val="22"/>
        </w:rPr>
        <w:t>increased</w:t>
      </w:r>
      <w:r w:rsidR="00D25756" w:rsidRPr="00C51F57">
        <w:rPr>
          <w:kern w:val="36"/>
          <w:sz w:val="22"/>
          <w:szCs w:val="22"/>
        </w:rPr>
        <w:t xml:space="preserve"> its </w:t>
      </w:r>
      <w:r w:rsidR="00D25756" w:rsidRPr="00C51F57">
        <w:rPr>
          <w:rStyle w:val="cu"/>
          <w:sz w:val="22"/>
          <w:szCs w:val="22"/>
        </w:rPr>
        <w:t>audited gross oil-in-place</w:t>
      </w:r>
      <w:r w:rsidR="00F124C7" w:rsidRPr="00C51F57">
        <w:rPr>
          <w:rStyle w:val="cu"/>
          <w:sz w:val="22"/>
          <w:szCs w:val="22"/>
        </w:rPr>
        <w:t xml:space="preserve"> </w:t>
      </w:r>
      <w:r w:rsidR="00796EE1" w:rsidRPr="00C51F57">
        <w:rPr>
          <w:rStyle w:val="cu"/>
          <w:sz w:val="22"/>
          <w:szCs w:val="22"/>
        </w:rPr>
        <w:t>from</w:t>
      </w:r>
      <w:r w:rsidR="008F4135" w:rsidRPr="00C51F57">
        <w:rPr>
          <w:rStyle w:val="cu"/>
          <w:sz w:val="22"/>
          <w:szCs w:val="22"/>
        </w:rPr>
        <w:t xml:space="preserve"> </w:t>
      </w:r>
      <w:r w:rsidR="00C87370" w:rsidRPr="00C51F57">
        <w:rPr>
          <w:sz w:val="22"/>
          <w:szCs w:val="22"/>
          <w:shd w:val="clear" w:color="auto" w:fill="FFFFFF"/>
        </w:rPr>
        <w:t>1</w:t>
      </w:r>
      <w:r w:rsidR="00661FDA" w:rsidRPr="00C51F57">
        <w:rPr>
          <w:sz w:val="22"/>
          <w:szCs w:val="22"/>
          <w:shd w:val="clear" w:color="auto" w:fill="FFFFFF"/>
        </w:rPr>
        <w:t xml:space="preserve">bn to </w:t>
      </w:r>
      <w:r w:rsidR="00F124C7" w:rsidRPr="00C51F57">
        <w:rPr>
          <w:sz w:val="22"/>
          <w:szCs w:val="22"/>
          <w:shd w:val="clear" w:color="auto" w:fill="FFFFFF"/>
        </w:rPr>
        <w:t>5.8bn barrels of oil</w:t>
      </w:r>
      <w:r w:rsidR="00F124C7" w:rsidRPr="00C51F57">
        <w:rPr>
          <w:rStyle w:val="cu"/>
          <w:sz w:val="22"/>
          <w:szCs w:val="22"/>
        </w:rPr>
        <w:t xml:space="preserve"> to</w:t>
      </w:r>
      <w:r w:rsidR="00D25756" w:rsidRPr="00C51F57">
        <w:rPr>
          <w:rStyle w:val="cu"/>
          <w:sz w:val="22"/>
          <w:szCs w:val="22"/>
        </w:rPr>
        <w:t xml:space="preserve"> 8</w:t>
      </w:r>
      <w:r w:rsidR="00C87370" w:rsidRPr="00C51F57">
        <w:rPr>
          <w:rStyle w:val="cu"/>
          <w:sz w:val="22"/>
          <w:szCs w:val="22"/>
        </w:rPr>
        <w:t xml:space="preserve">bn </w:t>
      </w:r>
      <w:r w:rsidR="00F124C7" w:rsidRPr="00C51F57">
        <w:rPr>
          <w:rStyle w:val="cu"/>
          <w:sz w:val="22"/>
          <w:szCs w:val="22"/>
        </w:rPr>
        <w:t>to 13.4</w:t>
      </w:r>
      <w:r w:rsidR="00D25756" w:rsidRPr="00C51F57">
        <w:rPr>
          <w:rStyle w:val="cu"/>
          <w:sz w:val="22"/>
          <w:szCs w:val="22"/>
        </w:rPr>
        <w:t xml:space="preserve">bn barrels </w:t>
      </w:r>
      <w:r w:rsidR="00F124C7" w:rsidRPr="00C51F57">
        <w:rPr>
          <w:rStyle w:val="cu"/>
          <w:sz w:val="22"/>
          <w:szCs w:val="22"/>
        </w:rPr>
        <w:t xml:space="preserve">of oil </w:t>
      </w:r>
      <w:r w:rsidR="00D25756" w:rsidRPr="00C51F57">
        <w:rPr>
          <w:rStyle w:val="cu"/>
          <w:sz w:val="22"/>
          <w:szCs w:val="22"/>
        </w:rPr>
        <w:t xml:space="preserve">calculated on the P90 to P10 basis </w:t>
      </w:r>
      <w:r w:rsidR="00796EE1" w:rsidRPr="00C51F57">
        <w:rPr>
          <w:rStyle w:val="cu"/>
          <w:sz w:val="22"/>
          <w:szCs w:val="22"/>
        </w:rPr>
        <w:t xml:space="preserve">respectively </w:t>
      </w:r>
      <w:r w:rsidR="00D25756" w:rsidRPr="00C51F57">
        <w:rPr>
          <w:rStyle w:val="cu"/>
          <w:sz w:val="22"/>
          <w:szCs w:val="22"/>
        </w:rPr>
        <w:t>with a mea</w:t>
      </w:r>
      <w:r w:rsidR="00F124C7" w:rsidRPr="00C51F57">
        <w:rPr>
          <w:rStyle w:val="cu"/>
          <w:sz w:val="22"/>
          <w:szCs w:val="22"/>
        </w:rPr>
        <w:t>n value of 10.5bn barrels. In 2012 Shaikan was declared a commercial discovery</w:t>
      </w:r>
      <w:r w:rsidR="008E16AE" w:rsidRPr="00C51F57">
        <w:rPr>
          <w:rStyle w:val="cu"/>
          <w:sz w:val="22"/>
          <w:szCs w:val="22"/>
        </w:rPr>
        <w:t xml:space="preserve">. In January 2013 </w:t>
      </w:r>
      <w:r w:rsidR="008E16AE" w:rsidRPr="00C51F57">
        <w:rPr>
          <w:sz w:val="22"/>
          <w:szCs w:val="22"/>
          <w:shd w:val="clear" w:color="auto" w:fill="FFFFFF"/>
        </w:rPr>
        <w:t xml:space="preserve">Gulf Keystone submitted a Field </w:t>
      </w:r>
      <w:r w:rsidR="008E16AE" w:rsidRPr="00C51F57">
        <w:rPr>
          <w:sz w:val="22"/>
          <w:szCs w:val="22"/>
          <w:shd w:val="clear" w:color="auto" w:fill="FFFFFF"/>
        </w:rPr>
        <w:lastRenderedPageBreak/>
        <w:t xml:space="preserve">Development Plan (FDP) to the Shaikan Block Management Committee </w:t>
      </w:r>
      <w:r w:rsidR="00661FDA" w:rsidRPr="00C51F57">
        <w:rPr>
          <w:sz w:val="22"/>
          <w:szCs w:val="22"/>
          <w:shd w:val="clear" w:color="auto" w:fill="FFFFFF"/>
        </w:rPr>
        <w:t>which</w:t>
      </w:r>
      <w:r w:rsidR="008E16AE" w:rsidRPr="00C51F57">
        <w:rPr>
          <w:sz w:val="22"/>
          <w:szCs w:val="22"/>
          <w:shd w:val="clear" w:color="auto" w:fill="FFFFFF"/>
        </w:rPr>
        <w:t xml:space="preserve"> was passed </w:t>
      </w:r>
      <w:r w:rsidR="00B5109F" w:rsidRPr="00C51F57">
        <w:rPr>
          <w:sz w:val="22"/>
          <w:szCs w:val="22"/>
          <w:shd w:val="clear" w:color="auto" w:fill="FFFFFF"/>
        </w:rPr>
        <w:t>in June.</w:t>
      </w:r>
    </w:p>
    <w:p w14:paraId="6EE7544E" w14:textId="77777777" w:rsidR="00D25756" w:rsidRPr="00C51F57" w:rsidRDefault="00B5109F" w:rsidP="00321C4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jc w:val="both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</w:rPr>
        <w:t xml:space="preserve">In </w:t>
      </w:r>
      <w:r w:rsidR="00DB0759" w:rsidRPr="00C51F57">
        <w:rPr>
          <w:sz w:val="22"/>
          <w:szCs w:val="22"/>
        </w:rPr>
        <w:t xml:space="preserve">the </w:t>
      </w:r>
      <w:r w:rsidRPr="00C51F57">
        <w:rPr>
          <w:sz w:val="22"/>
          <w:szCs w:val="22"/>
        </w:rPr>
        <w:t xml:space="preserve">first six months of 2013 the Shaikan field produced an aggregate of 183,000 barrels of oil, of which 179,063 barrels were sold into the domestic market. </w:t>
      </w:r>
      <w:r w:rsidR="00DB0759" w:rsidRPr="00C51F57">
        <w:rPr>
          <w:sz w:val="22"/>
          <w:szCs w:val="22"/>
        </w:rPr>
        <w:t xml:space="preserve">By </w:t>
      </w:r>
      <w:r w:rsidR="00E57B3E" w:rsidRPr="00C51F57">
        <w:rPr>
          <w:sz w:val="22"/>
          <w:szCs w:val="22"/>
        </w:rPr>
        <w:t>early January 2014</w:t>
      </w:r>
      <w:r w:rsidR="004D3CA7" w:rsidRPr="00C51F57">
        <w:rPr>
          <w:sz w:val="22"/>
          <w:szCs w:val="22"/>
        </w:rPr>
        <w:t>,</w:t>
      </w:r>
      <w:r w:rsidR="00DB0759" w:rsidRPr="00C51F57">
        <w:rPr>
          <w:sz w:val="22"/>
          <w:szCs w:val="22"/>
        </w:rPr>
        <w:t xml:space="preserve"> </w:t>
      </w:r>
      <w:r w:rsidR="00E57B3E" w:rsidRPr="00C51F57">
        <w:rPr>
          <w:sz w:val="22"/>
          <w:szCs w:val="22"/>
        </w:rPr>
        <w:t xml:space="preserve">average oil sales from first production </w:t>
      </w:r>
      <w:r w:rsidR="00896A3D" w:rsidRPr="00C51F57">
        <w:rPr>
          <w:sz w:val="22"/>
          <w:szCs w:val="22"/>
        </w:rPr>
        <w:t>facility</w:t>
      </w:r>
      <w:r w:rsidR="00BE1B93" w:rsidRPr="00C51F57">
        <w:rPr>
          <w:sz w:val="22"/>
          <w:szCs w:val="22"/>
        </w:rPr>
        <w:t xml:space="preserve"> (PF-1)</w:t>
      </w:r>
      <w:r w:rsidR="00E57B3E" w:rsidRPr="00C51F57">
        <w:rPr>
          <w:sz w:val="22"/>
          <w:szCs w:val="22"/>
        </w:rPr>
        <w:t xml:space="preserve"> stand at between 9,000 and 10,000bopd</w:t>
      </w:r>
      <w:r w:rsidRPr="00C51F57">
        <w:rPr>
          <w:sz w:val="22"/>
          <w:szCs w:val="22"/>
          <w:shd w:val="clear" w:color="auto" w:fill="FFFFFF"/>
        </w:rPr>
        <w:t>, with</w:t>
      </w:r>
      <w:r w:rsidR="00DB0759" w:rsidRPr="00C51F57">
        <w:rPr>
          <w:sz w:val="22"/>
          <w:szCs w:val="22"/>
          <w:shd w:val="clear" w:color="auto" w:fill="FFFFFF"/>
        </w:rPr>
        <w:t xml:space="preserve"> the</w:t>
      </w:r>
      <w:r w:rsidRPr="00C51F57">
        <w:rPr>
          <w:sz w:val="22"/>
          <w:szCs w:val="22"/>
          <w:shd w:val="clear" w:color="auto" w:fill="FFFFFF"/>
        </w:rPr>
        <w:t xml:space="preserve"> potential </w:t>
      </w:r>
      <w:r w:rsidR="00E57B3E" w:rsidRPr="00C51F57">
        <w:rPr>
          <w:sz w:val="22"/>
          <w:szCs w:val="22"/>
          <w:shd w:val="clear" w:color="auto" w:fill="FFFFFF"/>
        </w:rPr>
        <w:t>increase</w:t>
      </w:r>
      <w:r w:rsidRPr="00C51F57">
        <w:rPr>
          <w:sz w:val="22"/>
          <w:szCs w:val="22"/>
          <w:shd w:val="clear" w:color="auto" w:fill="FFFFFF"/>
        </w:rPr>
        <w:t xml:space="preserve"> </w:t>
      </w:r>
      <w:r w:rsidR="005C0C47" w:rsidRPr="00C51F57">
        <w:rPr>
          <w:sz w:val="22"/>
          <w:szCs w:val="22"/>
          <w:shd w:val="clear" w:color="auto" w:fill="FFFFFF"/>
        </w:rPr>
        <w:t xml:space="preserve">of </w:t>
      </w:r>
      <w:r w:rsidRPr="00C51F57">
        <w:rPr>
          <w:sz w:val="22"/>
          <w:szCs w:val="22"/>
          <w:shd w:val="clear" w:color="auto" w:fill="FFFFFF"/>
        </w:rPr>
        <w:t>20,000</w:t>
      </w:r>
      <w:r w:rsidR="00DB0759" w:rsidRPr="00C51F57">
        <w:rPr>
          <w:sz w:val="22"/>
          <w:szCs w:val="22"/>
          <w:shd w:val="clear" w:color="auto" w:fill="FFFFFF"/>
        </w:rPr>
        <w:t xml:space="preserve"> </w:t>
      </w:r>
      <w:r w:rsidRPr="00C51F57">
        <w:rPr>
          <w:sz w:val="22"/>
          <w:szCs w:val="22"/>
          <w:shd w:val="clear" w:color="auto" w:fill="FFFFFF"/>
        </w:rPr>
        <w:t xml:space="preserve">bopd. The group </w:t>
      </w:r>
      <w:r w:rsidR="005C0C47" w:rsidRPr="00C51F57">
        <w:rPr>
          <w:sz w:val="22"/>
          <w:szCs w:val="22"/>
          <w:shd w:val="clear" w:color="auto" w:fill="FFFFFF"/>
        </w:rPr>
        <w:t xml:space="preserve">is </w:t>
      </w:r>
      <w:r w:rsidRPr="00C51F57">
        <w:rPr>
          <w:sz w:val="22"/>
          <w:szCs w:val="22"/>
          <w:shd w:val="clear" w:color="auto" w:fill="FFFFFF"/>
        </w:rPr>
        <w:t>constructing a second production facility</w:t>
      </w:r>
      <w:r w:rsidR="00BE1B93" w:rsidRPr="00C51F57">
        <w:rPr>
          <w:sz w:val="22"/>
          <w:szCs w:val="22"/>
          <w:shd w:val="clear" w:color="auto" w:fill="FFFFFF"/>
        </w:rPr>
        <w:t xml:space="preserve"> (PF-2)</w:t>
      </w:r>
      <w:r w:rsidRPr="00C51F57">
        <w:rPr>
          <w:sz w:val="22"/>
          <w:szCs w:val="22"/>
          <w:shd w:val="clear" w:color="auto" w:fill="FFFFFF"/>
        </w:rPr>
        <w:t xml:space="preserve"> which will</w:t>
      </w:r>
      <w:bookmarkStart w:id="0" w:name="_GoBack"/>
      <w:bookmarkEnd w:id="0"/>
      <w:r w:rsidRPr="00C51F57">
        <w:rPr>
          <w:sz w:val="22"/>
          <w:szCs w:val="22"/>
          <w:shd w:val="clear" w:color="auto" w:fill="FFFFFF"/>
        </w:rPr>
        <w:t xml:space="preserve"> be capable of producing 20,000 bopd,</w:t>
      </w:r>
      <w:r w:rsidR="005C0C47" w:rsidRPr="00C51F57">
        <w:rPr>
          <w:sz w:val="22"/>
          <w:szCs w:val="22"/>
          <w:shd w:val="clear" w:color="auto" w:fill="FFFFFF"/>
        </w:rPr>
        <w:t xml:space="preserve"> </w:t>
      </w:r>
      <w:r w:rsidRPr="00C51F57">
        <w:rPr>
          <w:sz w:val="22"/>
          <w:szCs w:val="22"/>
          <w:shd w:val="clear" w:color="auto" w:fill="FFFFFF"/>
        </w:rPr>
        <w:t>lifting total output</w:t>
      </w:r>
      <w:r w:rsidR="005C0C47" w:rsidRPr="00C51F57">
        <w:rPr>
          <w:sz w:val="22"/>
          <w:szCs w:val="22"/>
          <w:shd w:val="clear" w:color="auto" w:fill="FFFFFF"/>
        </w:rPr>
        <w:t xml:space="preserve"> to around 40,000 bopd. </w:t>
      </w:r>
      <w:r w:rsidR="00DB0759" w:rsidRPr="00C51F57">
        <w:rPr>
          <w:sz w:val="22"/>
          <w:szCs w:val="22"/>
          <w:shd w:val="clear" w:color="auto" w:fill="FFFFFF"/>
        </w:rPr>
        <w:t xml:space="preserve"> G</w:t>
      </w:r>
      <w:r w:rsidR="005A7761" w:rsidRPr="00C51F57">
        <w:rPr>
          <w:sz w:val="22"/>
          <w:szCs w:val="22"/>
          <w:shd w:val="clear" w:color="auto" w:fill="FFFFFF"/>
        </w:rPr>
        <w:t>KP</w:t>
      </w:r>
      <w:r w:rsidR="005C0C47" w:rsidRPr="00C51F57">
        <w:rPr>
          <w:sz w:val="22"/>
          <w:szCs w:val="22"/>
          <w:shd w:val="clear" w:color="auto" w:fill="FFFFFF"/>
        </w:rPr>
        <w:t xml:space="preserve"> hope this </w:t>
      </w:r>
      <w:r w:rsidRPr="00C51F57">
        <w:rPr>
          <w:sz w:val="22"/>
          <w:szCs w:val="22"/>
          <w:shd w:val="clear" w:color="auto" w:fill="FFFFFF"/>
        </w:rPr>
        <w:t xml:space="preserve">will be completed in </w:t>
      </w:r>
      <w:r w:rsidR="00625DB9" w:rsidRPr="00C51F57">
        <w:rPr>
          <w:sz w:val="22"/>
          <w:szCs w:val="22"/>
          <w:shd w:val="clear" w:color="auto" w:fill="FFFFFF"/>
        </w:rPr>
        <w:t>early 2014</w:t>
      </w:r>
      <w:r w:rsidR="005C0C47" w:rsidRPr="00C51F57">
        <w:rPr>
          <w:sz w:val="22"/>
          <w:szCs w:val="22"/>
          <w:shd w:val="clear" w:color="auto" w:fill="FFFFFF"/>
        </w:rPr>
        <w:t xml:space="preserve"> </w:t>
      </w:r>
      <w:r w:rsidR="00781AE2" w:rsidRPr="00C51F57">
        <w:rPr>
          <w:sz w:val="22"/>
          <w:szCs w:val="22"/>
          <w:shd w:val="clear" w:color="auto" w:fill="FFFFFF"/>
        </w:rPr>
        <w:t>and</w:t>
      </w:r>
      <w:r w:rsidR="008F4135" w:rsidRPr="00C51F57">
        <w:rPr>
          <w:sz w:val="22"/>
          <w:szCs w:val="22"/>
          <w:shd w:val="clear" w:color="auto" w:fill="FFFFFF"/>
        </w:rPr>
        <w:t xml:space="preserve"> </w:t>
      </w:r>
      <w:r w:rsidR="008E16AE" w:rsidRPr="00C51F57">
        <w:rPr>
          <w:sz w:val="22"/>
          <w:szCs w:val="22"/>
          <w:shd w:val="clear" w:color="auto" w:fill="FFFFFF"/>
        </w:rPr>
        <w:t xml:space="preserve">will increase to 150,000 bopd within </w:t>
      </w:r>
      <w:r w:rsidR="00C87370" w:rsidRPr="00C51F57">
        <w:rPr>
          <w:sz w:val="22"/>
          <w:szCs w:val="22"/>
          <w:shd w:val="clear" w:color="auto" w:fill="FFFFFF"/>
        </w:rPr>
        <w:t>three</w:t>
      </w:r>
      <w:r w:rsidR="008E16AE" w:rsidRPr="00C51F57">
        <w:rPr>
          <w:sz w:val="22"/>
          <w:szCs w:val="22"/>
          <w:shd w:val="clear" w:color="auto" w:fill="FFFFFF"/>
        </w:rPr>
        <w:t xml:space="preserve"> years and 250,000 bopd by 2018.</w:t>
      </w:r>
    </w:p>
    <w:p w14:paraId="3B9A197D" w14:textId="77777777" w:rsidR="00D5432C" w:rsidRPr="00C51F57" w:rsidRDefault="00E8446B" w:rsidP="00D5432C">
      <w:pPr>
        <w:pStyle w:val="dg"/>
        <w:numPr>
          <w:ilvl w:val="0"/>
          <w:numId w:val="1"/>
        </w:numPr>
        <w:shd w:val="clear" w:color="auto" w:fill="FFFFFF"/>
        <w:spacing w:before="240" w:beforeAutospacing="0" w:after="240" w:afterAutospacing="0" w:line="270" w:lineRule="atLeast"/>
        <w:rPr>
          <w:rFonts w:ascii="Arial" w:hAnsi="Arial" w:cs="Arial"/>
          <w:sz w:val="22"/>
          <w:szCs w:val="22"/>
        </w:rPr>
      </w:pPr>
      <w:r w:rsidRPr="00C51F57">
        <w:rPr>
          <w:kern w:val="36"/>
          <w:sz w:val="22"/>
          <w:szCs w:val="22"/>
        </w:rPr>
        <w:t xml:space="preserve">In addition </w:t>
      </w:r>
      <w:r w:rsidR="00C87370" w:rsidRPr="00C51F57">
        <w:rPr>
          <w:kern w:val="36"/>
          <w:sz w:val="22"/>
          <w:szCs w:val="22"/>
        </w:rPr>
        <w:t>to the</w:t>
      </w:r>
      <w:r w:rsidRPr="00C51F57">
        <w:rPr>
          <w:kern w:val="36"/>
          <w:sz w:val="22"/>
          <w:szCs w:val="22"/>
        </w:rPr>
        <w:t xml:space="preserve"> </w:t>
      </w:r>
      <w:r w:rsidR="004155F4" w:rsidRPr="00C51F57">
        <w:rPr>
          <w:kern w:val="36"/>
          <w:sz w:val="22"/>
          <w:szCs w:val="22"/>
        </w:rPr>
        <w:t>Shaikan discovery</w:t>
      </w:r>
      <w:r w:rsidR="00C87370" w:rsidRPr="00C51F57">
        <w:rPr>
          <w:kern w:val="36"/>
          <w:sz w:val="22"/>
          <w:szCs w:val="22"/>
        </w:rPr>
        <w:t>,</w:t>
      </w:r>
      <w:r w:rsidR="004155F4" w:rsidRPr="00C51F57">
        <w:rPr>
          <w:kern w:val="36"/>
          <w:sz w:val="22"/>
          <w:szCs w:val="22"/>
        </w:rPr>
        <w:t xml:space="preserve"> GKP found success in all its </w:t>
      </w:r>
      <w:r w:rsidR="00A21232" w:rsidRPr="00C51F57">
        <w:rPr>
          <w:kern w:val="36"/>
          <w:sz w:val="22"/>
          <w:szCs w:val="22"/>
        </w:rPr>
        <w:t xml:space="preserve">remaining </w:t>
      </w:r>
      <w:r w:rsidR="004155F4" w:rsidRPr="00C51F57">
        <w:rPr>
          <w:kern w:val="36"/>
          <w:sz w:val="22"/>
          <w:szCs w:val="22"/>
        </w:rPr>
        <w:t xml:space="preserve">blocks of Akri Bijlee, </w:t>
      </w:r>
      <w:r w:rsidR="004155F4" w:rsidRPr="00C51F57">
        <w:rPr>
          <w:sz w:val="22"/>
          <w:szCs w:val="22"/>
          <w:shd w:val="clear" w:color="auto" w:fill="FFFFFF"/>
        </w:rPr>
        <w:t xml:space="preserve">Sheikh Adi and Ber Bahr. In </w:t>
      </w:r>
      <w:r w:rsidR="00C87370" w:rsidRPr="00C51F57">
        <w:rPr>
          <w:sz w:val="22"/>
          <w:szCs w:val="22"/>
          <w:shd w:val="clear" w:color="auto" w:fill="FFFFFF"/>
        </w:rPr>
        <w:t xml:space="preserve">the </w:t>
      </w:r>
      <w:r w:rsidR="004155F4" w:rsidRPr="00C51F57">
        <w:rPr>
          <w:sz w:val="22"/>
          <w:szCs w:val="22"/>
          <w:shd w:val="clear" w:color="auto" w:fill="FFFFFF"/>
        </w:rPr>
        <w:t xml:space="preserve">last four years GKP </w:t>
      </w:r>
      <w:r w:rsidR="00C87370" w:rsidRPr="00C51F57">
        <w:rPr>
          <w:sz w:val="22"/>
          <w:szCs w:val="22"/>
          <w:shd w:val="clear" w:color="auto" w:fill="FFFFFF"/>
        </w:rPr>
        <w:t xml:space="preserve">has </w:t>
      </w:r>
      <w:r w:rsidR="004155F4" w:rsidRPr="00C51F57">
        <w:rPr>
          <w:sz w:val="22"/>
          <w:szCs w:val="22"/>
          <w:shd w:val="clear" w:color="auto" w:fill="FFFFFF"/>
        </w:rPr>
        <w:t>drilled 18 wells</w:t>
      </w:r>
      <w:r w:rsidR="005928F1" w:rsidRPr="00C51F57">
        <w:rPr>
          <w:sz w:val="22"/>
          <w:szCs w:val="22"/>
          <w:shd w:val="clear" w:color="auto" w:fill="FFFFFF"/>
        </w:rPr>
        <w:t xml:space="preserve"> </w:t>
      </w:r>
      <w:r w:rsidR="00C87956" w:rsidRPr="00C51F57">
        <w:rPr>
          <w:sz w:val="22"/>
          <w:szCs w:val="22"/>
          <w:shd w:val="clear" w:color="auto" w:fill="FFFFFF"/>
        </w:rPr>
        <w:t>for the</w:t>
      </w:r>
      <w:r w:rsidR="00121D9C" w:rsidRPr="00C51F57">
        <w:rPr>
          <w:sz w:val="22"/>
          <w:szCs w:val="22"/>
          <w:shd w:val="clear" w:color="auto" w:fill="FFFFFF"/>
        </w:rPr>
        <w:t xml:space="preserve"> exploration </w:t>
      </w:r>
      <w:r w:rsidR="002E64D6" w:rsidRPr="00C51F57">
        <w:rPr>
          <w:sz w:val="22"/>
          <w:szCs w:val="22"/>
          <w:shd w:val="clear" w:color="auto" w:fill="FFFFFF"/>
        </w:rPr>
        <w:t>in</w:t>
      </w:r>
      <w:r w:rsidR="00C87370" w:rsidRPr="00C51F57">
        <w:rPr>
          <w:sz w:val="22"/>
          <w:szCs w:val="22"/>
          <w:shd w:val="clear" w:color="auto" w:fill="FFFFFF"/>
        </w:rPr>
        <w:t xml:space="preserve"> the</w:t>
      </w:r>
      <w:r w:rsidR="002E64D6" w:rsidRPr="00C51F57">
        <w:rPr>
          <w:sz w:val="22"/>
          <w:szCs w:val="22"/>
          <w:shd w:val="clear" w:color="auto" w:fill="FFFFFF"/>
        </w:rPr>
        <w:t xml:space="preserve"> Kurdistan region of Iraq </w:t>
      </w:r>
      <w:r w:rsidR="005928F1" w:rsidRPr="00C51F57">
        <w:rPr>
          <w:sz w:val="22"/>
          <w:szCs w:val="22"/>
          <w:shd w:val="clear" w:color="auto" w:fill="FFFFFF"/>
        </w:rPr>
        <w:t xml:space="preserve">with </w:t>
      </w:r>
      <w:r w:rsidR="00E559F3" w:rsidRPr="00C51F57">
        <w:rPr>
          <w:sz w:val="22"/>
          <w:szCs w:val="22"/>
          <w:shd w:val="clear" w:color="auto" w:fill="FFFFFF"/>
        </w:rPr>
        <w:t xml:space="preserve">oil </w:t>
      </w:r>
      <w:r w:rsidR="00173F47" w:rsidRPr="00C51F57">
        <w:rPr>
          <w:sz w:val="22"/>
          <w:szCs w:val="22"/>
          <w:shd w:val="clear" w:color="auto" w:fill="FFFFFF"/>
        </w:rPr>
        <w:t xml:space="preserve">found </w:t>
      </w:r>
      <w:r w:rsidR="00E559F3" w:rsidRPr="00C51F57">
        <w:rPr>
          <w:sz w:val="22"/>
          <w:szCs w:val="22"/>
          <w:shd w:val="clear" w:color="auto" w:fill="FFFFFF"/>
        </w:rPr>
        <w:t>in all wells de-risking</w:t>
      </w:r>
      <w:r w:rsidR="004155F4" w:rsidRPr="00C51F57">
        <w:rPr>
          <w:sz w:val="22"/>
          <w:szCs w:val="22"/>
          <w:shd w:val="clear" w:color="auto" w:fill="FFFFFF"/>
        </w:rPr>
        <w:t xml:space="preserve"> 19bn barrels of oil in its share. </w:t>
      </w:r>
    </w:p>
    <w:p w14:paraId="21D0B2A5" w14:textId="39456168" w:rsidR="00D5432C" w:rsidRPr="00C51F57" w:rsidRDefault="00D5432C" w:rsidP="00487B57">
      <w:pPr>
        <w:pStyle w:val="dg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sz w:val="22"/>
          <w:szCs w:val="22"/>
        </w:rPr>
      </w:pPr>
      <w:r w:rsidRPr="00C51F57">
        <w:rPr>
          <w:kern w:val="36"/>
          <w:sz w:val="22"/>
          <w:szCs w:val="22"/>
        </w:rPr>
        <w:t>GKP export</w:t>
      </w:r>
      <w:r w:rsidR="009D0FC0" w:rsidRPr="00C51F57">
        <w:rPr>
          <w:kern w:val="36"/>
          <w:sz w:val="22"/>
          <w:szCs w:val="22"/>
        </w:rPr>
        <w:t>ed</w:t>
      </w:r>
      <w:r w:rsidRPr="00C51F57">
        <w:rPr>
          <w:kern w:val="36"/>
          <w:sz w:val="22"/>
          <w:szCs w:val="22"/>
        </w:rPr>
        <w:t xml:space="preserve"> crude to international markets from </w:t>
      </w:r>
      <w:r w:rsidR="005C0C47" w:rsidRPr="00C51F57">
        <w:rPr>
          <w:kern w:val="36"/>
          <w:sz w:val="22"/>
          <w:szCs w:val="22"/>
        </w:rPr>
        <w:t xml:space="preserve">the </w:t>
      </w:r>
      <w:r w:rsidRPr="00C51F57">
        <w:rPr>
          <w:kern w:val="36"/>
          <w:sz w:val="22"/>
          <w:szCs w:val="22"/>
        </w:rPr>
        <w:t>Shaikan field in December. GKP</w:t>
      </w:r>
      <w:r w:rsidRPr="00C51F57">
        <w:rPr>
          <w:sz w:val="22"/>
          <w:szCs w:val="22"/>
        </w:rPr>
        <w:t xml:space="preserve"> tendered </w:t>
      </w:r>
      <w:r w:rsidR="00FC2BAF" w:rsidRPr="00C51F57">
        <w:rPr>
          <w:sz w:val="22"/>
          <w:szCs w:val="22"/>
        </w:rPr>
        <w:t xml:space="preserve">its </w:t>
      </w:r>
      <w:r w:rsidRPr="00C51F57">
        <w:rPr>
          <w:sz w:val="22"/>
          <w:szCs w:val="22"/>
        </w:rPr>
        <w:t>first cargo of Shaikan crude</w:t>
      </w:r>
      <w:r w:rsidR="005C0C47" w:rsidRPr="00C51F57">
        <w:rPr>
          <w:sz w:val="22"/>
          <w:szCs w:val="22"/>
        </w:rPr>
        <w:t>,</w:t>
      </w:r>
      <w:r w:rsidRPr="00C51F57">
        <w:rPr>
          <w:sz w:val="22"/>
          <w:szCs w:val="22"/>
        </w:rPr>
        <w:t xml:space="preserve"> between 198,300 </w:t>
      </w:r>
      <w:r w:rsidR="00DB1712" w:rsidRPr="00C51F57">
        <w:rPr>
          <w:sz w:val="22"/>
          <w:szCs w:val="22"/>
        </w:rPr>
        <w:t>and</w:t>
      </w:r>
      <w:r w:rsidRPr="00C51F57">
        <w:rPr>
          <w:sz w:val="22"/>
          <w:szCs w:val="22"/>
        </w:rPr>
        <w:t xml:space="preserve"> 215,000 barrels of oil</w:t>
      </w:r>
      <w:r w:rsidR="005C0C47" w:rsidRPr="00C51F57">
        <w:rPr>
          <w:sz w:val="22"/>
          <w:szCs w:val="22"/>
        </w:rPr>
        <w:t>,</w:t>
      </w:r>
      <w:r w:rsidRPr="00C51F57">
        <w:rPr>
          <w:sz w:val="22"/>
          <w:szCs w:val="22"/>
        </w:rPr>
        <w:t xml:space="preserve"> to Turkey </w:t>
      </w:r>
      <w:r w:rsidR="00FC2BAF" w:rsidRPr="00C51F57">
        <w:rPr>
          <w:sz w:val="22"/>
          <w:szCs w:val="22"/>
        </w:rPr>
        <w:t xml:space="preserve">by truck </w:t>
      </w:r>
      <w:r w:rsidRPr="00C51F57">
        <w:rPr>
          <w:sz w:val="22"/>
          <w:szCs w:val="22"/>
        </w:rPr>
        <w:t xml:space="preserve">and will be loading at the port of Dortyol </w:t>
      </w:r>
      <w:r w:rsidR="00730499" w:rsidRPr="00C51F57">
        <w:rPr>
          <w:sz w:val="22"/>
          <w:szCs w:val="22"/>
        </w:rPr>
        <w:t>b</w:t>
      </w:r>
      <w:r w:rsidR="00ED3EBC" w:rsidRPr="00C51F57">
        <w:rPr>
          <w:sz w:val="22"/>
          <w:szCs w:val="22"/>
        </w:rPr>
        <w:t>y</w:t>
      </w:r>
      <w:r w:rsidR="00730499" w:rsidRPr="00C51F57">
        <w:rPr>
          <w:sz w:val="22"/>
          <w:szCs w:val="22"/>
        </w:rPr>
        <w:t xml:space="preserve"> the end of</w:t>
      </w:r>
      <w:r w:rsidR="00246A04" w:rsidRPr="00C51F57">
        <w:rPr>
          <w:sz w:val="22"/>
          <w:szCs w:val="22"/>
        </w:rPr>
        <w:t xml:space="preserve"> January 2014</w:t>
      </w:r>
      <w:r w:rsidRPr="00C51F57">
        <w:rPr>
          <w:sz w:val="22"/>
          <w:szCs w:val="22"/>
        </w:rPr>
        <w:t>.</w:t>
      </w:r>
      <w:r w:rsidR="00FC2BAF" w:rsidRPr="00C51F57">
        <w:rPr>
          <w:sz w:val="22"/>
          <w:szCs w:val="22"/>
        </w:rPr>
        <w:t xml:space="preserve">  </w:t>
      </w:r>
      <w:r w:rsidR="005C0C47" w:rsidRPr="00C51F57">
        <w:rPr>
          <w:sz w:val="22"/>
          <w:szCs w:val="22"/>
        </w:rPr>
        <w:t>The c</w:t>
      </w:r>
      <w:r w:rsidR="00FC2BAF" w:rsidRPr="00C51F57">
        <w:rPr>
          <w:sz w:val="22"/>
          <w:szCs w:val="22"/>
        </w:rPr>
        <w:t xml:space="preserve">ompany further added that </w:t>
      </w:r>
      <w:r w:rsidR="005C0C47" w:rsidRPr="00C51F57">
        <w:rPr>
          <w:sz w:val="22"/>
          <w:szCs w:val="22"/>
        </w:rPr>
        <w:t xml:space="preserve">a </w:t>
      </w:r>
      <w:r w:rsidRPr="00C51F57">
        <w:rPr>
          <w:sz w:val="22"/>
          <w:szCs w:val="22"/>
        </w:rPr>
        <w:t xml:space="preserve">second tender is under way for two further cargoes of similar size of Shaikan crude, which are expected to be loaded later </w:t>
      </w:r>
      <w:r w:rsidR="00246A04" w:rsidRPr="00C51F57">
        <w:rPr>
          <w:sz w:val="22"/>
          <w:szCs w:val="22"/>
        </w:rPr>
        <w:t>in January</w:t>
      </w:r>
      <w:r w:rsidRPr="00C51F57">
        <w:rPr>
          <w:sz w:val="22"/>
          <w:szCs w:val="22"/>
        </w:rPr>
        <w:t xml:space="preserve"> and during February. Sales realisations are expected to be in accordance with the terms of the production sharing contract for the Shaikan Block and will reflect transportation and quality adjustments.</w:t>
      </w:r>
    </w:p>
    <w:p w14:paraId="5E621C70" w14:textId="77777777" w:rsidR="006E7664" w:rsidRPr="00C51F57" w:rsidRDefault="00A1348F" w:rsidP="00A1348F">
      <w:pPr>
        <w:pStyle w:val="Heading1"/>
        <w:rPr>
          <w:sz w:val="24"/>
          <w:szCs w:val="24"/>
        </w:rPr>
      </w:pPr>
      <w:r w:rsidRPr="00C51F57">
        <w:rPr>
          <w:sz w:val="24"/>
          <w:szCs w:val="24"/>
        </w:rPr>
        <w:t>Gulf</w:t>
      </w:r>
      <w:r w:rsidR="00DD53BC" w:rsidRPr="00C51F57">
        <w:rPr>
          <w:sz w:val="24"/>
          <w:szCs w:val="24"/>
        </w:rPr>
        <w:t xml:space="preserve"> K</w:t>
      </w:r>
      <w:r w:rsidRPr="00C51F57">
        <w:rPr>
          <w:sz w:val="24"/>
          <w:szCs w:val="24"/>
        </w:rPr>
        <w:t>eystone wins key court Judgement against Excalibur</w:t>
      </w:r>
      <w:r w:rsidR="006E7664" w:rsidRPr="00C51F57">
        <w:rPr>
          <w:sz w:val="24"/>
          <w:szCs w:val="24"/>
        </w:rPr>
        <w:t xml:space="preserve"> </w:t>
      </w:r>
    </w:p>
    <w:p w14:paraId="74E9CCE0" w14:textId="77777777" w:rsidR="00430C36" w:rsidRPr="00C51F57" w:rsidRDefault="008E299C" w:rsidP="00430C3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lang w:eastAsia="en-GB"/>
        </w:rPr>
      </w:pPr>
      <w:r w:rsidRPr="00C51F57">
        <w:rPr>
          <w:rFonts w:ascii="Times New Roman" w:eastAsia="Times New Roman" w:hAnsi="Times New Roman" w:cs="Times New Roman"/>
          <w:lang w:eastAsia="en-GB"/>
        </w:rPr>
        <w:t xml:space="preserve">In 2010 </w:t>
      </w:r>
      <w:r w:rsidR="002E64D6" w:rsidRPr="00C51F57">
        <w:rPr>
          <w:rFonts w:ascii="Times New Roman" w:eastAsia="Times New Roman" w:hAnsi="Times New Roman" w:cs="Times New Roman"/>
          <w:lang w:eastAsia="en-GB"/>
        </w:rPr>
        <w:t>Excalibur su</w:t>
      </w:r>
      <w:r w:rsidRPr="00C51F57">
        <w:rPr>
          <w:rFonts w:ascii="Times New Roman" w:eastAsia="Times New Roman" w:hAnsi="Times New Roman" w:cs="Times New Roman"/>
          <w:lang w:eastAsia="en-GB"/>
        </w:rPr>
        <w:t>ed</w:t>
      </w:r>
      <w:r w:rsidR="002E64D6" w:rsidRPr="00C51F57">
        <w:rPr>
          <w:rFonts w:ascii="Times New Roman" w:eastAsia="Times New Roman" w:hAnsi="Times New Roman" w:cs="Times New Roman"/>
          <w:lang w:eastAsia="en-GB"/>
        </w:rPr>
        <w:t> </w:t>
      </w:r>
      <w:r w:rsidRPr="00C51F57">
        <w:rPr>
          <w:rFonts w:ascii="Times New Roman" w:eastAsia="Times New Roman" w:hAnsi="Times New Roman" w:cs="Times New Roman"/>
          <w:lang w:eastAsia="en-GB"/>
        </w:rPr>
        <w:t>GKP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> </w:t>
      </w:r>
      <w:r w:rsidR="00DA3BA1" w:rsidRPr="00C51F57">
        <w:rPr>
          <w:rFonts w:ascii="Times New Roman" w:eastAsia="Times New Roman" w:hAnsi="Times New Roman" w:cs="Times New Roman"/>
          <w:lang w:eastAsia="en-GB"/>
        </w:rPr>
        <w:t xml:space="preserve">at 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>the Commercial C</w:t>
      </w:r>
      <w:r w:rsidR="00DA3BA1" w:rsidRPr="00C51F57">
        <w:rPr>
          <w:rFonts w:ascii="Times New Roman" w:eastAsia="Times New Roman" w:hAnsi="Times New Roman" w:cs="Times New Roman"/>
          <w:lang w:eastAsia="en-GB"/>
        </w:rPr>
        <w:t xml:space="preserve">ourt in London 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 xml:space="preserve">over Kurdistan’s </w:t>
      </w:r>
      <w:r w:rsidR="002E64D6" w:rsidRPr="00C51F57">
        <w:rPr>
          <w:rFonts w:ascii="Times New Roman" w:eastAsia="Times New Roman" w:hAnsi="Times New Roman" w:cs="Times New Roman"/>
          <w:lang w:eastAsia="en-GB"/>
        </w:rPr>
        <w:t>Shaikan oil field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>.</w:t>
      </w:r>
      <w:r w:rsidR="002E64D6" w:rsidRPr="00C51F57">
        <w:rPr>
          <w:rFonts w:ascii="Times New Roman" w:eastAsia="Times New Roman" w:hAnsi="Times New Roman" w:cs="Times New Roman"/>
          <w:lang w:eastAsia="en-GB"/>
        </w:rPr>
        <w:t xml:space="preserve"> 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 xml:space="preserve">It claimed 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>Rex Wempen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>,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 xml:space="preserve"> owner of Excalibur, 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 xml:space="preserve">had 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>introduced Todd Kozel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>,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 xml:space="preserve"> CEO of GKP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>,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 xml:space="preserve"> to opportunities in Iraq’s Kurdistan region in 2005, and used his contacts to help win oil-exploration 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 xml:space="preserve">rights from the government. 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>Wempen said a collaboration agreement signed by Kozel’s </w:t>
      </w:r>
      <w:r w:rsidR="00430C36" w:rsidRPr="00C51F57">
        <w:rPr>
          <w:rFonts w:ascii="Times New Roman" w:eastAsia="Times New Roman" w:hAnsi="Times New Roman" w:cs="Times New Roman"/>
          <w:bCs/>
          <w:bdr w:val="none" w:sz="0" w:space="0" w:color="auto" w:frame="1"/>
          <w:lang w:eastAsia="en-GB"/>
        </w:rPr>
        <w:t>Texas Keystone Inc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 xml:space="preserve"> gives Wempen a 30% </w:t>
      </w:r>
      <w:r w:rsidR="000E6656" w:rsidRPr="00C51F57">
        <w:rPr>
          <w:rFonts w:ascii="Times New Roman" w:eastAsia="Times New Roman" w:hAnsi="Times New Roman" w:cs="Times New Roman"/>
          <w:lang w:eastAsia="en-GB"/>
        </w:rPr>
        <w:t>share of the Shaikan concession</w:t>
      </w:r>
      <w:r w:rsidR="00430C36" w:rsidRPr="00C51F57">
        <w:rPr>
          <w:rFonts w:ascii="Times New Roman" w:eastAsia="Times New Roman" w:hAnsi="Times New Roman" w:cs="Times New Roman"/>
          <w:lang w:eastAsia="en-GB"/>
        </w:rPr>
        <w:t xml:space="preserve"> and Gulf Keystone was an agent of Texas Keystone.</w:t>
      </w:r>
    </w:p>
    <w:p w14:paraId="4865A58F" w14:textId="77777777" w:rsidR="009B10B4" w:rsidRPr="00C51F57" w:rsidRDefault="009B10B4" w:rsidP="00430C3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lang w:eastAsia="en-GB"/>
        </w:rPr>
      </w:pPr>
    </w:p>
    <w:p w14:paraId="7E8D4646" w14:textId="77777777" w:rsidR="009B10B4" w:rsidRPr="00C51F57" w:rsidRDefault="00C037EE" w:rsidP="009B10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lang w:eastAsia="en-GB"/>
        </w:rPr>
      </w:pPr>
      <w:r w:rsidRPr="00C51F57">
        <w:rPr>
          <w:rFonts w:ascii="Times New Roman" w:eastAsia="Times New Roman" w:hAnsi="Times New Roman" w:cs="Times New Roman"/>
          <w:lang w:eastAsia="en-GB"/>
        </w:rPr>
        <w:t>GKP defended</w:t>
      </w:r>
      <w:r w:rsidR="009B10B4" w:rsidRPr="00C51F57">
        <w:rPr>
          <w:rFonts w:ascii="Times New Roman" w:eastAsia="Times New Roman" w:hAnsi="Times New Roman" w:cs="Times New Roman"/>
          <w:lang w:eastAsia="en-GB"/>
        </w:rPr>
        <w:t xml:space="preserve"> its </w:t>
      </w:r>
      <w:r w:rsidR="009409B5" w:rsidRPr="00C51F57">
        <w:rPr>
          <w:rFonts w:ascii="Times New Roman" w:eastAsia="Times New Roman" w:hAnsi="Times New Roman" w:cs="Times New Roman"/>
          <w:lang w:eastAsia="en-GB"/>
        </w:rPr>
        <w:t>position</w:t>
      </w:r>
      <w:r w:rsidR="009B10B4" w:rsidRPr="00C51F57">
        <w:rPr>
          <w:rFonts w:ascii="Times New Roman" w:eastAsia="Times New Roman" w:hAnsi="Times New Roman" w:cs="Times New Roman"/>
          <w:lang w:eastAsia="en-GB"/>
        </w:rPr>
        <w:t xml:space="preserve"> saying the Wempen brothers’ company was excluded from participating in production-sharing agreem</w:t>
      </w:r>
      <w:r w:rsidRPr="00C51F57">
        <w:rPr>
          <w:rFonts w:ascii="Times New Roman" w:eastAsia="Times New Roman" w:hAnsi="Times New Roman" w:cs="Times New Roman"/>
          <w:lang w:eastAsia="en-GB"/>
        </w:rPr>
        <w:t>ents by the Kurdistan Regional g</w:t>
      </w:r>
      <w:r w:rsidR="009B10B4" w:rsidRPr="00C51F57">
        <w:rPr>
          <w:rFonts w:ascii="Times New Roman" w:eastAsia="Times New Roman" w:hAnsi="Times New Roman" w:cs="Times New Roman"/>
          <w:lang w:eastAsia="en-GB"/>
        </w:rPr>
        <w:t xml:space="preserve">overnment because of 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>the</w:t>
      </w:r>
      <w:r w:rsidR="009B10B4" w:rsidRPr="00C51F57">
        <w:rPr>
          <w:rFonts w:ascii="Times New Roman" w:eastAsia="Times New Roman" w:hAnsi="Times New Roman" w:cs="Times New Roman"/>
          <w:lang w:eastAsia="en-GB"/>
        </w:rPr>
        <w:t xml:space="preserve"> oil ministry’s concerns about Excalibur’s technical capacity to develop the field. </w:t>
      </w:r>
      <w:r w:rsidR="00350AA6" w:rsidRPr="00C51F57">
        <w:rPr>
          <w:rFonts w:ascii="Times New Roman" w:eastAsia="Times New Roman" w:hAnsi="Times New Roman" w:cs="Times New Roman"/>
          <w:lang w:eastAsia="en-GB"/>
        </w:rPr>
        <w:t>It</w:t>
      </w:r>
      <w:r w:rsidR="009B10B4" w:rsidRPr="00C51F57">
        <w:rPr>
          <w:rFonts w:ascii="Times New Roman" w:eastAsia="Times New Roman" w:hAnsi="Times New Roman" w:cs="Times New Roman"/>
          <w:lang w:eastAsia="en-GB"/>
        </w:rPr>
        <w:t xml:space="preserve"> also </w:t>
      </w:r>
      <w:hyperlink r:id="rId10" w:tooltip="Gulf Keystone claims Wempen misled group - FT.com" w:history="1">
        <w:r w:rsidR="009B10B4" w:rsidRPr="00C51F57">
          <w:rPr>
            <w:rFonts w:ascii="Times New Roman" w:eastAsia="Times New Roman" w:hAnsi="Times New Roman" w:cs="Times New Roman"/>
            <w:lang w:eastAsia="en-GB"/>
          </w:rPr>
          <w:t>argue</w:t>
        </w:r>
        <w:r w:rsidR="00350AA6" w:rsidRPr="00C51F57">
          <w:rPr>
            <w:rFonts w:ascii="Times New Roman" w:eastAsia="Times New Roman" w:hAnsi="Times New Roman" w:cs="Times New Roman"/>
            <w:lang w:eastAsia="en-GB"/>
          </w:rPr>
          <w:t>s</w:t>
        </w:r>
        <w:r w:rsidR="009B10B4" w:rsidRPr="00C51F57">
          <w:rPr>
            <w:rFonts w:ascii="Times New Roman" w:eastAsia="Times New Roman" w:hAnsi="Times New Roman" w:cs="Times New Roman"/>
            <w:lang w:eastAsia="en-GB"/>
          </w:rPr>
          <w:t xml:space="preserve"> Excalibur exaggerated its ability to fund the project</w:t>
        </w:r>
      </w:hyperlink>
      <w:r w:rsidR="009B10B4" w:rsidRPr="00C51F57">
        <w:rPr>
          <w:rFonts w:ascii="Times New Roman" w:eastAsia="Times New Roman" w:hAnsi="Times New Roman" w:cs="Times New Roman"/>
          <w:lang w:eastAsia="en-GB"/>
        </w:rPr>
        <w:t>. GKP said it gave Excalibur the opportunity to participate after November 2007, but it could not raise the money for a signing bonus.</w:t>
      </w:r>
    </w:p>
    <w:p w14:paraId="0CCDD7C8" w14:textId="77777777" w:rsidR="002F26EB" w:rsidRPr="00C51F57" w:rsidRDefault="001F27F4" w:rsidP="002F26EB">
      <w:pPr>
        <w:pStyle w:val="NormalWeb"/>
        <w:rPr>
          <w:sz w:val="22"/>
          <w:szCs w:val="22"/>
        </w:rPr>
      </w:pPr>
      <w:r w:rsidRPr="00C51F57">
        <w:rPr>
          <w:sz w:val="22"/>
          <w:szCs w:val="22"/>
        </w:rPr>
        <w:t>The pre-trial proceeding</w:t>
      </w:r>
      <w:r w:rsidR="00C037EE" w:rsidRPr="00C51F57">
        <w:rPr>
          <w:sz w:val="22"/>
          <w:szCs w:val="22"/>
        </w:rPr>
        <w:t>s</w:t>
      </w:r>
      <w:r w:rsidRPr="00C51F57">
        <w:rPr>
          <w:sz w:val="22"/>
          <w:szCs w:val="22"/>
        </w:rPr>
        <w:t xml:space="preserve"> </w:t>
      </w:r>
      <w:r w:rsidR="00350AA6" w:rsidRPr="00C51F57">
        <w:rPr>
          <w:sz w:val="22"/>
          <w:szCs w:val="22"/>
        </w:rPr>
        <w:t>began</w:t>
      </w:r>
      <w:r w:rsidRPr="00C51F57">
        <w:rPr>
          <w:sz w:val="22"/>
          <w:szCs w:val="22"/>
        </w:rPr>
        <w:t xml:space="preserve"> in October 2012 </w:t>
      </w:r>
      <w:r w:rsidR="00C037EE" w:rsidRPr="00C51F57">
        <w:rPr>
          <w:sz w:val="22"/>
          <w:szCs w:val="22"/>
        </w:rPr>
        <w:t>and were</w:t>
      </w:r>
      <w:r w:rsidRPr="00C51F57">
        <w:rPr>
          <w:sz w:val="22"/>
          <w:szCs w:val="22"/>
        </w:rPr>
        <w:t xml:space="preserve"> completed on 1 March 2013. </w:t>
      </w:r>
      <w:r w:rsidR="00DA3BA1" w:rsidRPr="00C51F57">
        <w:rPr>
          <w:sz w:val="22"/>
          <w:szCs w:val="22"/>
        </w:rPr>
        <w:t>In March</w:t>
      </w:r>
      <w:r w:rsidR="00350AA6" w:rsidRPr="00C51F57">
        <w:rPr>
          <w:sz w:val="22"/>
          <w:szCs w:val="22"/>
        </w:rPr>
        <w:t>, the</w:t>
      </w:r>
      <w:r w:rsidR="00DA3BA1" w:rsidRPr="00C51F57">
        <w:rPr>
          <w:sz w:val="22"/>
          <w:szCs w:val="22"/>
        </w:rPr>
        <w:t xml:space="preserve"> </w:t>
      </w:r>
      <w:r w:rsidR="00350AA6" w:rsidRPr="00C51F57">
        <w:rPr>
          <w:sz w:val="22"/>
          <w:szCs w:val="22"/>
        </w:rPr>
        <w:t>c</w:t>
      </w:r>
      <w:r w:rsidR="009B10B4" w:rsidRPr="00C51F57">
        <w:rPr>
          <w:sz w:val="22"/>
          <w:szCs w:val="22"/>
        </w:rPr>
        <w:t>ourt</w:t>
      </w:r>
      <w:r w:rsidR="00DA3BA1" w:rsidRPr="00C51F57">
        <w:rPr>
          <w:sz w:val="22"/>
          <w:szCs w:val="22"/>
        </w:rPr>
        <w:t xml:space="preserve"> order</w:t>
      </w:r>
      <w:r w:rsidR="00350AA6" w:rsidRPr="00C51F57">
        <w:rPr>
          <w:sz w:val="22"/>
          <w:szCs w:val="22"/>
        </w:rPr>
        <w:t>ed</w:t>
      </w:r>
      <w:r w:rsidR="009B10B4" w:rsidRPr="00C51F57">
        <w:rPr>
          <w:sz w:val="22"/>
          <w:szCs w:val="22"/>
        </w:rPr>
        <w:t xml:space="preserve"> Excalibur </w:t>
      </w:r>
      <w:r w:rsidR="00DA3BA1" w:rsidRPr="00C51F57">
        <w:rPr>
          <w:sz w:val="22"/>
          <w:szCs w:val="22"/>
        </w:rPr>
        <w:t>to</w:t>
      </w:r>
      <w:r w:rsidR="009B10B4" w:rsidRPr="00C51F57">
        <w:rPr>
          <w:sz w:val="22"/>
          <w:szCs w:val="22"/>
        </w:rPr>
        <w:t xml:space="preserve"> pay £6m as security towards Gulf Keystone’s costs and £3.5m towards Texas Keystone ahead of the trial.</w:t>
      </w:r>
      <w:r w:rsidR="00DA3BA1" w:rsidRPr="00C51F57">
        <w:rPr>
          <w:sz w:val="22"/>
          <w:szCs w:val="22"/>
        </w:rPr>
        <w:t xml:space="preserve"> </w:t>
      </w:r>
    </w:p>
    <w:p w14:paraId="4FDBB9F2" w14:textId="77777777" w:rsidR="002F26EB" w:rsidRPr="00C51F57" w:rsidRDefault="00241376" w:rsidP="002F26EB">
      <w:pPr>
        <w:pStyle w:val="NormalWeb"/>
        <w:rPr>
          <w:sz w:val="22"/>
          <w:szCs w:val="22"/>
        </w:rPr>
      </w:pPr>
      <w:r w:rsidRPr="00C51F57">
        <w:rPr>
          <w:sz w:val="22"/>
          <w:szCs w:val="22"/>
        </w:rPr>
        <w:t>I</w:t>
      </w:r>
      <w:r w:rsidR="00A1348F" w:rsidRPr="00C51F57">
        <w:rPr>
          <w:sz w:val="22"/>
          <w:szCs w:val="22"/>
        </w:rPr>
        <w:t>n a judgement</w:t>
      </w:r>
      <w:r w:rsidRPr="00C51F57">
        <w:rPr>
          <w:sz w:val="22"/>
          <w:szCs w:val="22"/>
        </w:rPr>
        <w:t xml:space="preserve"> </w:t>
      </w:r>
      <w:r w:rsidR="003831B8" w:rsidRPr="00C51F57">
        <w:rPr>
          <w:sz w:val="22"/>
          <w:szCs w:val="22"/>
        </w:rPr>
        <w:t>in</w:t>
      </w:r>
      <w:r w:rsidRPr="00C51F57">
        <w:rPr>
          <w:sz w:val="22"/>
          <w:szCs w:val="22"/>
        </w:rPr>
        <w:t xml:space="preserve"> September 2013</w:t>
      </w:r>
      <w:r w:rsidR="00EC153F" w:rsidRPr="00C51F57">
        <w:rPr>
          <w:sz w:val="22"/>
          <w:szCs w:val="22"/>
        </w:rPr>
        <w:t>,</w:t>
      </w:r>
      <w:r w:rsidR="00A1348F" w:rsidRPr="00C51F57">
        <w:rPr>
          <w:sz w:val="22"/>
          <w:szCs w:val="22"/>
        </w:rPr>
        <w:t xml:space="preserve"> </w:t>
      </w:r>
      <w:r w:rsidR="001D2EAF" w:rsidRPr="00C51F57">
        <w:rPr>
          <w:sz w:val="22"/>
          <w:szCs w:val="22"/>
        </w:rPr>
        <w:t xml:space="preserve">the </w:t>
      </w:r>
      <w:r w:rsidR="00A1348F" w:rsidRPr="00C51F57">
        <w:rPr>
          <w:sz w:val="22"/>
          <w:szCs w:val="22"/>
        </w:rPr>
        <w:t xml:space="preserve">court rejected </w:t>
      </w:r>
      <w:r w:rsidR="002F26EB" w:rsidRPr="00C51F57">
        <w:rPr>
          <w:sz w:val="22"/>
          <w:szCs w:val="22"/>
        </w:rPr>
        <w:t xml:space="preserve">claims made by </w:t>
      </w:r>
      <w:r w:rsidR="004D3CA7" w:rsidRPr="00C51F57">
        <w:rPr>
          <w:sz w:val="22"/>
          <w:szCs w:val="22"/>
        </w:rPr>
        <w:t>Excalibur</w:t>
      </w:r>
      <w:r w:rsidR="002F26EB" w:rsidRPr="00C51F57">
        <w:rPr>
          <w:sz w:val="22"/>
          <w:szCs w:val="22"/>
        </w:rPr>
        <w:t xml:space="preserve"> Ventures that it was entitled to a 30% share in the company's oil fields</w:t>
      </w:r>
      <w:r w:rsidR="001D2EAF" w:rsidRPr="00C51F57">
        <w:rPr>
          <w:sz w:val="22"/>
          <w:szCs w:val="22"/>
        </w:rPr>
        <w:t>.</w:t>
      </w:r>
      <w:r w:rsidR="002F26EB" w:rsidRPr="00C51F57">
        <w:rPr>
          <w:sz w:val="22"/>
          <w:szCs w:val="22"/>
        </w:rPr>
        <w:t xml:space="preserve"> </w:t>
      </w:r>
      <w:r w:rsidR="001D2EAF" w:rsidRPr="00C51F57">
        <w:rPr>
          <w:sz w:val="22"/>
          <w:szCs w:val="22"/>
        </w:rPr>
        <w:t>They</w:t>
      </w:r>
      <w:r w:rsidR="002F26EB" w:rsidRPr="00C51F57">
        <w:rPr>
          <w:sz w:val="22"/>
          <w:szCs w:val="22"/>
        </w:rPr>
        <w:t xml:space="preserve"> said t</w:t>
      </w:r>
      <w:r w:rsidR="001D2EAF" w:rsidRPr="00C51F57">
        <w:rPr>
          <w:sz w:val="22"/>
          <w:szCs w:val="22"/>
        </w:rPr>
        <w:t>hat t</w:t>
      </w:r>
      <w:r w:rsidR="002F26EB" w:rsidRPr="00C51F57">
        <w:rPr>
          <w:sz w:val="22"/>
          <w:szCs w:val="22"/>
        </w:rPr>
        <w:t xml:space="preserve">he collaboration agreement does </w:t>
      </w:r>
      <w:r w:rsidR="002F26EB" w:rsidRPr="00C51F57">
        <w:rPr>
          <w:sz w:val="22"/>
          <w:szCs w:val="22"/>
        </w:rPr>
        <w:lastRenderedPageBreak/>
        <w:t xml:space="preserve">not create, give rise to or recognise any entitlement of Excalibur to an indirect interest in the Shaikan </w:t>
      </w:r>
      <w:r w:rsidR="001D2EAF" w:rsidRPr="00C51F57">
        <w:rPr>
          <w:sz w:val="22"/>
          <w:szCs w:val="22"/>
        </w:rPr>
        <w:t>B</w:t>
      </w:r>
      <w:r w:rsidR="002F26EB" w:rsidRPr="00C51F57">
        <w:rPr>
          <w:sz w:val="22"/>
          <w:szCs w:val="22"/>
        </w:rPr>
        <w:t>lock or any other production sharing contract. The hearing was adjourned</w:t>
      </w:r>
      <w:r w:rsidR="001D2EAF" w:rsidRPr="00C51F57">
        <w:rPr>
          <w:sz w:val="22"/>
          <w:szCs w:val="22"/>
        </w:rPr>
        <w:t>,</w:t>
      </w:r>
      <w:r w:rsidR="002F26EB" w:rsidRPr="00C51F57">
        <w:rPr>
          <w:sz w:val="22"/>
          <w:szCs w:val="22"/>
        </w:rPr>
        <w:t xml:space="preserve"> to a date to be fixed, for argument</w:t>
      </w:r>
      <w:r w:rsidR="001D2EAF" w:rsidRPr="00C51F57">
        <w:rPr>
          <w:sz w:val="22"/>
          <w:szCs w:val="22"/>
        </w:rPr>
        <w:t>s</w:t>
      </w:r>
      <w:r w:rsidR="002F26EB" w:rsidRPr="00C51F57">
        <w:rPr>
          <w:sz w:val="22"/>
          <w:szCs w:val="22"/>
        </w:rPr>
        <w:t xml:space="preserve"> on costs and any application for permission to appeal. </w:t>
      </w:r>
    </w:p>
    <w:p w14:paraId="3B794BC9" w14:textId="77777777" w:rsidR="0004315C" w:rsidRPr="00C51F57" w:rsidRDefault="0004315C" w:rsidP="002F26EB">
      <w:pPr>
        <w:pStyle w:val="NormalWeb"/>
        <w:rPr>
          <w:sz w:val="22"/>
          <w:szCs w:val="22"/>
        </w:rPr>
      </w:pPr>
      <w:r w:rsidRPr="00C51F57">
        <w:rPr>
          <w:sz w:val="22"/>
          <w:szCs w:val="22"/>
        </w:rPr>
        <w:t xml:space="preserve">In a final decision </w:t>
      </w:r>
      <w:r w:rsidR="003831B8" w:rsidRPr="00C51F57">
        <w:rPr>
          <w:sz w:val="22"/>
          <w:szCs w:val="22"/>
        </w:rPr>
        <w:t>on 13</w:t>
      </w:r>
      <w:r w:rsidR="003831B8" w:rsidRPr="00C51F57">
        <w:rPr>
          <w:sz w:val="22"/>
          <w:szCs w:val="22"/>
          <w:vertAlign w:val="superscript"/>
        </w:rPr>
        <w:t>th</w:t>
      </w:r>
      <w:r w:rsidR="003831B8" w:rsidRPr="00C51F57">
        <w:rPr>
          <w:sz w:val="22"/>
          <w:szCs w:val="22"/>
        </w:rPr>
        <w:t xml:space="preserve"> December</w:t>
      </w:r>
      <w:r w:rsidRPr="00C51F57">
        <w:rPr>
          <w:sz w:val="22"/>
          <w:szCs w:val="22"/>
        </w:rPr>
        <w:t xml:space="preserve"> </w:t>
      </w:r>
      <w:r w:rsidR="003831B8" w:rsidRPr="00C51F57">
        <w:rPr>
          <w:sz w:val="22"/>
          <w:szCs w:val="22"/>
        </w:rPr>
        <w:t>2013</w:t>
      </w:r>
      <w:r w:rsidR="005C0C47" w:rsidRPr="00C51F57">
        <w:rPr>
          <w:sz w:val="22"/>
          <w:szCs w:val="22"/>
        </w:rPr>
        <w:t>,</w:t>
      </w:r>
      <w:r w:rsidRPr="00C51F57">
        <w:rPr>
          <w:sz w:val="22"/>
          <w:szCs w:val="22"/>
        </w:rPr>
        <w:t xml:space="preserve"> after Excalibur </w:t>
      </w:r>
      <w:r w:rsidR="005C0C47" w:rsidRPr="00C51F57">
        <w:rPr>
          <w:sz w:val="22"/>
          <w:szCs w:val="22"/>
          <w:shd w:val="clear" w:color="auto" w:fill="FFFFFF"/>
        </w:rPr>
        <w:t>Ventures decided not</w:t>
      </w:r>
      <w:r w:rsidRPr="00C51F57">
        <w:rPr>
          <w:sz w:val="22"/>
          <w:szCs w:val="22"/>
          <w:shd w:val="clear" w:color="auto" w:fill="FFFFFF"/>
        </w:rPr>
        <w:t xml:space="preserve"> to launch an appeal against a Commercial Court judgment made in September</w:t>
      </w:r>
      <w:r w:rsidR="009542FC" w:rsidRPr="00C51F57">
        <w:rPr>
          <w:sz w:val="22"/>
          <w:szCs w:val="22"/>
          <w:shd w:val="clear" w:color="auto" w:fill="FFFFFF"/>
        </w:rPr>
        <w:t>,</w:t>
      </w:r>
      <w:r w:rsidRPr="00C51F57">
        <w:rPr>
          <w:sz w:val="22"/>
          <w:szCs w:val="22"/>
          <w:shd w:val="clear" w:color="auto" w:fill="FFFFFF"/>
        </w:rPr>
        <w:t xml:space="preserve"> </w:t>
      </w:r>
      <w:r w:rsidR="005C0C47" w:rsidRPr="00C51F57">
        <w:rPr>
          <w:sz w:val="22"/>
          <w:szCs w:val="22"/>
          <w:shd w:val="clear" w:color="auto" w:fill="FFFFFF"/>
        </w:rPr>
        <w:t xml:space="preserve">the </w:t>
      </w:r>
      <w:r w:rsidRPr="00C51F57">
        <w:rPr>
          <w:sz w:val="22"/>
          <w:szCs w:val="22"/>
          <w:shd w:val="clear" w:color="auto" w:fill="FFFFFF"/>
        </w:rPr>
        <w:t>court order</w:t>
      </w:r>
      <w:r w:rsidR="00B1725F" w:rsidRPr="00C51F57">
        <w:rPr>
          <w:sz w:val="22"/>
          <w:szCs w:val="22"/>
          <w:shd w:val="clear" w:color="auto" w:fill="FFFFFF"/>
        </w:rPr>
        <w:t>ed</w:t>
      </w:r>
      <w:r w:rsidRPr="00C51F57">
        <w:rPr>
          <w:sz w:val="22"/>
          <w:szCs w:val="22"/>
          <w:shd w:val="clear" w:color="auto" w:fill="FFFFFF"/>
        </w:rPr>
        <w:t xml:space="preserve"> Excalibur to pay £17.5m of the </w:t>
      </w:r>
      <w:r w:rsidR="003831B8" w:rsidRPr="00C51F57">
        <w:rPr>
          <w:sz w:val="22"/>
          <w:szCs w:val="22"/>
          <w:shd w:val="clear" w:color="auto" w:fill="FFFFFF"/>
        </w:rPr>
        <w:t>defendants cost</w:t>
      </w:r>
      <w:r w:rsidR="00B1725F" w:rsidRPr="00C51F57">
        <w:rPr>
          <w:sz w:val="22"/>
          <w:szCs w:val="22"/>
          <w:shd w:val="clear" w:color="auto" w:fill="FFFFFF"/>
        </w:rPr>
        <w:t>,</w:t>
      </w:r>
      <w:r w:rsidR="003831B8" w:rsidRPr="00C51F57">
        <w:rPr>
          <w:sz w:val="22"/>
          <w:szCs w:val="22"/>
          <w:shd w:val="clear" w:color="auto" w:fill="FFFFFF"/>
        </w:rPr>
        <w:t xml:space="preserve"> of which GKP and its subsidiaries will receive £10.7m and Texas Keystone will receive £6.8m. The cash had been paid by Excalibur to the court as security for the defendants' costs. Additional security for GKP and its subsidiaries of £3.2</w:t>
      </w:r>
      <w:r w:rsidR="00B1725F" w:rsidRPr="00C51F57">
        <w:rPr>
          <w:sz w:val="22"/>
          <w:szCs w:val="22"/>
          <w:shd w:val="clear" w:color="auto" w:fill="FFFFFF"/>
        </w:rPr>
        <w:t>m has been ordered by the court</w:t>
      </w:r>
      <w:r w:rsidR="003831B8" w:rsidRPr="00C51F57">
        <w:rPr>
          <w:sz w:val="22"/>
          <w:szCs w:val="22"/>
          <w:shd w:val="clear" w:color="auto" w:fill="FFFFFF"/>
        </w:rPr>
        <w:t xml:space="preserve"> as well as an additional £2.4m for Texas Keystone.</w:t>
      </w:r>
    </w:p>
    <w:p w14:paraId="375D33D0" w14:textId="77777777" w:rsidR="006E7664" w:rsidRPr="00C51F57" w:rsidRDefault="00350AA6" w:rsidP="00745E04">
      <w:pPr>
        <w:pStyle w:val="NoSpacing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>Full l</w:t>
      </w:r>
      <w:r w:rsidR="005C11F9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isting </w:t>
      </w:r>
      <w:r w:rsidR="00745E04" w:rsidRPr="00C51F57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plans </w:t>
      </w:r>
    </w:p>
    <w:p w14:paraId="0D998B95" w14:textId="77777777" w:rsidR="00785E08" w:rsidRPr="00C51F57" w:rsidRDefault="00BF75DB" w:rsidP="00785E08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</w:rPr>
        <w:t xml:space="preserve">In May </w:t>
      </w:r>
      <w:r w:rsidR="008B5B87" w:rsidRPr="00C51F57">
        <w:rPr>
          <w:sz w:val="22"/>
          <w:szCs w:val="22"/>
        </w:rPr>
        <w:t>2013</w:t>
      </w:r>
      <w:r w:rsidRPr="00C51F57">
        <w:rPr>
          <w:sz w:val="22"/>
          <w:szCs w:val="22"/>
        </w:rPr>
        <w:t xml:space="preserve"> GKP u</w:t>
      </w:r>
      <w:r w:rsidR="00350AA6" w:rsidRPr="00C51F57">
        <w:rPr>
          <w:sz w:val="22"/>
          <w:szCs w:val="22"/>
        </w:rPr>
        <w:t xml:space="preserve">pdated the market saying it intended </w:t>
      </w:r>
      <w:r w:rsidR="009409B5" w:rsidRPr="00C51F57">
        <w:rPr>
          <w:sz w:val="22"/>
          <w:szCs w:val="22"/>
        </w:rPr>
        <w:t>to move</w:t>
      </w:r>
      <w:r w:rsidRPr="00C51F57">
        <w:rPr>
          <w:sz w:val="22"/>
          <w:szCs w:val="22"/>
          <w:shd w:val="clear" w:color="auto" w:fill="FFFFFF"/>
        </w:rPr>
        <w:t xml:space="preserve"> from AIM to </w:t>
      </w:r>
      <w:r w:rsidR="00350AA6" w:rsidRPr="00C51F57">
        <w:rPr>
          <w:sz w:val="22"/>
          <w:szCs w:val="22"/>
          <w:shd w:val="clear" w:color="auto" w:fill="FFFFFF"/>
        </w:rPr>
        <w:t xml:space="preserve">a </w:t>
      </w:r>
      <w:r w:rsidR="004D70C7" w:rsidRPr="00C51F57">
        <w:rPr>
          <w:sz w:val="22"/>
          <w:szCs w:val="22"/>
          <w:shd w:val="clear" w:color="auto" w:fill="FFFFFF"/>
        </w:rPr>
        <w:t>full listing on</w:t>
      </w:r>
      <w:r w:rsidRPr="00C51F57">
        <w:rPr>
          <w:sz w:val="22"/>
          <w:szCs w:val="22"/>
          <w:shd w:val="clear" w:color="auto" w:fill="FFFFFF"/>
        </w:rPr>
        <w:t xml:space="preserve"> the London Stock Exchange</w:t>
      </w:r>
      <w:r w:rsidR="00350AA6" w:rsidRPr="00C51F57">
        <w:rPr>
          <w:sz w:val="22"/>
          <w:szCs w:val="22"/>
          <w:shd w:val="clear" w:color="auto" w:fill="FFFFFF"/>
        </w:rPr>
        <w:t xml:space="preserve">, </w:t>
      </w:r>
      <w:r w:rsidR="004D70C7" w:rsidRPr="00C51F57">
        <w:rPr>
          <w:sz w:val="22"/>
          <w:szCs w:val="22"/>
        </w:rPr>
        <w:t>spli</w:t>
      </w:r>
      <w:r w:rsidR="00350AA6" w:rsidRPr="00C51F57">
        <w:rPr>
          <w:sz w:val="22"/>
          <w:szCs w:val="22"/>
        </w:rPr>
        <w:t>t</w:t>
      </w:r>
      <w:r w:rsidR="004D70C7" w:rsidRPr="00C51F57">
        <w:rPr>
          <w:sz w:val="22"/>
          <w:szCs w:val="22"/>
        </w:rPr>
        <w:t>t</w:t>
      </w:r>
      <w:r w:rsidR="00350AA6" w:rsidRPr="00C51F57">
        <w:rPr>
          <w:sz w:val="22"/>
          <w:szCs w:val="22"/>
        </w:rPr>
        <w:t>ing</w:t>
      </w:r>
      <w:r w:rsidR="004D70C7" w:rsidRPr="00C51F57">
        <w:rPr>
          <w:sz w:val="22"/>
          <w:szCs w:val="22"/>
        </w:rPr>
        <w:t xml:space="preserve"> the roles of the chairman and chief executive in anticipation</w:t>
      </w:r>
      <w:r w:rsidRPr="00C51F57">
        <w:rPr>
          <w:sz w:val="22"/>
          <w:szCs w:val="22"/>
          <w:shd w:val="clear" w:color="auto" w:fill="FFFFFF"/>
        </w:rPr>
        <w:t>. </w:t>
      </w:r>
      <w:r w:rsidR="00350AA6" w:rsidRPr="00C51F57">
        <w:rPr>
          <w:sz w:val="22"/>
          <w:szCs w:val="22"/>
          <w:shd w:val="clear" w:color="auto" w:fill="FFFFFF"/>
        </w:rPr>
        <w:t>The company achieved</w:t>
      </w:r>
      <w:r w:rsidR="00F353CD" w:rsidRPr="00C51F57">
        <w:rPr>
          <w:sz w:val="22"/>
          <w:szCs w:val="22"/>
          <w:shd w:val="clear" w:color="auto" w:fill="FFFFFF"/>
        </w:rPr>
        <w:t xml:space="preserve"> </w:t>
      </w:r>
      <w:r w:rsidR="00C037EE" w:rsidRPr="00C51F57">
        <w:rPr>
          <w:sz w:val="22"/>
          <w:szCs w:val="22"/>
          <w:shd w:val="clear" w:color="auto" w:fill="FFFFFF"/>
        </w:rPr>
        <w:t xml:space="preserve">a </w:t>
      </w:r>
      <w:r w:rsidR="00F353CD" w:rsidRPr="00C51F57">
        <w:rPr>
          <w:sz w:val="22"/>
          <w:szCs w:val="22"/>
          <w:shd w:val="clear" w:color="auto" w:fill="FFFFFF"/>
        </w:rPr>
        <w:t>coup by appointing</w:t>
      </w:r>
      <w:r w:rsidR="009409B5" w:rsidRPr="00C51F57">
        <w:rPr>
          <w:sz w:val="22"/>
          <w:szCs w:val="22"/>
          <w:shd w:val="clear" w:color="auto" w:fill="FFFFFF"/>
        </w:rPr>
        <w:t xml:space="preserve"> Simon Murray,</w:t>
      </w:r>
      <w:r w:rsidR="00F353CD" w:rsidRPr="00C51F57">
        <w:rPr>
          <w:sz w:val="22"/>
          <w:szCs w:val="22"/>
          <w:shd w:val="clear" w:color="auto" w:fill="FFFFFF"/>
        </w:rPr>
        <w:t xml:space="preserve"> former chairman of Glencore</w:t>
      </w:r>
      <w:r w:rsidR="009409B5" w:rsidRPr="00C51F57">
        <w:rPr>
          <w:sz w:val="22"/>
          <w:szCs w:val="22"/>
          <w:shd w:val="clear" w:color="auto" w:fill="FFFFFF"/>
        </w:rPr>
        <w:t>,</w:t>
      </w:r>
      <w:r w:rsidR="00F353CD" w:rsidRPr="00C51F57">
        <w:rPr>
          <w:sz w:val="22"/>
          <w:szCs w:val="22"/>
          <w:shd w:val="clear" w:color="auto" w:fill="FFFFFF"/>
        </w:rPr>
        <w:t xml:space="preserve"> as </w:t>
      </w:r>
      <w:r w:rsidR="00350AA6" w:rsidRPr="00C51F57">
        <w:rPr>
          <w:sz w:val="22"/>
          <w:szCs w:val="22"/>
          <w:shd w:val="clear" w:color="auto" w:fill="FFFFFF"/>
        </w:rPr>
        <w:t>c</w:t>
      </w:r>
      <w:r w:rsidR="00F353CD" w:rsidRPr="00C51F57">
        <w:rPr>
          <w:sz w:val="22"/>
          <w:szCs w:val="22"/>
          <w:shd w:val="clear" w:color="auto" w:fill="FFFFFF"/>
        </w:rPr>
        <w:t>hairman and head of</w:t>
      </w:r>
      <w:r w:rsidR="00350AA6" w:rsidRPr="00C51F57">
        <w:rPr>
          <w:sz w:val="22"/>
          <w:szCs w:val="22"/>
          <w:shd w:val="clear" w:color="auto" w:fill="FFFFFF"/>
        </w:rPr>
        <w:t xml:space="preserve"> the</w:t>
      </w:r>
      <w:r w:rsidR="00F353CD" w:rsidRPr="00C51F57">
        <w:rPr>
          <w:sz w:val="22"/>
          <w:szCs w:val="22"/>
          <w:shd w:val="clear" w:color="auto" w:fill="FFFFFF"/>
        </w:rPr>
        <w:t xml:space="preserve"> remuneration committee. </w:t>
      </w:r>
      <w:r w:rsidR="00785E08" w:rsidRPr="00C51F57">
        <w:rPr>
          <w:sz w:val="22"/>
          <w:szCs w:val="22"/>
        </w:rPr>
        <w:t xml:space="preserve">The company also </w:t>
      </w:r>
      <w:r w:rsidR="00A46BC7" w:rsidRPr="00C51F57">
        <w:rPr>
          <w:sz w:val="22"/>
          <w:szCs w:val="22"/>
        </w:rPr>
        <w:t xml:space="preserve">appointed </w:t>
      </w:r>
      <w:r w:rsidR="005C0C47" w:rsidRPr="00C51F57">
        <w:rPr>
          <w:sz w:val="22"/>
          <w:szCs w:val="22"/>
          <w:shd w:val="clear" w:color="auto" w:fill="FFFFFF"/>
        </w:rPr>
        <w:t>four new independent directors</w:t>
      </w:r>
      <w:r w:rsidR="00A46BC7" w:rsidRPr="00C51F57">
        <w:rPr>
          <w:sz w:val="22"/>
          <w:szCs w:val="22"/>
          <w:shd w:val="clear" w:color="auto" w:fill="FFFFFF"/>
        </w:rPr>
        <w:t xml:space="preserve"> to its board</w:t>
      </w:r>
      <w:r w:rsidR="005C0C47" w:rsidRPr="00C51F57">
        <w:rPr>
          <w:sz w:val="22"/>
          <w:szCs w:val="22"/>
          <w:shd w:val="clear" w:color="auto" w:fill="FFFFFF"/>
        </w:rPr>
        <w:t xml:space="preserve">, as </w:t>
      </w:r>
      <w:r w:rsidR="00A46BC7" w:rsidRPr="00C51F57">
        <w:rPr>
          <w:sz w:val="22"/>
          <w:szCs w:val="22"/>
          <w:shd w:val="clear" w:color="auto" w:fill="FFFFFF"/>
        </w:rPr>
        <w:t xml:space="preserve">proposed by its largest shareholders </w:t>
      </w:r>
      <w:r w:rsidR="00A46BC7" w:rsidRPr="00C51F57">
        <w:rPr>
          <w:sz w:val="22"/>
          <w:szCs w:val="22"/>
        </w:rPr>
        <w:t xml:space="preserve">M&amp;G and Capital Group. </w:t>
      </w:r>
      <w:r w:rsidR="006C3A7B" w:rsidRPr="00C51F57">
        <w:rPr>
          <w:sz w:val="22"/>
          <w:szCs w:val="22"/>
        </w:rPr>
        <w:t>In September after winning the court case against Excalibur</w:t>
      </w:r>
      <w:r w:rsidR="00E732A0" w:rsidRPr="00C51F57">
        <w:rPr>
          <w:sz w:val="22"/>
          <w:szCs w:val="22"/>
        </w:rPr>
        <w:t>,</w:t>
      </w:r>
      <w:r w:rsidR="006C3A7B" w:rsidRPr="00C51F57">
        <w:rPr>
          <w:sz w:val="22"/>
          <w:szCs w:val="22"/>
        </w:rPr>
        <w:t xml:space="preserve"> GKP appointed </w:t>
      </w:r>
      <w:r w:rsidR="006C3A7B" w:rsidRPr="00C51F57">
        <w:rPr>
          <w:sz w:val="22"/>
          <w:szCs w:val="22"/>
          <w:shd w:val="clear" w:color="auto" w:fill="FFFFFF"/>
        </w:rPr>
        <w:t>Deutsche Bank to act on an exclusive basis in connection with the proposed move from AIM, to the Standard Segment of the London Stock Exchange.</w:t>
      </w:r>
      <w:r w:rsidR="00A46BC7" w:rsidRPr="00C51F57">
        <w:rPr>
          <w:sz w:val="22"/>
          <w:szCs w:val="22"/>
          <w:shd w:val="clear" w:color="auto" w:fill="FFFFFF"/>
        </w:rPr>
        <w:t xml:space="preserve"> </w:t>
      </w:r>
      <w:r w:rsidR="00B0069E" w:rsidRPr="00C51F57">
        <w:rPr>
          <w:sz w:val="22"/>
          <w:szCs w:val="22"/>
          <w:shd w:val="clear" w:color="auto" w:fill="FFFFFF"/>
        </w:rPr>
        <w:t>In a recent update</w:t>
      </w:r>
      <w:r w:rsidR="005C0C47" w:rsidRPr="00C51F57">
        <w:rPr>
          <w:sz w:val="22"/>
          <w:szCs w:val="22"/>
          <w:shd w:val="clear" w:color="auto" w:fill="FFFFFF"/>
        </w:rPr>
        <w:t>,</w:t>
      </w:r>
      <w:r w:rsidR="00B0069E" w:rsidRPr="00C51F57">
        <w:rPr>
          <w:sz w:val="22"/>
          <w:szCs w:val="22"/>
          <w:shd w:val="clear" w:color="auto" w:fill="FFFFFF"/>
        </w:rPr>
        <w:t xml:space="preserve"> GKP said that it</w:t>
      </w:r>
      <w:r w:rsidR="00346330" w:rsidRPr="00C51F57">
        <w:rPr>
          <w:sz w:val="22"/>
          <w:szCs w:val="22"/>
          <w:shd w:val="clear" w:color="auto" w:fill="FFFFFF"/>
        </w:rPr>
        <w:t xml:space="preserve"> is in advanced stages of finalising the relevant documents including the Listing Prospectus, the Competent Person's Report and the required financial reports. </w:t>
      </w:r>
      <w:r w:rsidR="00A46BC7" w:rsidRPr="00C51F57">
        <w:rPr>
          <w:sz w:val="22"/>
          <w:szCs w:val="22"/>
          <w:shd w:val="clear" w:color="auto" w:fill="FFFFFF"/>
        </w:rPr>
        <w:t xml:space="preserve">GKP is looking for full listing </w:t>
      </w:r>
      <w:r w:rsidR="00346330" w:rsidRPr="00C51F57">
        <w:rPr>
          <w:sz w:val="22"/>
          <w:szCs w:val="22"/>
          <w:shd w:val="clear" w:color="auto" w:fill="FFFFFF"/>
        </w:rPr>
        <w:t xml:space="preserve">as soon as practicable in </w:t>
      </w:r>
      <w:r w:rsidR="00A46BC7" w:rsidRPr="00C51F57">
        <w:rPr>
          <w:sz w:val="22"/>
          <w:szCs w:val="22"/>
          <w:shd w:val="clear" w:color="auto" w:fill="FFFFFF"/>
        </w:rPr>
        <w:t>2014.</w:t>
      </w:r>
    </w:p>
    <w:p w14:paraId="568C7E83" w14:textId="77777777" w:rsidR="00745E04" w:rsidRPr="00C51F57" w:rsidRDefault="00745E04" w:rsidP="00BF75DB">
      <w:pPr>
        <w:pStyle w:val="NormalWeb"/>
        <w:shd w:val="clear" w:color="auto" w:fill="FFFFFF"/>
        <w:spacing w:before="240" w:beforeAutospacing="0" w:after="240" w:afterAutospacing="0" w:line="270" w:lineRule="atLeast"/>
        <w:rPr>
          <w:b/>
          <w:shd w:val="clear" w:color="auto" w:fill="FFFFFF"/>
        </w:rPr>
      </w:pPr>
      <w:r w:rsidRPr="00C51F57">
        <w:rPr>
          <w:b/>
          <w:shd w:val="clear" w:color="auto" w:fill="FFFFFF"/>
        </w:rPr>
        <w:t>City view on the stock</w:t>
      </w:r>
    </w:p>
    <w:p w14:paraId="66DE47F2" w14:textId="75974679" w:rsidR="00674E9B" w:rsidRPr="00C51F57" w:rsidRDefault="00674E9B" w:rsidP="00674E9B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</w:rPr>
      </w:pPr>
      <w:r w:rsidRPr="00C51F57">
        <w:rPr>
          <w:sz w:val="22"/>
          <w:szCs w:val="22"/>
        </w:rPr>
        <w:t xml:space="preserve">Analysts at Goldman Sachs upgraded Gulf Keystone Petroleum to ‘buy’ from ‘neutral’ and increased their target to 283.0p per </w:t>
      </w:r>
      <w:r w:rsidR="00FC7148" w:rsidRPr="00C51F57">
        <w:rPr>
          <w:sz w:val="22"/>
          <w:szCs w:val="22"/>
        </w:rPr>
        <w:t>share from 265.0p. The bank say</w:t>
      </w:r>
      <w:r w:rsidRPr="00C51F57">
        <w:rPr>
          <w:sz w:val="22"/>
          <w:szCs w:val="22"/>
        </w:rPr>
        <w:t xml:space="preserve"> Gulf Keystone shares have been weak despite the positive announcement of the Excalibur litigation update. The bank adds that the current share price does not reflect any value for Merger &amp; Acquisitions potential, despite Gulf Keystone's attractive exposure to this theme.</w:t>
      </w:r>
    </w:p>
    <w:p w14:paraId="787AFF61" w14:textId="77777777" w:rsidR="00D43D52" w:rsidRPr="00C51F57" w:rsidRDefault="00D43D52" w:rsidP="00BF75DB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</w:rPr>
      </w:pPr>
      <w:r w:rsidRPr="00C51F57">
        <w:rPr>
          <w:sz w:val="22"/>
          <w:szCs w:val="22"/>
        </w:rPr>
        <w:t xml:space="preserve">HSBC </w:t>
      </w:r>
      <w:r w:rsidR="00674E9B" w:rsidRPr="00C51F57">
        <w:rPr>
          <w:sz w:val="22"/>
          <w:szCs w:val="22"/>
        </w:rPr>
        <w:t>upg</w:t>
      </w:r>
      <w:r w:rsidR="00F74E03" w:rsidRPr="00C51F57">
        <w:rPr>
          <w:sz w:val="22"/>
          <w:szCs w:val="22"/>
        </w:rPr>
        <w:t>raded</w:t>
      </w:r>
      <w:r w:rsidRPr="00C51F57">
        <w:rPr>
          <w:sz w:val="22"/>
          <w:szCs w:val="22"/>
        </w:rPr>
        <w:t xml:space="preserve"> GKP to ‘</w:t>
      </w:r>
      <w:r w:rsidR="00674E9B" w:rsidRPr="00C51F57">
        <w:rPr>
          <w:sz w:val="22"/>
          <w:szCs w:val="22"/>
        </w:rPr>
        <w:t>over</w:t>
      </w:r>
      <w:r w:rsidR="00F74E03" w:rsidRPr="00C51F57">
        <w:rPr>
          <w:sz w:val="22"/>
          <w:szCs w:val="22"/>
        </w:rPr>
        <w:t>weight</w:t>
      </w:r>
      <w:r w:rsidR="00350AA6" w:rsidRPr="00C51F57">
        <w:rPr>
          <w:sz w:val="22"/>
          <w:szCs w:val="22"/>
        </w:rPr>
        <w:t>’ from ‘</w:t>
      </w:r>
      <w:r w:rsidR="00674E9B" w:rsidRPr="00C51F57">
        <w:rPr>
          <w:sz w:val="22"/>
          <w:szCs w:val="22"/>
        </w:rPr>
        <w:t>under</w:t>
      </w:r>
      <w:r w:rsidR="00350AA6" w:rsidRPr="00C51F57">
        <w:rPr>
          <w:sz w:val="22"/>
          <w:szCs w:val="22"/>
        </w:rPr>
        <w:t xml:space="preserve">weight’ </w:t>
      </w:r>
      <w:r w:rsidR="00674E9B" w:rsidRPr="00C51F57">
        <w:rPr>
          <w:sz w:val="22"/>
          <w:szCs w:val="22"/>
        </w:rPr>
        <w:t xml:space="preserve">with </w:t>
      </w:r>
      <w:r w:rsidR="005C0C47" w:rsidRPr="00C51F57">
        <w:rPr>
          <w:sz w:val="22"/>
          <w:szCs w:val="22"/>
        </w:rPr>
        <w:t xml:space="preserve">the </w:t>
      </w:r>
      <w:r w:rsidR="00674E9B" w:rsidRPr="00C51F57">
        <w:rPr>
          <w:sz w:val="22"/>
          <w:szCs w:val="22"/>
        </w:rPr>
        <w:t>same</w:t>
      </w:r>
      <w:r w:rsidRPr="00C51F57">
        <w:rPr>
          <w:sz w:val="22"/>
          <w:szCs w:val="22"/>
        </w:rPr>
        <w:t xml:space="preserve"> price target </w:t>
      </w:r>
      <w:r w:rsidR="00674E9B" w:rsidRPr="00C51F57">
        <w:rPr>
          <w:sz w:val="22"/>
          <w:szCs w:val="22"/>
        </w:rPr>
        <w:t>of</w:t>
      </w:r>
      <w:r w:rsidRPr="00C51F57">
        <w:rPr>
          <w:sz w:val="22"/>
          <w:szCs w:val="22"/>
        </w:rPr>
        <w:t xml:space="preserve"> </w:t>
      </w:r>
      <w:r w:rsidR="00F74E03" w:rsidRPr="00C51F57">
        <w:rPr>
          <w:sz w:val="22"/>
          <w:szCs w:val="22"/>
        </w:rPr>
        <w:t>185</w:t>
      </w:r>
      <w:r w:rsidRPr="00C51F57">
        <w:rPr>
          <w:sz w:val="22"/>
          <w:szCs w:val="22"/>
        </w:rPr>
        <w:t>.0p</w:t>
      </w:r>
      <w:r w:rsidR="005C0C47" w:rsidRPr="00C51F57">
        <w:rPr>
          <w:sz w:val="22"/>
          <w:szCs w:val="22"/>
        </w:rPr>
        <w:t>,</w:t>
      </w:r>
      <w:r w:rsidRPr="00C51F57">
        <w:rPr>
          <w:sz w:val="22"/>
          <w:szCs w:val="22"/>
        </w:rPr>
        <w:t xml:space="preserve"> </w:t>
      </w:r>
      <w:r w:rsidR="00F74E03" w:rsidRPr="00C51F57">
        <w:rPr>
          <w:sz w:val="22"/>
          <w:szCs w:val="22"/>
        </w:rPr>
        <w:t>after it won the Excalibur case.</w:t>
      </w:r>
    </w:p>
    <w:p w14:paraId="21A41EBB" w14:textId="77777777" w:rsidR="00674E9B" w:rsidRPr="00C51F57" w:rsidRDefault="00674E9B" w:rsidP="00674E9B">
      <w:pPr>
        <w:pStyle w:val="NormalWeb"/>
        <w:shd w:val="clear" w:color="auto" w:fill="FFFFFF"/>
        <w:spacing w:before="240" w:beforeAutospacing="0" w:after="240" w:afterAutospacing="0" w:line="270" w:lineRule="atLeast"/>
        <w:rPr>
          <w:b/>
          <w:sz w:val="22"/>
          <w:szCs w:val="22"/>
          <w:shd w:val="clear" w:color="auto" w:fill="FFFFFF"/>
        </w:rPr>
      </w:pPr>
      <w:r w:rsidRPr="00C51F57">
        <w:rPr>
          <w:sz w:val="22"/>
          <w:szCs w:val="22"/>
        </w:rPr>
        <w:t xml:space="preserve">Westhouse Securities has </w:t>
      </w:r>
      <w:r w:rsidR="00160FFB" w:rsidRPr="00C51F57">
        <w:rPr>
          <w:sz w:val="22"/>
          <w:szCs w:val="22"/>
        </w:rPr>
        <w:t>upgraded GKP to ‘neutral’ from</w:t>
      </w:r>
      <w:r w:rsidRPr="00C51F57">
        <w:rPr>
          <w:sz w:val="22"/>
          <w:szCs w:val="22"/>
        </w:rPr>
        <w:t xml:space="preserve"> ‘sell’ with a 1</w:t>
      </w:r>
      <w:r w:rsidR="00160FFB" w:rsidRPr="00C51F57">
        <w:rPr>
          <w:sz w:val="22"/>
          <w:szCs w:val="22"/>
        </w:rPr>
        <w:t>6</w:t>
      </w:r>
      <w:r w:rsidRPr="00C51F57">
        <w:rPr>
          <w:sz w:val="22"/>
          <w:szCs w:val="22"/>
        </w:rPr>
        <w:t>0.0p target.</w:t>
      </w:r>
    </w:p>
    <w:p w14:paraId="303BB464" w14:textId="77777777" w:rsidR="00D43D52" w:rsidRPr="00C51F57" w:rsidRDefault="00D43D52" w:rsidP="00D43D52">
      <w:pPr>
        <w:pStyle w:val="Heading4"/>
        <w:shd w:val="clear" w:color="auto" w:fill="FFFFFF"/>
        <w:spacing w:before="218" w:after="218" w:line="312" w:lineRule="atLeast"/>
        <w:rPr>
          <w:rStyle w:val="apple-converted-space"/>
          <w:rFonts w:ascii="Times New Roman" w:hAnsi="Times New Roman" w:cs="Times New Roman"/>
          <w:b w:val="0"/>
          <w:i w:val="0"/>
          <w:color w:val="auto"/>
          <w:shd w:val="clear" w:color="auto" w:fill="FFFFFF"/>
        </w:rPr>
      </w:pPr>
      <w:r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 xml:space="preserve">Broker Forecasts’ three-month consensus data show that </w:t>
      </w:r>
      <w:r w:rsidR="00856722"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>50</w:t>
      </w:r>
      <w:r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 xml:space="preserve">% of brokers continue to rate the shares </w:t>
      </w:r>
      <w:r w:rsidR="00B2060D"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>as ‘overweight’</w:t>
      </w:r>
      <w:r w:rsidR="00D1248A"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 xml:space="preserve"> </w:t>
      </w:r>
      <w:r w:rsidR="00E559F3"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>or</w:t>
      </w:r>
      <w:r w:rsidR="00D1248A"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 xml:space="preserve"> </w:t>
      </w:r>
      <w:r w:rsidR="005C0C47"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 xml:space="preserve">'buy' while </w:t>
      </w:r>
      <w:r w:rsidR="00160FFB"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>50</w:t>
      </w:r>
      <w:r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>% rate them as a '</w:t>
      </w:r>
      <w:r w:rsidR="00D1248A"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>neutral</w:t>
      </w:r>
      <w:r w:rsidR="00856722" w:rsidRPr="00C51F57">
        <w:rPr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>'</w:t>
      </w:r>
      <w:r w:rsidR="00D1248A" w:rsidRPr="00C51F57">
        <w:rPr>
          <w:rStyle w:val="apple-converted-space"/>
          <w:rFonts w:ascii="Times New Roman" w:hAnsi="Times New Roman" w:cs="Times New Roman"/>
          <w:b w:val="0"/>
          <w:i w:val="0"/>
          <w:color w:val="auto"/>
          <w:shd w:val="clear" w:color="auto" w:fill="FFFFFF"/>
        </w:rPr>
        <w:t>.</w:t>
      </w:r>
    </w:p>
    <w:p w14:paraId="7D842C9A" w14:textId="77777777" w:rsidR="00621AAE" w:rsidRPr="00C51F57" w:rsidRDefault="00D271B8" w:rsidP="002B74B4">
      <w:pPr>
        <w:spacing w:after="0" w:line="540" w:lineRule="atLeast"/>
        <w:ind w:right="4200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GB"/>
        </w:rPr>
      </w:pPr>
      <w:r w:rsidRPr="00C51F5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GB"/>
        </w:rPr>
        <w:t>What next for Gulf</w:t>
      </w:r>
      <w:r w:rsidR="00DC03C8" w:rsidRPr="00C51F5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GB"/>
        </w:rPr>
        <w:t xml:space="preserve"> </w:t>
      </w:r>
      <w:r w:rsidRPr="00C51F5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GB"/>
        </w:rPr>
        <w:t>Keystone Shareholders?</w:t>
      </w:r>
    </w:p>
    <w:p w14:paraId="52B00CB3" w14:textId="77777777" w:rsidR="00486EBC" w:rsidRPr="00C51F57" w:rsidRDefault="0068393A" w:rsidP="0068393A">
      <w:pPr>
        <w:pStyle w:val="dg"/>
        <w:shd w:val="clear" w:color="auto" w:fill="FFFFFF"/>
        <w:spacing w:before="240" w:beforeAutospacing="0" w:after="240" w:afterAutospacing="0" w:line="276" w:lineRule="auto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  <w:shd w:val="clear" w:color="auto" w:fill="FFFFFF"/>
        </w:rPr>
        <w:t>In a half year result announce</w:t>
      </w:r>
      <w:r w:rsidR="008B22A2" w:rsidRPr="00C51F57">
        <w:rPr>
          <w:sz w:val="22"/>
          <w:szCs w:val="22"/>
          <w:shd w:val="clear" w:color="auto" w:fill="FFFFFF"/>
        </w:rPr>
        <w:t>d</w:t>
      </w:r>
      <w:r w:rsidRPr="00C51F57">
        <w:rPr>
          <w:sz w:val="22"/>
          <w:szCs w:val="22"/>
          <w:shd w:val="clear" w:color="auto" w:fill="FFFFFF"/>
        </w:rPr>
        <w:t xml:space="preserve"> in September Gulf Keystone further reiterated it</w:t>
      </w:r>
      <w:r w:rsidR="008B22A2" w:rsidRPr="00C51F57">
        <w:rPr>
          <w:sz w:val="22"/>
          <w:szCs w:val="22"/>
          <w:shd w:val="clear" w:color="auto" w:fill="FFFFFF"/>
        </w:rPr>
        <w:t>s</w:t>
      </w:r>
      <w:r w:rsidRPr="00C51F57">
        <w:rPr>
          <w:sz w:val="22"/>
          <w:szCs w:val="22"/>
          <w:shd w:val="clear" w:color="auto" w:fill="FFFFFF"/>
        </w:rPr>
        <w:t xml:space="preserve"> cash-neutral approach to growing operations, including drilling up to eight wells on Shaikan in 2014 and investment decisions on additional Shaikan production facilities. The group's cash and cash</w:t>
      </w:r>
      <w:r w:rsidR="008B22A2" w:rsidRPr="00C51F57">
        <w:rPr>
          <w:sz w:val="22"/>
          <w:szCs w:val="22"/>
          <w:shd w:val="clear" w:color="auto" w:fill="FFFFFF"/>
        </w:rPr>
        <w:t xml:space="preserve"> equivalents at 16 September were</w:t>
      </w:r>
      <w:r w:rsidRPr="00C51F57">
        <w:rPr>
          <w:sz w:val="22"/>
          <w:szCs w:val="22"/>
          <w:shd w:val="clear" w:color="auto" w:fill="FFFFFF"/>
        </w:rPr>
        <w:t xml:space="preserve"> $101.2m. Losses for the period narrowed to $26.4m compared with a $31.4m loss a year earlier, although there were no revenues during the period.</w:t>
      </w:r>
      <w:r w:rsidR="00C132B3" w:rsidRPr="00C51F57">
        <w:rPr>
          <w:sz w:val="22"/>
          <w:szCs w:val="22"/>
          <w:shd w:val="clear" w:color="auto" w:fill="FFFFFF"/>
        </w:rPr>
        <w:t xml:space="preserve"> </w:t>
      </w:r>
    </w:p>
    <w:p w14:paraId="46E41980" w14:textId="77777777" w:rsidR="0068393A" w:rsidRPr="00C51F57" w:rsidRDefault="00146A1B" w:rsidP="0068393A">
      <w:pPr>
        <w:pStyle w:val="dg"/>
        <w:shd w:val="clear" w:color="auto" w:fill="FFFFFF"/>
        <w:spacing w:before="240" w:beforeAutospacing="0" w:after="240" w:afterAutospacing="0" w:line="276" w:lineRule="auto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  <w:shd w:val="clear" w:color="auto" w:fill="FFFFFF"/>
        </w:rPr>
        <w:t>In October</w:t>
      </w:r>
      <w:r w:rsidR="005C0C47" w:rsidRPr="00C51F57">
        <w:rPr>
          <w:sz w:val="22"/>
          <w:szCs w:val="22"/>
          <w:shd w:val="clear" w:color="auto" w:fill="FFFFFF"/>
        </w:rPr>
        <w:t>,</w:t>
      </w:r>
      <w:r w:rsidRPr="00C51F57">
        <w:rPr>
          <w:sz w:val="22"/>
          <w:szCs w:val="22"/>
          <w:shd w:val="clear" w:color="auto" w:fill="FFFFFF"/>
        </w:rPr>
        <w:t xml:space="preserve"> GKP issued £50.0m convertible bonds to boost its cash position sufficiently to complete its transition towards a short-term production target of 40,000 bopd.</w:t>
      </w:r>
      <w:r w:rsidR="00896A3D" w:rsidRPr="00C51F57">
        <w:rPr>
          <w:sz w:val="22"/>
          <w:szCs w:val="22"/>
          <w:shd w:val="clear" w:color="auto" w:fill="FFFFFF"/>
        </w:rPr>
        <w:t xml:space="preserve"> </w:t>
      </w:r>
      <w:r w:rsidR="00C132B3" w:rsidRPr="00C51F57">
        <w:rPr>
          <w:sz w:val="22"/>
          <w:szCs w:val="22"/>
          <w:shd w:val="clear" w:color="auto" w:fill="FFFFFF"/>
        </w:rPr>
        <w:t>GKP further added that</w:t>
      </w:r>
      <w:r w:rsidR="006B76FB" w:rsidRPr="00C51F57">
        <w:rPr>
          <w:sz w:val="22"/>
          <w:szCs w:val="22"/>
          <w:shd w:val="clear" w:color="auto" w:fill="FFFFFF"/>
        </w:rPr>
        <w:t xml:space="preserve"> it is looking to achieve stable oil production and sales </w:t>
      </w:r>
      <w:r w:rsidR="00B2060D" w:rsidRPr="00C51F57">
        <w:rPr>
          <w:sz w:val="22"/>
          <w:szCs w:val="22"/>
          <w:shd w:val="clear" w:color="auto" w:fill="FFFFFF"/>
        </w:rPr>
        <w:t xml:space="preserve">from </w:t>
      </w:r>
      <w:r w:rsidR="002D491F" w:rsidRPr="00C51F57">
        <w:rPr>
          <w:sz w:val="22"/>
          <w:szCs w:val="22"/>
          <w:shd w:val="clear" w:color="auto" w:fill="FFFFFF"/>
        </w:rPr>
        <w:t>PF-1 and PF-2</w:t>
      </w:r>
      <w:r w:rsidR="00B2060D" w:rsidRPr="00C51F57">
        <w:rPr>
          <w:sz w:val="22"/>
          <w:szCs w:val="22"/>
          <w:shd w:val="clear" w:color="auto" w:fill="FFFFFF"/>
        </w:rPr>
        <w:t xml:space="preserve"> </w:t>
      </w:r>
      <w:r w:rsidR="006B76FB" w:rsidRPr="00C51F57">
        <w:rPr>
          <w:sz w:val="22"/>
          <w:szCs w:val="22"/>
          <w:shd w:val="clear" w:color="auto" w:fill="FFFFFF"/>
        </w:rPr>
        <w:t>in 2014</w:t>
      </w:r>
      <w:r w:rsidR="00CB7E61" w:rsidRPr="00C51F57">
        <w:rPr>
          <w:sz w:val="22"/>
          <w:szCs w:val="22"/>
          <w:shd w:val="clear" w:color="auto" w:fill="FFFFFF"/>
        </w:rPr>
        <w:t>. After this</w:t>
      </w:r>
      <w:r w:rsidR="006B76FB" w:rsidRPr="00C51F57">
        <w:rPr>
          <w:sz w:val="22"/>
          <w:szCs w:val="22"/>
          <w:shd w:val="clear" w:color="auto" w:fill="FFFFFF"/>
        </w:rPr>
        <w:t xml:space="preserve"> it </w:t>
      </w:r>
      <w:r w:rsidR="00F165A2" w:rsidRPr="00C51F57">
        <w:rPr>
          <w:sz w:val="22"/>
          <w:szCs w:val="22"/>
          <w:shd w:val="clear" w:color="auto" w:fill="FFFFFF"/>
        </w:rPr>
        <w:t xml:space="preserve">will </w:t>
      </w:r>
      <w:r w:rsidR="006B76FB" w:rsidRPr="00C51F57">
        <w:rPr>
          <w:sz w:val="22"/>
          <w:szCs w:val="22"/>
          <w:shd w:val="clear" w:color="auto" w:fill="FFFFFF"/>
        </w:rPr>
        <w:t xml:space="preserve">look </w:t>
      </w:r>
      <w:r w:rsidR="006B76FB" w:rsidRPr="00C51F57">
        <w:rPr>
          <w:sz w:val="22"/>
          <w:szCs w:val="22"/>
          <w:shd w:val="clear" w:color="auto" w:fill="FFFFFF"/>
        </w:rPr>
        <w:lastRenderedPageBreak/>
        <w:t xml:space="preserve">for long-term </w:t>
      </w:r>
      <w:r w:rsidR="002B3E7D" w:rsidRPr="00C51F57">
        <w:rPr>
          <w:sz w:val="22"/>
          <w:szCs w:val="22"/>
          <w:shd w:val="clear" w:color="auto" w:fill="FFFFFF"/>
        </w:rPr>
        <w:t xml:space="preserve">debt </w:t>
      </w:r>
      <w:r w:rsidR="006B76FB" w:rsidRPr="00C51F57">
        <w:rPr>
          <w:sz w:val="22"/>
          <w:szCs w:val="22"/>
          <w:shd w:val="clear" w:color="auto" w:fill="FFFFFF"/>
        </w:rPr>
        <w:t>funding needed for the large-scale development planned for the Shaikan field</w:t>
      </w:r>
      <w:r w:rsidR="00CB7E61" w:rsidRPr="00C51F57">
        <w:rPr>
          <w:sz w:val="22"/>
          <w:szCs w:val="22"/>
          <w:shd w:val="clear" w:color="auto" w:fill="FFFFFF"/>
        </w:rPr>
        <w:t xml:space="preserve">. They will be able to </w:t>
      </w:r>
      <w:r w:rsidR="00896A3D" w:rsidRPr="00C51F57">
        <w:rPr>
          <w:sz w:val="22"/>
          <w:szCs w:val="22"/>
          <w:shd w:val="clear" w:color="auto" w:fill="FFFFFF"/>
        </w:rPr>
        <w:t>access debt market under more favourable terms on recurring revenue from oil sale</w:t>
      </w:r>
      <w:r w:rsidR="006B76FB" w:rsidRPr="00C51F57">
        <w:rPr>
          <w:sz w:val="22"/>
          <w:szCs w:val="22"/>
          <w:shd w:val="clear" w:color="auto" w:fill="FFFFFF"/>
        </w:rPr>
        <w:t xml:space="preserve">, which envisages achieving phase one production of 100,000 bopd, </w:t>
      </w:r>
      <w:r w:rsidR="00354757" w:rsidRPr="00C51F57">
        <w:rPr>
          <w:sz w:val="22"/>
          <w:szCs w:val="22"/>
          <w:shd w:val="clear" w:color="auto" w:fill="FFFFFF"/>
        </w:rPr>
        <w:t>and</w:t>
      </w:r>
      <w:r w:rsidR="006B76FB" w:rsidRPr="00C51F57">
        <w:rPr>
          <w:sz w:val="22"/>
          <w:szCs w:val="22"/>
          <w:shd w:val="clear" w:color="auto" w:fill="FFFFFF"/>
        </w:rPr>
        <w:t xml:space="preserve"> will require drilling on an additional 19 wells and construction of at least two additional production facilities.</w:t>
      </w:r>
      <w:r w:rsidR="00896A3D" w:rsidRPr="00C51F57">
        <w:rPr>
          <w:sz w:val="22"/>
          <w:szCs w:val="22"/>
          <w:shd w:val="clear" w:color="auto" w:fill="FFFFFF"/>
        </w:rPr>
        <w:t xml:space="preserve"> </w:t>
      </w:r>
      <w:r w:rsidR="00C132B3" w:rsidRPr="00C51F57">
        <w:rPr>
          <w:sz w:val="22"/>
          <w:szCs w:val="22"/>
          <w:shd w:val="clear" w:color="auto" w:fill="FFFFFF"/>
        </w:rPr>
        <w:t>The company continue</w:t>
      </w:r>
      <w:r w:rsidR="008B22A2" w:rsidRPr="00C51F57">
        <w:rPr>
          <w:sz w:val="22"/>
          <w:szCs w:val="22"/>
          <w:shd w:val="clear" w:color="auto" w:fill="FFFFFF"/>
        </w:rPr>
        <w:t>s</w:t>
      </w:r>
      <w:r w:rsidR="00C132B3" w:rsidRPr="00C51F57">
        <w:rPr>
          <w:sz w:val="22"/>
          <w:szCs w:val="22"/>
          <w:shd w:val="clear" w:color="auto" w:fill="FFFFFF"/>
        </w:rPr>
        <w:t xml:space="preserve"> to pursue the sale of 20% working interest in the Akri-Bijeel project.</w:t>
      </w:r>
      <w:r w:rsidR="00A40B86" w:rsidRPr="00C51F57">
        <w:rPr>
          <w:sz w:val="22"/>
          <w:szCs w:val="22"/>
          <w:shd w:val="clear" w:color="auto" w:fill="FFFFFF"/>
        </w:rPr>
        <w:t xml:space="preserve"> </w:t>
      </w:r>
    </w:p>
    <w:p w14:paraId="37B3219C" w14:textId="77777777" w:rsidR="00A0164C" w:rsidRPr="00C51F57" w:rsidRDefault="006B6021" w:rsidP="006B6021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C51F57">
        <w:rPr>
          <w:rFonts w:ascii="Times New Roman" w:hAnsi="Times New Roman" w:cs="Times New Roman"/>
          <w:lang w:eastAsia="en-GB"/>
        </w:rPr>
        <w:t xml:space="preserve">According to </w:t>
      </w:r>
      <w:r w:rsidR="003F2837" w:rsidRPr="00C51F57">
        <w:rPr>
          <w:rFonts w:ascii="Times New Roman" w:hAnsi="Times New Roman" w:cs="Times New Roman"/>
          <w:lang w:eastAsia="en-GB"/>
        </w:rPr>
        <w:t xml:space="preserve">the </w:t>
      </w:r>
      <w:r w:rsidR="009D6E63" w:rsidRPr="00C51F57">
        <w:rPr>
          <w:rFonts w:ascii="Times New Roman" w:hAnsi="Times New Roman" w:cs="Times New Roman"/>
          <w:lang w:eastAsia="en-GB"/>
        </w:rPr>
        <w:t>Kurdistan Regional G</w:t>
      </w:r>
      <w:r w:rsidRPr="00C51F57">
        <w:rPr>
          <w:rFonts w:ascii="Times New Roman" w:hAnsi="Times New Roman" w:cs="Times New Roman"/>
          <w:lang w:eastAsia="en-GB"/>
        </w:rPr>
        <w:t>overnment</w:t>
      </w:r>
      <w:r w:rsidR="003F2837" w:rsidRPr="00C51F57">
        <w:rPr>
          <w:rFonts w:ascii="Times New Roman" w:hAnsi="Times New Roman" w:cs="Times New Roman"/>
          <w:lang w:eastAsia="en-GB"/>
        </w:rPr>
        <w:t>,</w:t>
      </w:r>
      <w:r w:rsidRPr="00C51F57">
        <w:rPr>
          <w:rFonts w:ascii="Times New Roman" w:hAnsi="Times New Roman" w:cs="Times New Roman"/>
          <w:lang w:eastAsia="en-GB"/>
        </w:rPr>
        <w:t xml:space="preserve"> Kurdistan has</w:t>
      </w:r>
      <w:r w:rsidR="000E6656" w:rsidRPr="00C51F57">
        <w:rPr>
          <w:rFonts w:ascii="Times New Roman" w:hAnsi="Times New Roman" w:cs="Times New Roman"/>
          <w:lang w:eastAsia="en-GB"/>
        </w:rPr>
        <w:t xml:space="preserve"> 45bn of barrels of</w:t>
      </w:r>
      <w:r w:rsidR="00DC03C8" w:rsidRPr="00C51F57">
        <w:rPr>
          <w:rFonts w:ascii="Times New Roman" w:hAnsi="Times New Roman" w:cs="Times New Roman"/>
          <w:lang w:eastAsia="en-GB"/>
        </w:rPr>
        <w:t xml:space="preserve"> oil and G</w:t>
      </w:r>
      <w:r w:rsidR="00C71850" w:rsidRPr="00C51F57">
        <w:rPr>
          <w:rFonts w:ascii="Times New Roman" w:hAnsi="Times New Roman" w:cs="Times New Roman"/>
          <w:lang w:eastAsia="en-GB"/>
        </w:rPr>
        <w:t>KP</w:t>
      </w:r>
      <w:r w:rsidR="003F2837" w:rsidRPr="00C51F57">
        <w:rPr>
          <w:rFonts w:ascii="Times New Roman" w:hAnsi="Times New Roman" w:cs="Times New Roman"/>
          <w:lang w:eastAsia="en-GB"/>
        </w:rPr>
        <w:t>’s</w:t>
      </w:r>
      <w:r w:rsidR="00DC03C8" w:rsidRPr="00C51F57">
        <w:rPr>
          <w:rFonts w:ascii="Times New Roman" w:hAnsi="Times New Roman" w:cs="Times New Roman"/>
          <w:lang w:eastAsia="en-GB"/>
        </w:rPr>
        <w:t xml:space="preserve"> </w:t>
      </w:r>
      <w:r w:rsidR="00C71850" w:rsidRPr="00C51F57">
        <w:rPr>
          <w:rFonts w:ascii="Times New Roman" w:hAnsi="Times New Roman" w:cs="Times New Roman"/>
          <w:lang w:eastAsia="en-GB"/>
        </w:rPr>
        <w:t xml:space="preserve">share of </w:t>
      </w:r>
      <w:r w:rsidR="000E6656" w:rsidRPr="00C51F57">
        <w:rPr>
          <w:rFonts w:ascii="Times New Roman" w:hAnsi="Times New Roman" w:cs="Times New Roman"/>
          <w:lang w:eastAsia="en-GB"/>
        </w:rPr>
        <w:t xml:space="preserve">the </w:t>
      </w:r>
      <w:r w:rsidR="00C71850" w:rsidRPr="00C51F57">
        <w:rPr>
          <w:rFonts w:ascii="Times New Roman" w:hAnsi="Times New Roman" w:cs="Times New Roman"/>
          <w:lang w:eastAsia="en-GB"/>
        </w:rPr>
        <w:t xml:space="preserve">oil in </w:t>
      </w:r>
      <w:r w:rsidR="009D6E63" w:rsidRPr="00C51F57">
        <w:rPr>
          <w:rFonts w:ascii="Times New Roman" w:hAnsi="Times New Roman" w:cs="Times New Roman"/>
          <w:lang w:eastAsia="en-GB"/>
        </w:rPr>
        <w:t>the country</w:t>
      </w:r>
      <w:r w:rsidR="00C71850" w:rsidRPr="00C51F57">
        <w:rPr>
          <w:rFonts w:ascii="Times New Roman" w:hAnsi="Times New Roman" w:cs="Times New Roman"/>
          <w:lang w:eastAsia="en-GB"/>
        </w:rPr>
        <w:t xml:space="preserve"> is about</w:t>
      </w:r>
      <w:r w:rsidR="000E6656" w:rsidRPr="00C51F57">
        <w:rPr>
          <w:rFonts w:ascii="Times New Roman" w:hAnsi="Times New Roman" w:cs="Times New Roman"/>
          <w:lang w:eastAsia="en-GB"/>
        </w:rPr>
        <w:t xml:space="preserve"> 19bn barrels</w:t>
      </w:r>
      <w:r w:rsidR="00C71850" w:rsidRPr="00C51F57">
        <w:rPr>
          <w:rFonts w:ascii="Times New Roman" w:hAnsi="Times New Roman" w:cs="Times New Roman"/>
          <w:lang w:eastAsia="en-GB"/>
        </w:rPr>
        <w:t xml:space="preserve">; making </w:t>
      </w:r>
      <w:r w:rsidR="009D6E63" w:rsidRPr="00C51F57">
        <w:rPr>
          <w:rFonts w:ascii="Times New Roman" w:hAnsi="Times New Roman" w:cs="Times New Roman"/>
          <w:lang w:eastAsia="en-GB"/>
        </w:rPr>
        <w:t>it</w:t>
      </w:r>
      <w:r w:rsidR="00C71850" w:rsidRPr="00C51F57">
        <w:rPr>
          <w:rFonts w:ascii="Times New Roman" w:hAnsi="Times New Roman" w:cs="Times New Roman"/>
          <w:lang w:eastAsia="en-GB"/>
        </w:rPr>
        <w:t xml:space="preserve"> </w:t>
      </w:r>
      <w:r w:rsidR="009D6E63" w:rsidRPr="00C51F57">
        <w:rPr>
          <w:rFonts w:ascii="Times New Roman" w:hAnsi="Times New Roman" w:cs="Times New Roman"/>
          <w:lang w:eastAsia="en-GB"/>
        </w:rPr>
        <w:t>Kurdistan’s</w:t>
      </w:r>
      <w:r w:rsidR="003F2837" w:rsidRPr="00C51F57">
        <w:rPr>
          <w:rFonts w:ascii="Times New Roman" w:hAnsi="Times New Roman" w:cs="Times New Roman"/>
          <w:lang w:eastAsia="en-GB"/>
        </w:rPr>
        <w:t xml:space="preserve"> </w:t>
      </w:r>
      <w:r w:rsidR="00C71850" w:rsidRPr="00C51F57">
        <w:rPr>
          <w:rFonts w:ascii="Times New Roman" w:hAnsi="Times New Roman" w:cs="Times New Roman"/>
          <w:lang w:eastAsia="en-GB"/>
        </w:rPr>
        <w:t>bi</w:t>
      </w:r>
      <w:r w:rsidR="009D6E63" w:rsidRPr="00C51F57">
        <w:rPr>
          <w:rFonts w:ascii="Times New Roman" w:hAnsi="Times New Roman" w:cs="Times New Roman"/>
          <w:lang w:eastAsia="en-GB"/>
        </w:rPr>
        <w:t>ggest independent oil company</w:t>
      </w:r>
      <w:r w:rsidR="00C71850" w:rsidRPr="00C51F57">
        <w:rPr>
          <w:rFonts w:ascii="Times New Roman" w:hAnsi="Times New Roman" w:cs="Times New Roman"/>
          <w:lang w:eastAsia="en-GB"/>
        </w:rPr>
        <w:t>.</w:t>
      </w:r>
      <w:r w:rsidR="00AA7D14" w:rsidRPr="00C51F57">
        <w:rPr>
          <w:rFonts w:ascii="Times New Roman" w:hAnsi="Times New Roman" w:cs="Times New Roman"/>
          <w:lang w:eastAsia="en-GB"/>
        </w:rPr>
        <w:t xml:space="preserve"> In a shor</w:t>
      </w:r>
      <w:r w:rsidR="008D52D1" w:rsidRPr="00C51F57">
        <w:rPr>
          <w:rFonts w:ascii="Times New Roman" w:hAnsi="Times New Roman" w:cs="Times New Roman"/>
          <w:lang w:eastAsia="en-GB"/>
        </w:rPr>
        <w:t>t</w:t>
      </w:r>
      <w:r w:rsidR="00AA7D14" w:rsidRPr="00C51F57">
        <w:rPr>
          <w:rFonts w:ascii="Times New Roman" w:hAnsi="Times New Roman" w:cs="Times New Roman"/>
          <w:lang w:eastAsia="en-GB"/>
        </w:rPr>
        <w:t xml:space="preserve"> period of </w:t>
      </w:r>
      <w:r w:rsidR="003F2837" w:rsidRPr="00C51F57">
        <w:rPr>
          <w:rFonts w:ascii="Times New Roman" w:hAnsi="Times New Roman" w:cs="Times New Roman"/>
          <w:lang w:eastAsia="en-GB"/>
        </w:rPr>
        <w:t>just over</w:t>
      </w:r>
      <w:r w:rsidR="00AA7D14" w:rsidRPr="00C51F57">
        <w:rPr>
          <w:rFonts w:ascii="Times New Roman" w:hAnsi="Times New Roman" w:cs="Times New Roman"/>
          <w:lang w:eastAsia="en-GB"/>
        </w:rPr>
        <w:t xml:space="preserve"> </w:t>
      </w:r>
      <w:r w:rsidR="001A16B5" w:rsidRPr="00C51F57">
        <w:rPr>
          <w:rFonts w:ascii="Times New Roman" w:hAnsi="Times New Roman" w:cs="Times New Roman"/>
          <w:lang w:eastAsia="en-GB"/>
        </w:rPr>
        <w:t>three</w:t>
      </w:r>
      <w:r w:rsidR="00AA7D14" w:rsidRPr="00C51F57">
        <w:rPr>
          <w:rFonts w:ascii="Times New Roman" w:hAnsi="Times New Roman" w:cs="Times New Roman"/>
          <w:lang w:eastAsia="en-GB"/>
        </w:rPr>
        <w:t xml:space="preserve"> years </w:t>
      </w:r>
      <w:r w:rsidR="00A822E8" w:rsidRPr="00C51F57">
        <w:rPr>
          <w:rFonts w:ascii="Times New Roman" w:hAnsi="Times New Roman" w:cs="Times New Roman"/>
          <w:lang w:eastAsia="en-GB"/>
        </w:rPr>
        <w:t xml:space="preserve">between the Shaikan-1 discovery in 2009 and the approval of </w:t>
      </w:r>
      <w:r w:rsidR="00A0164C" w:rsidRPr="00C51F57">
        <w:rPr>
          <w:rFonts w:ascii="Times New Roman" w:hAnsi="Times New Roman" w:cs="Times New Roman"/>
          <w:shd w:val="clear" w:color="auto" w:fill="FFFFFF"/>
        </w:rPr>
        <w:t>Shaikan Field Development Plan</w:t>
      </w:r>
      <w:r w:rsidR="00C76A52" w:rsidRPr="00C51F57">
        <w:rPr>
          <w:rFonts w:ascii="Times New Roman" w:hAnsi="Times New Roman" w:cs="Times New Roman"/>
          <w:shd w:val="clear" w:color="auto" w:fill="FFFFFF"/>
        </w:rPr>
        <w:t xml:space="preserve"> </w:t>
      </w:r>
      <w:r w:rsidR="00A0164C" w:rsidRPr="00C51F57">
        <w:rPr>
          <w:rFonts w:ascii="Times New Roman" w:hAnsi="Times New Roman" w:cs="Times New Roman"/>
          <w:shd w:val="clear" w:color="auto" w:fill="FFFFFF"/>
        </w:rPr>
        <w:t>in June 2013</w:t>
      </w:r>
      <w:r w:rsidR="00C037EE" w:rsidRPr="00C51F57">
        <w:rPr>
          <w:rFonts w:ascii="Times New Roman" w:hAnsi="Times New Roman" w:cs="Times New Roman"/>
          <w:shd w:val="clear" w:color="auto" w:fill="FFFFFF"/>
        </w:rPr>
        <w:t>,</w:t>
      </w:r>
      <w:r w:rsidRPr="00C51F57">
        <w:rPr>
          <w:rFonts w:ascii="Times New Roman" w:hAnsi="Times New Roman" w:cs="Times New Roman"/>
          <w:shd w:val="clear" w:color="auto" w:fill="FFFFFF"/>
        </w:rPr>
        <w:t xml:space="preserve"> GKP has </w:t>
      </w:r>
      <w:r w:rsidR="00AA7D14" w:rsidRPr="00C51F57">
        <w:rPr>
          <w:rFonts w:ascii="Times New Roman" w:hAnsi="Times New Roman" w:cs="Times New Roman"/>
          <w:lang w:eastAsia="en-GB"/>
        </w:rPr>
        <w:t>transform</w:t>
      </w:r>
      <w:r w:rsidRPr="00C51F57">
        <w:rPr>
          <w:rFonts w:ascii="Times New Roman" w:hAnsi="Times New Roman" w:cs="Times New Roman"/>
          <w:lang w:eastAsia="en-GB"/>
        </w:rPr>
        <w:t>ed itself</w:t>
      </w:r>
      <w:r w:rsidR="00A0164C" w:rsidRPr="00C51F57">
        <w:rPr>
          <w:rFonts w:ascii="Times New Roman" w:hAnsi="Times New Roman" w:cs="Times New Roman"/>
          <w:lang w:eastAsia="en-GB"/>
        </w:rPr>
        <w:t xml:space="preserve"> from</w:t>
      </w:r>
      <w:r w:rsidR="00AA7D14" w:rsidRPr="00C51F57">
        <w:rPr>
          <w:rFonts w:ascii="Times New Roman" w:hAnsi="Times New Roman" w:cs="Times New Roman"/>
          <w:lang w:eastAsia="en-GB"/>
        </w:rPr>
        <w:t xml:space="preserve"> an exploration company to </w:t>
      </w:r>
      <w:r w:rsidR="008D52D1" w:rsidRPr="00C51F57">
        <w:rPr>
          <w:rFonts w:ascii="Times New Roman" w:hAnsi="Times New Roman" w:cs="Times New Roman"/>
          <w:lang w:eastAsia="en-GB"/>
        </w:rPr>
        <w:t xml:space="preserve">a </w:t>
      </w:r>
      <w:r w:rsidR="00AA7D14" w:rsidRPr="00C51F57">
        <w:rPr>
          <w:rFonts w:ascii="Times New Roman" w:hAnsi="Times New Roman" w:cs="Times New Roman"/>
          <w:lang w:eastAsia="en-GB"/>
        </w:rPr>
        <w:t xml:space="preserve">production company.  </w:t>
      </w:r>
    </w:p>
    <w:p w14:paraId="6E1D3CE7" w14:textId="77777777" w:rsidR="0068393A" w:rsidRPr="00C51F57" w:rsidRDefault="00A0164C" w:rsidP="006B6021">
      <w:pPr>
        <w:pStyle w:val="dg"/>
        <w:shd w:val="clear" w:color="auto" w:fill="FFFFFF"/>
        <w:spacing w:before="240" w:beforeAutospacing="0" w:after="240" w:afterAutospacing="0" w:line="276" w:lineRule="auto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  <w:shd w:val="clear" w:color="auto" w:fill="FFFFFF"/>
        </w:rPr>
        <w:t xml:space="preserve">Following </w:t>
      </w:r>
      <w:r w:rsidR="00971D37" w:rsidRPr="00C51F57">
        <w:rPr>
          <w:sz w:val="22"/>
          <w:szCs w:val="22"/>
          <w:shd w:val="clear" w:color="auto" w:fill="FFFFFF"/>
        </w:rPr>
        <w:t xml:space="preserve">the </w:t>
      </w:r>
      <w:r w:rsidRPr="00C51F57">
        <w:rPr>
          <w:sz w:val="22"/>
          <w:szCs w:val="22"/>
          <w:shd w:val="clear" w:color="auto" w:fill="FFFFFF"/>
        </w:rPr>
        <w:t>approval of the Shaikan FDP, Gulf Keystone</w:t>
      </w:r>
      <w:r w:rsidR="00971D37" w:rsidRPr="00C51F57">
        <w:rPr>
          <w:sz w:val="22"/>
          <w:szCs w:val="22"/>
          <w:shd w:val="clear" w:color="auto" w:fill="FFFFFF"/>
        </w:rPr>
        <w:t xml:space="preserve"> has already</w:t>
      </w:r>
      <w:r w:rsidR="00971D37" w:rsidRPr="00C51F57">
        <w:rPr>
          <w:sz w:val="22"/>
          <w:szCs w:val="22"/>
        </w:rPr>
        <w:t xml:space="preserve"> completed and commissioned PF-1</w:t>
      </w:r>
      <w:r w:rsidR="00EA3A55" w:rsidRPr="00C51F57">
        <w:rPr>
          <w:sz w:val="22"/>
          <w:szCs w:val="22"/>
        </w:rPr>
        <w:t>,</w:t>
      </w:r>
      <w:r w:rsidR="003F2837" w:rsidRPr="00C51F57">
        <w:rPr>
          <w:sz w:val="22"/>
          <w:szCs w:val="22"/>
        </w:rPr>
        <w:t xml:space="preserve"> which</w:t>
      </w:r>
      <w:r w:rsidR="001C7BDA" w:rsidRPr="00C51F57">
        <w:rPr>
          <w:sz w:val="22"/>
          <w:szCs w:val="22"/>
        </w:rPr>
        <w:t xml:space="preserve"> </w:t>
      </w:r>
      <w:r w:rsidR="004B393B" w:rsidRPr="00C51F57">
        <w:rPr>
          <w:sz w:val="22"/>
          <w:szCs w:val="22"/>
        </w:rPr>
        <w:t>is</w:t>
      </w:r>
      <w:r w:rsidR="001C7BDA" w:rsidRPr="00C51F57">
        <w:rPr>
          <w:sz w:val="22"/>
          <w:szCs w:val="22"/>
        </w:rPr>
        <w:t xml:space="preserve"> producing oil </w:t>
      </w:r>
      <w:r w:rsidR="00246A04" w:rsidRPr="00C51F57">
        <w:rPr>
          <w:sz w:val="22"/>
          <w:szCs w:val="22"/>
        </w:rPr>
        <w:t xml:space="preserve">between 9,000 and 10,000bopd </w:t>
      </w:r>
      <w:r w:rsidR="001C7BDA" w:rsidRPr="00C51F57">
        <w:rPr>
          <w:sz w:val="22"/>
          <w:szCs w:val="22"/>
        </w:rPr>
        <w:t xml:space="preserve">which will </w:t>
      </w:r>
      <w:r w:rsidR="0068393A" w:rsidRPr="00C51F57">
        <w:rPr>
          <w:sz w:val="22"/>
          <w:szCs w:val="22"/>
        </w:rPr>
        <w:t>increase</w:t>
      </w:r>
      <w:r w:rsidR="001C7BDA" w:rsidRPr="00C51F57">
        <w:rPr>
          <w:sz w:val="22"/>
          <w:szCs w:val="22"/>
        </w:rPr>
        <w:t xml:space="preserve"> to 20,000 bopd</w:t>
      </w:r>
      <w:r w:rsidR="00EA3A55" w:rsidRPr="00C51F57">
        <w:rPr>
          <w:sz w:val="22"/>
          <w:szCs w:val="22"/>
        </w:rPr>
        <w:t>.</w:t>
      </w:r>
      <w:r w:rsidR="001C7BDA" w:rsidRPr="00C51F57">
        <w:rPr>
          <w:sz w:val="22"/>
          <w:szCs w:val="22"/>
        </w:rPr>
        <w:t xml:space="preserve"> </w:t>
      </w:r>
      <w:r w:rsidR="00EA3A55" w:rsidRPr="00C51F57">
        <w:rPr>
          <w:sz w:val="22"/>
          <w:szCs w:val="22"/>
        </w:rPr>
        <w:t>Wh</w:t>
      </w:r>
      <w:r w:rsidR="00971D37" w:rsidRPr="00C51F57">
        <w:rPr>
          <w:sz w:val="22"/>
          <w:szCs w:val="22"/>
        </w:rPr>
        <w:t>en combined with PF-2</w:t>
      </w:r>
      <w:r w:rsidR="00EA3A55" w:rsidRPr="00C51F57">
        <w:rPr>
          <w:sz w:val="22"/>
          <w:szCs w:val="22"/>
        </w:rPr>
        <w:t>, which is to</w:t>
      </w:r>
      <w:r w:rsidR="00971D37" w:rsidRPr="00C51F57">
        <w:rPr>
          <w:sz w:val="22"/>
          <w:szCs w:val="22"/>
        </w:rPr>
        <w:t xml:space="preserve"> </w:t>
      </w:r>
      <w:r w:rsidR="00EA3A55" w:rsidRPr="00C51F57">
        <w:rPr>
          <w:sz w:val="22"/>
          <w:szCs w:val="22"/>
        </w:rPr>
        <w:t>complete</w:t>
      </w:r>
      <w:r w:rsidR="0068393A" w:rsidRPr="00C51F57">
        <w:rPr>
          <w:sz w:val="22"/>
          <w:szCs w:val="22"/>
        </w:rPr>
        <w:t xml:space="preserve"> by</w:t>
      </w:r>
      <w:r w:rsidR="00971D37" w:rsidRPr="00C51F57">
        <w:rPr>
          <w:sz w:val="22"/>
          <w:szCs w:val="22"/>
        </w:rPr>
        <w:t xml:space="preserve"> </w:t>
      </w:r>
      <w:r w:rsidR="00246A04" w:rsidRPr="00C51F57">
        <w:rPr>
          <w:sz w:val="22"/>
          <w:szCs w:val="22"/>
        </w:rPr>
        <w:t>early</w:t>
      </w:r>
      <w:r w:rsidR="00564CD6" w:rsidRPr="00C51F57">
        <w:rPr>
          <w:sz w:val="22"/>
          <w:szCs w:val="22"/>
        </w:rPr>
        <w:t xml:space="preserve"> 2014</w:t>
      </w:r>
      <w:r w:rsidR="00971D37" w:rsidRPr="00C51F57">
        <w:rPr>
          <w:sz w:val="22"/>
          <w:szCs w:val="22"/>
        </w:rPr>
        <w:t xml:space="preserve">, </w:t>
      </w:r>
      <w:r w:rsidR="009D6E63" w:rsidRPr="00C51F57">
        <w:rPr>
          <w:sz w:val="22"/>
          <w:szCs w:val="22"/>
        </w:rPr>
        <w:t>the</w:t>
      </w:r>
      <w:r w:rsidR="00EA3A55" w:rsidRPr="00C51F57">
        <w:rPr>
          <w:sz w:val="22"/>
          <w:szCs w:val="22"/>
        </w:rPr>
        <w:t xml:space="preserve"> company will</w:t>
      </w:r>
      <w:r w:rsidR="00971D37" w:rsidRPr="00C51F57">
        <w:rPr>
          <w:sz w:val="22"/>
          <w:szCs w:val="22"/>
        </w:rPr>
        <w:t xml:space="preserve"> achieve its immediate short-term production target of 40,000 bopd.</w:t>
      </w:r>
      <w:r w:rsidR="006B6021" w:rsidRPr="00C51F57">
        <w:rPr>
          <w:sz w:val="22"/>
          <w:szCs w:val="22"/>
        </w:rPr>
        <w:t xml:space="preserve"> </w:t>
      </w:r>
      <w:r w:rsidR="00EA3A55" w:rsidRPr="00C51F57">
        <w:rPr>
          <w:sz w:val="22"/>
          <w:szCs w:val="22"/>
        </w:rPr>
        <w:t>As noted, t</w:t>
      </w:r>
      <w:r w:rsidR="006B6021" w:rsidRPr="00C51F57">
        <w:rPr>
          <w:sz w:val="22"/>
          <w:szCs w:val="22"/>
          <w:shd w:val="clear" w:color="auto" w:fill="FFFFFF"/>
        </w:rPr>
        <w:t xml:space="preserve">his will increase to 150,000 bopd within </w:t>
      </w:r>
      <w:r w:rsidR="003F2837" w:rsidRPr="00C51F57">
        <w:rPr>
          <w:sz w:val="22"/>
          <w:szCs w:val="22"/>
          <w:shd w:val="clear" w:color="auto" w:fill="FFFFFF"/>
        </w:rPr>
        <w:t>three</w:t>
      </w:r>
      <w:r w:rsidR="006B6021" w:rsidRPr="00C51F57">
        <w:rPr>
          <w:sz w:val="22"/>
          <w:szCs w:val="22"/>
          <w:shd w:val="clear" w:color="auto" w:fill="FFFFFF"/>
        </w:rPr>
        <w:t xml:space="preserve"> years and 250,000 bopd by 2018.</w:t>
      </w:r>
      <w:r w:rsidR="000B5135" w:rsidRPr="00C51F57">
        <w:rPr>
          <w:sz w:val="22"/>
          <w:szCs w:val="22"/>
          <w:shd w:val="clear" w:color="auto" w:fill="FFFFFF"/>
        </w:rPr>
        <w:t xml:space="preserve"> </w:t>
      </w:r>
    </w:p>
    <w:p w14:paraId="72B664F3" w14:textId="77777777" w:rsidR="004E73F4" w:rsidRPr="00C51F57" w:rsidRDefault="003F2837" w:rsidP="004E73F4">
      <w:pPr>
        <w:pStyle w:val="dg"/>
        <w:shd w:val="clear" w:color="auto" w:fill="FFFFFF"/>
        <w:spacing w:before="240" w:beforeAutospacing="0" w:after="240" w:afterAutospacing="0" w:line="276" w:lineRule="auto"/>
        <w:rPr>
          <w:sz w:val="22"/>
          <w:szCs w:val="22"/>
        </w:rPr>
      </w:pPr>
      <w:r w:rsidRPr="00C51F57">
        <w:rPr>
          <w:sz w:val="22"/>
          <w:szCs w:val="22"/>
          <w:shd w:val="clear" w:color="auto" w:fill="FFFFFF"/>
        </w:rPr>
        <w:t xml:space="preserve">The </w:t>
      </w:r>
      <w:r w:rsidR="00A3370E" w:rsidRPr="00C51F57">
        <w:rPr>
          <w:sz w:val="22"/>
          <w:szCs w:val="22"/>
          <w:shd w:val="clear" w:color="auto" w:fill="FFFFFF"/>
        </w:rPr>
        <w:t xml:space="preserve">Shaikan field still has further oil-in-place and </w:t>
      </w:r>
      <w:r w:rsidRPr="00C51F57">
        <w:rPr>
          <w:sz w:val="22"/>
          <w:szCs w:val="22"/>
          <w:shd w:val="clear" w:color="auto" w:fill="FFFFFF"/>
        </w:rPr>
        <w:t xml:space="preserve">a </w:t>
      </w:r>
      <w:r w:rsidR="00A3370E" w:rsidRPr="00C51F57">
        <w:rPr>
          <w:sz w:val="22"/>
          <w:szCs w:val="22"/>
          <w:shd w:val="clear" w:color="auto" w:fill="FFFFFF"/>
        </w:rPr>
        <w:t>mean value of 13.7</w:t>
      </w:r>
      <w:r w:rsidR="00AD67BB" w:rsidRPr="00C51F57">
        <w:rPr>
          <w:sz w:val="22"/>
          <w:szCs w:val="22"/>
          <w:shd w:val="clear" w:color="auto" w:fill="FFFFFF"/>
        </w:rPr>
        <w:t xml:space="preserve">bn </w:t>
      </w:r>
      <w:r w:rsidR="00A3370E" w:rsidRPr="00C51F57">
        <w:rPr>
          <w:sz w:val="22"/>
          <w:szCs w:val="22"/>
          <w:shd w:val="clear" w:color="auto" w:fill="FFFFFF"/>
        </w:rPr>
        <w:t xml:space="preserve">barrels of gross oil will be revised significantly </w:t>
      </w:r>
      <w:r w:rsidR="00AD67BB" w:rsidRPr="00C51F57">
        <w:rPr>
          <w:sz w:val="22"/>
          <w:szCs w:val="22"/>
          <w:shd w:val="clear" w:color="auto" w:fill="FFFFFF"/>
        </w:rPr>
        <w:t>when Shaikan</w:t>
      </w:r>
      <w:r w:rsidR="00AC2BB3" w:rsidRPr="00C51F57">
        <w:rPr>
          <w:sz w:val="22"/>
          <w:szCs w:val="22"/>
          <w:shd w:val="clear" w:color="auto" w:fill="FFFFFF"/>
        </w:rPr>
        <w:t xml:space="preserve"> </w:t>
      </w:r>
      <w:r w:rsidR="00A3370E" w:rsidRPr="00C51F57">
        <w:rPr>
          <w:sz w:val="22"/>
          <w:szCs w:val="22"/>
          <w:shd w:val="clear" w:color="auto" w:fill="FFFFFF"/>
        </w:rPr>
        <w:t>7</w:t>
      </w:r>
      <w:r w:rsidRPr="00C51F57">
        <w:rPr>
          <w:sz w:val="22"/>
          <w:szCs w:val="22"/>
          <w:shd w:val="clear" w:color="auto" w:fill="FFFFFF"/>
        </w:rPr>
        <w:t>,</w:t>
      </w:r>
      <w:r w:rsidR="00A3370E" w:rsidRPr="00C51F57">
        <w:rPr>
          <w:sz w:val="22"/>
          <w:szCs w:val="22"/>
          <w:shd w:val="clear" w:color="auto" w:fill="FFFFFF"/>
        </w:rPr>
        <w:t xml:space="preserve"> </w:t>
      </w:r>
      <w:r w:rsidR="00A3370E" w:rsidRPr="00C51F57">
        <w:rPr>
          <w:sz w:val="22"/>
          <w:szCs w:val="22"/>
        </w:rPr>
        <w:t xml:space="preserve">the </w:t>
      </w:r>
      <w:r w:rsidR="00AD67BB" w:rsidRPr="00C51F57">
        <w:rPr>
          <w:sz w:val="22"/>
          <w:szCs w:val="22"/>
        </w:rPr>
        <w:t>c</w:t>
      </w:r>
      <w:r w:rsidR="00A3370E" w:rsidRPr="00C51F57">
        <w:rPr>
          <w:sz w:val="22"/>
          <w:szCs w:val="22"/>
        </w:rPr>
        <w:t xml:space="preserve">ompany's first deep exploration </w:t>
      </w:r>
      <w:r w:rsidR="000E6656" w:rsidRPr="00C51F57">
        <w:rPr>
          <w:sz w:val="22"/>
          <w:szCs w:val="22"/>
        </w:rPr>
        <w:t>well, become</w:t>
      </w:r>
      <w:r w:rsidR="00AC2BB3" w:rsidRPr="00C51F57">
        <w:rPr>
          <w:sz w:val="22"/>
          <w:szCs w:val="22"/>
        </w:rPr>
        <w:t>s</w:t>
      </w:r>
      <w:r w:rsidR="000E6656" w:rsidRPr="00C51F57">
        <w:rPr>
          <w:sz w:val="22"/>
          <w:szCs w:val="22"/>
        </w:rPr>
        <w:t xml:space="preserve"> available. Shaikan</w:t>
      </w:r>
      <w:r w:rsidR="00AC2BB3" w:rsidRPr="00C51F57">
        <w:rPr>
          <w:sz w:val="22"/>
          <w:szCs w:val="22"/>
        </w:rPr>
        <w:t xml:space="preserve"> </w:t>
      </w:r>
      <w:r w:rsidR="00A3370E" w:rsidRPr="00C51F57">
        <w:rPr>
          <w:sz w:val="22"/>
          <w:szCs w:val="22"/>
        </w:rPr>
        <w:t xml:space="preserve">7, which </w:t>
      </w:r>
      <w:r w:rsidR="00173F47" w:rsidRPr="00C51F57">
        <w:rPr>
          <w:sz w:val="22"/>
          <w:szCs w:val="22"/>
        </w:rPr>
        <w:t xml:space="preserve">GKP started drilling </w:t>
      </w:r>
      <w:r w:rsidR="00A3370E" w:rsidRPr="00C51F57">
        <w:rPr>
          <w:sz w:val="22"/>
          <w:szCs w:val="22"/>
        </w:rPr>
        <w:t>in June 2013</w:t>
      </w:r>
      <w:r w:rsidR="00AC2BB3" w:rsidRPr="00C51F57">
        <w:rPr>
          <w:sz w:val="22"/>
          <w:szCs w:val="22"/>
        </w:rPr>
        <w:t>,</w:t>
      </w:r>
      <w:r w:rsidR="00A3370E" w:rsidRPr="00C51F57">
        <w:rPr>
          <w:sz w:val="22"/>
          <w:szCs w:val="22"/>
        </w:rPr>
        <w:t xml:space="preserve"> in proximity</w:t>
      </w:r>
      <w:r w:rsidR="000E6656" w:rsidRPr="00C51F57">
        <w:rPr>
          <w:sz w:val="22"/>
          <w:szCs w:val="22"/>
        </w:rPr>
        <w:t xml:space="preserve"> of the producing wells Shaikan</w:t>
      </w:r>
      <w:r w:rsidR="009D6E63" w:rsidRPr="00C51F57">
        <w:rPr>
          <w:sz w:val="22"/>
          <w:szCs w:val="22"/>
        </w:rPr>
        <w:t xml:space="preserve"> </w:t>
      </w:r>
      <w:r w:rsidR="000E6656" w:rsidRPr="00C51F57">
        <w:rPr>
          <w:sz w:val="22"/>
          <w:szCs w:val="22"/>
        </w:rPr>
        <w:t xml:space="preserve">1 and </w:t>
      </w:r>
      <w:r w:rsidR="00A3370E" w:rsidRPr="00C51F57">
        <w:rPr>
          <w:sz w:val="22"/>
          <w:szCs w:val="22"/>
        </w:rPr>
        <w:t>3, will explore the mid to lower Triassic</w:t>
      </w:r>
      <w:r w:rsidR="009D6E63" w:rsidRPr="00C51F57">
        <w:rPr>
          <w:sz w:val="22"/>
          <w:szCs w:val="22"/>
        </w:rPr>
        <w:t>,</w:t>
      </w:r>
      <w:r w:rsidR="00A3370E" w:rsidRPr="00C51F57">
        <w:rPr>
          <w:sz w:val="22"/>
          <w:szCs w:val="22"/>
        </w:rPr>
        <w:t xml:space="preserve"> a</w:t>
      </w:r>
      <w:r w:rsidR="000E6656" w:rsidRPr="00C51F57">
        <w:rPr>
          <w:sz w:val="22"/>
          <w:szCs w:val="22"/>
        </w:rPr>
        <w:t>nd</w:t>
      </w:r>
      <w:r w:rsidR="009D6E63" w:rsidRPr="00C51F57">
        <w:rPr>
          <w:sz w:val="22"/>
          <w:szCs w:val="22"/>
        </w:rPr>
        <w:t xml:space="preserve"> potentially</w:t>
      </w:r>
      <w:r w:rsidR="00A3370E" w:rsidRPr="00C51F57">
        <w:rPr>
          <w:sz w:val="22"/>
          <w:szCs w:val="22"/>
        </w:rPr>
        <w:t xml:space="preserve"> </w:t>
      </w:r>
      <w:r w:rsidR="009D6E63" w:rsidRPr="00C51F57">
        <w:rPr>
          <w:sz w:val="22"/>
          <w:szCs w:val="22"/>
        </w:rPr>
        <w:t xml:space="preserve">the </w:t>
      </w:r>
      <w:r w:rsidR="00A3370E" w:rsidRPr="00C51F57">
        <w:rPr>
          <w:sz w:val="22"/>
          <w:szCs w:val="22"/>
        </w:rPr>
        <w:t>Permian</w:t>
      </w:r>
      <w:r w:rsidR="009D6E63" w:rsidRPr="00C51F57">
        <w:rPr>
          <w:sz w:val="22"/>
          <w:szCs w:val="22"/>
        </w:rPr>
        <w:t>,</w:t>
      </w:r>
      <w:r w:rsidR="00A3370E" w:rsidRPr="00C51F57">
        <w:rPr>
          <w:sz w:val="22"/>
          <w:szCs w:val="22"/>
        </w:rPr>
        <w:t xml:space="preserve"> horizons of the Shaikan structure. Potential additional oil volumes exist in the Cretaceous formation to the north of the field, which </w:t>
      </w:r>
      <w:r w:rsidR="009D6E63" w:rsidRPr="00C51F57">
        <w:rPr>
          <w:sz w:val="22"/>
          <w:szCs w:val="22"/>
        </w:rPr>
        <w:t xml:space="preserve">the company </w:t>
      </w:r>
      <w:r w:rsidR="00A3370E" w:rsidRPr="00C51F57">
        <w:rPr>
          <w:sz w:val="22"/>
          <w:szCs w:val="22"/>
        </w:rPr>
        <w:t>ha</w:t>
      </w:r>
      <w:r w:rsidR="009D6E63" w:rsidRPr="00C51F57">
        <w:rPr>
          <w:sz w:val="22"/>
          <w:szCs w:val="22"/>
        </w:rPr>
        <w:t>s</w:t>
      </w:r>
      <w:r w:rsidR="00A3370E" w:rsidRPr="00C51F57">
        <w:rPr>
          <w:sz w:val="22"/>
          <w:szCs w:val="22"/>
        </w:rPr>
        <w:t xml:space="preserve"> not </w:t>
      </w:r>
      <w:r w:rsidR="009D6E63" w:rsidRPr="00C51F57">
        <w:rPr>
          <w:sz w:val="22"/>
          <w:szCs w:val="22"/>
        </w:rPr>
        <w:t>yet</w:t>
      </w:r>
      <w:r w:rsidR="00A3370E" w:rsidRPr="00C51F57">
        <w:rPr>
          <w:sz w:val="22"/>
          <w:szCs w:val="22"/>
        </w:rPr>
        <w:t xml:space="preserve"> accounted for.</w:t>
      </w:r>
    </w:p>
    <w:p w14:paraId="5A4BA201" w14:textId="38A4E2E8" w:rsidR="00797A22" w:rsidRPr="00C51F57" w:rsidRDefault="00797A22" w:rsidP="00797A22">
      <w:pPr>
        <w:pStyle w:val="dg"/>
        <w:shd w:val="clear" w:color="auto" w:fill="FFFFFF"/>
        <w:spacing w:before="240" w:beforeAutospacing="0" w:after="240" w:afterAutospacing="0" w:line="276" w:lineRule="auto"/>
        <w:rPr>
          <w:sz w:val="22"/>
          <w:szCs w:val="22"/>
        </w:rPr>
      </w:pPr>
      <w:r w:rsidRPr="00C51F57">
        <w:rPr>
          <w:sz w:val="22"/>
          <w:szCs w:val="22"/>
        </w:rPr>
        <w:t xml:space="preserve">In addition </w:t>
      </w:r>
      <w:r w:rsidR="003F2837" w:rsidRPr="00C51F57">
        <w:rPr>
          <w:sz w:val="22"/>
          <w:szCs w:val="22"/>
        </w:rPr>
        <w:t>to</w:t>
      </w:r>
      <w:r w:rsidRPr="00C51F57">
        <w:rPr>
          <w:sz w:val="22"/>
          <w:szCs w:val="22"/>
        </w:rPr>
        <w:t xml:space="preserve"> Shaikan</w:t>
      </w:r>
      <w:r w:rsidR="003F2837" w:rsidRPr="00C51F57">
        <w:rPr>
          <w:sz w:val="22"/>
          <w:szCs w:val="22"/>
        </w:rPr>
        <w:t>,</w:t>
      </w:r>
      <w:r w:rsidRPr="00C51F57">
        <w:rPr>
          <w:sz w:val="22"/>
          <w:szCs w:val="22"/>
        </w:rPr>
        <w:t xml:space="preserve"> GKP made two </w:t>
      </w:r>
      <w:r w:rsidR="003F2837" w:rsidRPr="00C51F57">
        <w:rPr>
          <w:sz w:val="22"/>
          <w:szCs w:val="22"/>
        </w:rPr>
        <w:t>further</w:t>
      </w:r>
      <w:r w:rsidRPr="00C51F57">
        <w:rPr>
          <w:sz w:val="22"/>
          <w:szCs w:val="22"/>
        </w:rPr>
        <w:t xml:space="preserve"> discoveries in</w:t>
      </w:r>
      <w:r w:rsidR="003F2837" w:rsidRPr="00C51F57">
        <w:rPr>
          <w:sz w:val="22"/>
          <w:szCs w:val="22"/>
        </w:rPr>
        <w:t xml:space="preserve"> the</w:t>
      </w:r>
      <w:r w:rsidRPr="00C51F57">
        <w:rPr>
          <w:sz w:val="22"/>
          <w:szCs w:val="22"/>
        </w:rPr>
        <w:t xml:space="preserve"> last 12 months</w:t>
      </w:r>
      <w:r w:rsidR="003F2837" w:rsidRPr="00C51F57">
        <w:rPr>
          <w:sz w:val="22"/>
          <w:szCs w:val="22"/>
        </w:rPr>
        <w:t>: a Jurassic discovery on the c</w:t>
      </w:r>
      <w:r w:rsidRPr="00C51F57">
        <w:rPr>
          <w:sz w:val="22"/>
          <w:szCs w:val="22"/>
        </w:rPr>
        <w:t xml:space="preserve">ompany-operated Sheikh Adi </w:t>
      </w:r>
      <w:r w:rsidR="003F2837" w:rsidRPr="00C51F57">
        <w:rPr>
          <w:sz w:val="22"/>
          <w:szCs w:val="22"/>
        </w:rPr>
        <w:t>B</w:t>
      </w:r>
      <w:r w:rsidRPr="00C51F57">
        <w:rPr>
          <w:sz w:val="22"/>
          <w:szCs w:val="22"/>
        </w:rPr>
        <w:t xml:space="preserve">lock and a new Triassic discovery on the Akri-Bijeel </w:t>
      </w:r>
      <w:r w:rsidR="005B03B8" w:rsidRPr="00C51F57">
        <w:rPr>
          <w:sz w:val="22"/>
          <w:szCs w:val="22"/>
        </w:rPr>
        <w:t>Block</w:t>
      </w:r>
      <w:r w:rsidRPr="00C51F57">
        <w:rPr>
          <w:sz w:val="22"/>
          <w:szCs w:val="22"/>
        </w:rPr>
        <w:t xml:space="preserve"> operated by </w:t>
      </w:r>
      <w:r w:rsidR="002E1F54" w:rsidRPr="00C51F57">
        <w:rPr>
          <w:sz w:val="22"/>
          <w:szCs w:val="22"/>
          <w:shd w:val="clear" w:color="auto" w:fill="FFFFFF"/>
        </w:rPr>
        <w:t>Kalegran</w:t>
      </w:r>
      <w:r w:rsidRPr="00C51F57">
        <w:rPr>
          <w:sz w:val="22"/>
          <w:szCs w:val="22"/>
        </w:rPr>
        <w:t xml:space="preserve">. </w:t>
      </w:r>
      <w:r w:rsidR="004E73F4" w:rsidRPr="00C51F57">
        <w:rPr>
          <w:sz w:val="22"/>
          <w:szCs w:val="22"/>
        </w:rPr>
        <w:t>In November</w:t>
      </w:r>
      <w:r w:rsidR="00FC7148" w:rsidRPr="00C51F57">
        <w:rPr>
          <w:sz w:val="22"/>
          <w:szCs w:val="22"/>
        </w:rPr>
        <w:t>,</w:t>
      </w:r>
      <w:r w:rsidR="00FC7148" w:rsidRPr="00C51F57">
        <w:rPr>
          <w:sz w:val="22"/>
          <w:szCs w:val="22"/>
          <w:shd w:val="clear" w:color="auto" w:fill="FFFFFF"/>
        </w:rPr>
        <w:t xml:space="preserve"> Akri-Bijeel block was</w:t>
      </w:r>
      <w:r w:rsidR="004E73F4" w:rsidRPr="00C51F57">
        <w:rPr>
          <w:sz w:val="22"/>
          <w:szCs w:val="22"/>
          <w:shd w:val="clear" w:color="auto" w:fill="FFFFFF"/>
        </w:rPr>
        <w:t xml:space="preserve"> declared commercial. </w:t>
      </w:r>
      <w:r w:rsidR="002E1F54" w:rsidRPr="00C51F57">
        <w:rPr>
          <w:sz w:val="22"/>
          <w:szCs w:val="22"/>
          <w:shd w:val="clear" w:color="auto" w:fill="FFFFFF"/>
        </w:rPr>
        <w:t>Kalegran</w:t>
      </w:r>
      <w:r w:rsidR="004E73F4" w:rsidRPr="00C51F57">
        <w:rPr>
          <w:sz w:val="22"/>
          <w:szCs w:val="22"/>
          <w:shd w:val="clear" w:color="auto" w:fill="FFFFFF"/>
        </w:rPr>
        <w:t xml:space="preserve"> </w:t>
      </w:r>
      <w:r w:rsidR="004E73F4" w:rsidRPr="00C51F57">
        <w:rPr>
          <w:bCs/>
          <w:sz w:val="22"/>
          <w:szCs w:val="22"/>
          <w:shd w:val="clear" w:color="auto" w:fill="FFFFFF"/>
        </w:rPr>
        <w:t>is accelerating its work program through employing additional rigs and plans to submit the Field Development Plan for the whole block by the end of 2014.</w:t>
      </w:r>
      <w:r w:rsidR="00C84112" w:rsidRPr="00C51F57">
        <w:rPr>
          <w:bCs/>
          <w:sz w:val="22"/>
          <w:szCs w:val="22"/>
          <w:shd w:val="clear" w:color="auto" w:fill="FFFFFF"/>
        </w:rPr>
        <w:t xml:space="preserve"> </w:t>
      </w:r>
      <w:r w:rsidR="00146A1B" w:rsidRPr="00C51F57">
        <w:rPr>
          <w:sz w:val="22"/>
          <w:szCs w:val="22"/>
          <w:shd w:val="clear" w:color="auto" w:fill="FFFFFF"/>
        </w:rPr>
        <w:t>The Bijeel Field facility is capable of handling up to 10,000 barrels of oil per day.</w:t>
      </w:r>
      <w:r w:rsidR="00146A1B" w:rsidRPr="00C51F57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3F2837" w:rsidRPr="00C51F57">
        <w:rPr>
          <w:sz w:val="22"/>
          <w:szCs w:val="22"/>
        </w:rPr>
        <w:t xml:space="preserve">The </w:t>
      </w:r>
      <w:r w:rsidRPr="00C51F57">
        <w:rPr>
          <w:sz w:val="22"/>
          <w:szCs w:val="22"/>
        </w:rPr>
        <w:t>Sh</w:t>
      </w:r>
      <w:r w:rsidR="003F2837" w:rsidRPr="00C51F57">
        <w:rPr>
          <w:sz w:val="22"/>
          <w:szCs w:val="22"/>
        </w:rPr>
        <w:t>eikh Adi B</w:t>
      </w:r>
      <w:r w:rsidR="000E6656" w:rsidRPr="00C51F57">
        <w:rPr>
          <w:sz w:val="22"/>
          <w:szCs w:val="22"/>
        </w:rPr>
        <w:t>lock located next to</w:t>
      </w:r>
      <w:r w:rsidRPr="00C51F57">
        <w:rPr>
          <w:sz w:val="22"/>
          <w:szCs w:val="22"/>
        </w:rPr>
        <w:t xml:space="preserve"> </w:t>
      </w:r>
      <w:r w:rsidR="003F2837" w:rsidRPr="00C51F57">
        <w:rPr>
          <w:sz w:val="22"/>
          <w:szCs w:val="22"/>
        </w:rPr>
        <w:t>the Shaikan B</w:t>
      </w:r>
      <w:r w:rsidRPr="00C51F57">
        <w:rPr>
          <w:sz w:val="22"/>
          <w:szCs w:val="22"/>
        </w:rPr>
        <w:t>lock has</w:t>
      </w:r>
      <w:r w:rsidR="00A46E5D" w:rsidRPr="00C51F57">
        <w:rPr>
          <w:sz w:val="22"/>
          <w:szCs w:val="22"/>
        </w:rPr>
        <w:t xml:space="preserve"> a</w:t>
      </w:r>
      <w:r w:rsidRPr="00C51F57">
        <w:rPr>
          <w:sz w:val="22"/>
          <w:szCs w:val="22"/>
        </w:rPr>
        <w:t xml:space="preserve"> well-developed system of natural fractures similar to Shaikan. GKP initially estimated gross oil-in-place in a range of between 1</w:t>
      </w:r>
      <w:r w:rsidR="009D6E63" w:rsidRPr="00C51F57">
        <w:rPr>
          <w:sz w:val="22"/>
          <w:szCs w:val="22"/>
        </w:rPr>
        <w:t>bn to 3</w:t>
      </w:r>
      <w:r w:rsidRPr="00C51F57">
        <w:rPr>
          <w:sz w:val="22"/>
          <w:szCs w:val="22"/>
        </w:rPr>
        <w:t xml:space="preserve">bn barrels of oil which will </w:t>
      </w:r>
      <w:r w:rsidR="00A46E5D" w:rsidRPr="00C51F57">
        <w:rPr>
          <w:sz w:val="22"/>
          <w:szCs w:val="22"/>
        </w:rPr>
        <w:t>be</w:t>
      </w:r>
      <w:r w:rsidRPr="00C51F57">
        <w:rPr>
          <w:sz w:val="22"/>
          <w:szCs w:val="22"/>
        </w:rPr>
        <w:t xml:space="preserve"> revised on exploration.</w:t>
      </w:r>
    </w:p>
    <w:p w14:paraId="2292F794" w14:textId="60C4FC0D" w:rsidR="00DB1712" w:rsidRPr="00C51F57" w:rsidRDefault="00B128CD" w:rsidP="006B6021">
      <w:pPr>
        <w:pStyle w:val="dg"/>
        <w:shd w:val="clear" w:color="auto" w:fill="FFFFFF"/>
        <w:spacing w:before="240" w:beforeAutospacing="0" w:after="240" w:afterAutospacing="0" w:line="276" w:lineRule="auto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</w:rPr>
        <w:t>One of the big</w:t>
      </w:r>
      <w:r w:rsidR="008C2BDE" w:rsidRPr="00C51F57">
        <w:rPr>
          <w:sz w:val="22"/>
          <w:szCs w:val="22"/>
        </w:rPr>
        <w:t>gest</w:t>
      </w:r>
      <w:r w:rsidRPr="00C51F57">
        <w:rPr>
          <w:sz w:val="22"/>
          <w:szCs w:val="22"/>
        </w:rPr>
        <w:t xml:space="preserve"> problem</w:t>
      </w:r>
      <w:r w:rsidR="008269C5" w:rsidRPr="00C51F57">
        <w:rPr>
          <w:sz w:val="22"/>
          <w:szCs w:val="22"/>
        </w:rPr>
        <w:t>s</w:t>
      </w:r>
      <w:r w:rsidRPr="00C51F57">
        <w:rPr>
          <w:sz w:val="22"/>
          <w:szCs w:val="22"/>
        </w:rPr>
        <w:t xml:space="preserve"> GKP faced since its existence in Kurdistan is a ban o</w:t>
      </w:r>
      <w:r w:rsidR="004E343C" w:rsidRPr="00C51F57">
        <w:rPr>
          <w:sz w:val="22"/>
          <w:szCs w:val="22"/>
        </w:rPr>
        <w:t>n oil exports caused by dispute on oil sharing revenue</w:t>
      </w:r>
      <w:r w:rsidRPr="00C51F57">
        <w:rPr>
          <w:sz w:val="22"/>
          <w:szCs w:val="22"/>
        </w:rPr>
        <w:t xml:space="preserve"> between th</w:t>
      </w:r>
      <w:r w:rsidR="009D6E63" w:rsidRPr="00C51F57">
        <w:rPr>
          <w:sz w:val="22"/>
          <w:szCs w:val="22"/>
        </w:rPr>
        <w:t>e Kurdistan Regional Government and Iraq's Central G</w:t>
      </w:r>
      <w:r w:rsidRPr="00C51F57">
        <w:rPr>
          <w:sz w:val="22"/>
          <w:szCs w:val="22"/>
        </w:rPr>
        <w:t xml:space="preserve">overnment. Kurdistan is </w:t>
      </w:r>
      <w:r w:rsidR="002558AD" w:rsidRPr="00C51F57">
        <w:rPr>
          <w:sz w:val="22"/>
          <w:szCs w:val="22"/>
        </w:rPr>
        <w:t xml:space="preserve">resolving this issue by </w:t>
      </w:r>
      <w:r w:rsidRPr="00C51F57">
        <w:rPr>
          <w:sz w:val="22"/>
          <w:szCs w:val="22"/>
        </w:rPr>
        <w:t xml:space="preserve">developing a new pipeline </w:t>
      </w:r>
      <w:r w:rsidRPr="00C51F57">
        <w:rPr>
          <w:sz w:val="22"/>
          <w:szCs w:val="22"/>
          <w:shd w:val="clear" w:color="auto" w:fill="FFFFFF"/>
        </w:rPr>
        <w:t>with initial capacity of 300,000 bopd</w:t>
      </w:r>
      <w:r w:rsidR="008269C5" w:rsidRPr="00C51F57">
        <w:rPr>
          <w:sz w:val="22"/>
          <w:szCs w:val="22"/>
          <w:shd w:val="clear" w:color="auto" w:fill="FFFFFF"/>
        </w:rPr>
        <w:t>.</w:t>
      </w:r>
      <w:r w:rsidRPr="00C51F57">
        <w:rPr>
          <w:sz w:val="22"/>
          <w:szCs w:val="22"/>
          <w:shd w:val="clear" w:color="auto" w:fill="FFFFFF"/>
        </w:rPr>
        <w:t xml:space="preserve"> </w:t>
      </w:r>
      <w:r w:rsidR="008269C5" w:rsidRPr="00C51F57">
        <w:rPr>
          <w:sz w:val="22"/>
          <w:szCs w:val="22"/>
          <w:shd w:val="clear" w:color="auto" w:fill="FFFFFF"/>
        </w:rPr>
        <w:t xml:space="preserve">The pipeline is </w:t>
      </w:r>
      <w:r w:rsidR="00E4725E" w:rsidRPr="00C51F57">
        <w:rPr>
          <w:sz w:val="22"/>
          <w:szCs w:val="22"/>
          <w:shd w:val="clear" w:color="auto" w:fill="FFFFFF"/>
        </w:rPr>
        <w:t xml:space="preserve">completed and oil from Kurdistan has started flowing via a new pipeline to the Turkish Mediterranean </w:t>
      </w:r>
      <w:r w:rsidR="00FC7148" w:rsidRPr="00C51F57">
        <w:rPr>
          <w:sz w:val="22"/>
          <w:szCs w:val="22"/>
          <w:shd w:val="clear" w:color="auto" w:fill="FFFFFF"/>
        </w:rPr>
        <w:t xml:space="preserve">export hub of Ceyhan but cannot be </w:t>
      </w:r>
      <w:r w:rsidR="00E4725E" w:rsidRPr="00C51F57">
        <w:rPr>
          <w:sz w:val="22"/>
          <w:szCs w:val="22"/>
          <w:shd w:val="clear" w:color="auto" w:fill="FFFFFF"/>
        </w:rPr>
        <w:t>shipped to the world markets without the consent of Iraqi government</w:t>
      </w:r>
      <w:r w:rsidR="008C2BDE" w:rsidRPr="00C51F57">
        <w:rPr>
          <w:sz w:val="22"/>
          <w:szCs w:val="22"/>
          <w:shd w:val="clear" w:color="auto" w:fill="FFFFFF"/>
        </w:rPr>
        <w:t xml:space="preserve">. </w:t>
      </w:r>
      <w:r w:rsidR="00E4725E" w:rsidRPr="00C51F57">
        <w:rPr>
          <w:sz w:val="22"/>
          <w:szCs w:val="22"/>
          <w:shd w:val="clear" w:color="auto" w:fill="FFFFFF"/>
        </w:rPr>
        <w:t xml:space="preserve">Turkey has been working to get the </w:t>
      </w:r>
      <w:r w:rsidR="00955AEF" w:rsidRPr="00C51F57">
        <w:rPr>
          <w:sz w:val="22"/>
          <w:szCs w:val="22"/>
          <w:shd w:val="clear" w:color="auto" w:fill="FFFFFF"/>
        </w:rPr>
        <w:t xml:space="preserve">Iraq </w:t>
      </w:r>
      <w:r w:rsidR="00E4725E" w:rsidRPr="00C51F57">
        <w:rPr>
          <w:sz w:val="22"/>
          <w:szCs w:val="22"/>
          <w:shd w:val="clear" w:color="auto" w:fill="FFFFFF"/>
        </w:rPr>
        <w:t xml:space="preserve">central government on board before exports start. </w:t>
      </w:r>
      <w:r w:rsidR="008C2BDE" w:rsidRPr="00C51F57">
        <w:rPr>
          <w:sz w:val="22"/>
          <w:szCs w:val="22"/>
          <w:shd w:val="clear" w:color="auto" w:fill="FFFFFF"/>
        </w:rPr>
        <w:t xml:space="preserve">By 2015 the </w:t>
      </w:r>
      <w:r w:rsidR="00E4725E" w:rsidRPr="00C51F57">
        <w:rPr>
          <w:sz w:val="22"/>
          <w:szCs w:val="22"/>
          <w:shd w:val="clear" w:color="auto" w:fill="FFFFFF"/>
        </w:rPr>
        <w:t xml:space="preserve">pipeline </w:t>
      </w:r>
      <w:r w:rsidR="008C2BDE" w:rsidRPr="00C51F57">
        <w:rPr>
          <w:sz w:val="22"/>
          <w:szCs w:val="22"/>
          <w:shd w:val="clear" w:color="auto" w:fill="FFFFFF"/>
        </w:rPr>
        <w:t xml:space="preserve">capacity will increase to 1m bopd. </w:t>
      </w:r>
    </w:p>
    <w:p w14:paraId="7B309BDD" w14:textId="7D54B1E7" w:rsidR="00B128CD" w:rsidRPr="00C51F57" w:rsidRDefault="00FC7148" w:rsidP="006B6021">
      <w:pPr>
        <w:pStyle w:val="dg"/>
        <w:shd w:val="clear" w:color="auto" w:fill="FFFFFF"/>
        <w:spacing w:before="240" w:beforeAutospacing="0" w:after="240" w:afterAutospacing="0" w:line="276" w:lineRule="auto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  <w:shd w:val="clear" w:color="auto" w:fill="FFFFFF"/>
        </w:rPr>
        <w:t xml:space="preserve">GKP </w:t>
      </w:r>
      <w:r w:rsidR="00DB1712" w:rsidRPr="00C51F57">
        <w:rPr>
          <w:sz w:val="22"/>
          <w:szCs w:val="22"/>
          <w:shd w:val="clear" w:color="auto" w:fill="FFFFFF"/>
        </w:rPr>
        <w:t xml:space="preserve">exported its first cargo of </w:t>
      </w:r>
      <w:r w:rsidR="00DB1712" w:rsidRPr="00C51F57">
        <w:rPr>
          <w:sz w:val="22"/>
          <w:szCs w:val="22"/>
        </w:rPr>
        <w:t>Shaikan crude</w:t>
      </w:r>
      <w:r w:rsidRPr="00C51F57">
        <w:rPr>
          <w:sz w:val="22"/>
          <w:szCs w:val="22"/>
        </w:rPr>
        <w:t>,</w:t>
      </w:r>
      <w:r w:rsidR="00DB1712" w:rsidRPr="00C51F57">
        <w:rPr>
          <w:sz w:val="22"/>
          <w:szCs w:val="22"/>
        </w:rPr>
        <w:t xml:space="preserve"> between 198,300 and 215,000 barrels of oil</w:t>
      </w:r>
      <w:r w:rsidRPr="00C51F57">
        <w:rPr>
          <w:sz w:val="22"/>
          <w:szCs w:val="22"/>
        </w:rPr>
        <w:t>,</w:t>
      </w:r>
      <w:r w:rsidR="00DB1712" w:rsidRPr="00C51F57">
        <w:rPr>
          <w:sz w:val="22"/>
          <w:szCs w:val="22"/>
        </w:rPr>
        <w:t xml:space="preserve"> via Turkey in December and will export two more cargoes of similar quantity </w:t>
      </w:r>
      <w:r w:rsidR="00CF7BB3" w:rsidRPr="00C51F57">
        <w:rPr>
          <w:sz w:val="22"/>
          <w:szCs w:val="22"/>
        </w:rPr>
        <w:t>in January and February</w:t>
      </w:r>
      <w:r w:rsidRPr="00C51F57">
        <w:rPr>
          <w:sz w:val="22"/>
          <w:szCs w:val="22"/>
        </w:rPr>
        <w:t>. This</w:t>
      </w:r>
      <w:r w:rsidR="00CF7BB3" w:rsidRPr="00C51F57">
        <w:rPr>
          <w:sz w:val="22"/>
          <w:szCs w:val="22"/>
        </w:rPr>
        <w:t xml:space="preserve"> is symbolic</w:t>
      </w:r>
      <w:r w:rsidR="001A547F" w:rsidRPr="00C51F57">
        <w:rPr>
          <w:sz w:val="22"/>
          <w:szCs w:val="22"/>
        </w:rPr>
        <w:t>,</w:t>
      </w:r>
      <w:r w:rsidR="00CF7BB3" w:rsidRPr="00C51F57">
        <w:rPr>
          <w:sz w:val="22"/>
          <w:szCs w:val="22"/>
        </w:rPr>
        <w:t xml:space="preserve"> as it </w:t>
      </w:r>
      <w:r w:rsidRPr="00C51F57">
        <w:rPr>
          <w:sz w:val="22"/>
          <w:szCs w:val="22"/>
        </w:rPr>
        <w:t>has passed</w:t>
      </w:r>
      <w:r w:rsidR="00CF7BB3" w:rsidRPr="00C51F57">
        <w:rPr>
          <w:sz w:val="22"/>
          <w:szCs w:val="22"/>
        </w:rPr>
        <w:t xml:space="preserve"> </w:t>
      </w:r>
      <w:r w:rsidR="00DB1712" w:rsidRPr="00C51F57">
        <w:rPr>
          <w:sz w:val="22"/>
          <w:szCs w:val="22"/>
        </w:rPr>
        <w:t xml:space="preserve">its biggest hurdle of exports </w:t>
      </w:r>
      <w:r w:rsidR="00CF7BB3" w:rsidRPr="00C51F57">
        <w:rPr>
          <w:sz w:val="22"/>
          <w:szCs w:val="22"/>
        </w:rPr>
        <w:t xml:space="preserve">despite Kurdistan and Iraq disputing on oil sharing revenue. </w:t>
      </w:r>
      <w:r w:rsidR="008C2BDE" w:rsidRPr="00C51F57">
        <w:rPr>
          <w:sz w:val="22"/>
          <w:szCs w:val="22"/>
          <w:shd w:val="clear" w:color="auto" w:fill="FFFFFF"/>
        </w:rPr>
        <w:t xml:space="preserve">GKP </w:t>
      </w:r>
      <w:r w:rsidR="00CF7BB3" w:rsidRPr="00C51F57">
        <w:rPr>
          <w:sz w:val="22"/>
          <w:szCs w:val="22"/>
          <w:shd w:val="clear" w:color="auto" w:fill="FFFFFF"/>
        </w:rPr>
        <w:t xml:space="preserve">is </w:t>
      </w:r>
      <w:r w:rsidR="008C2BDE" w:rsidRPr="00C51F57">
        <w:rPr>
          <w:sz w:val="22"/>
          <w:szCs w:val="22"/>
          <w:shd w:val="clear" w:color="auto" w:fill="FFFFFF"/>
        </w:rPr>
        <w:t>export</w:t>
      </w:r>
      <w:r w:rsidR="00CF7BB3" w:rsidRPr="00C51F57">
        <w:rPr>
          <w:sz w:val="22"/>
          <w:szCs w:val="22"/>
          <w:shd w:val="clear" w:color="auto" w:fill="FFFFFF"/>
        </w:rPr>
        <w:t>ing</w:t>
      </w:r>
      <w:r w:rsidR="008C2BDE" w:rsidRPr="00C51F57">
        <w:rPr>
          <w:sz w:val="22"/>
          <w:szCs w:val="22"/>
          <w:shd w:val="clear" w:color="auto" w:fill="FFFFFF"/>
        </w:rPr>
        <w:t xml:space="preserve"> </w:t>
      </w:r>
      <w:r w:rsidR="009D6E63" w:rsidRPr="00C51F57">
        <w:rPr>
          <w:sz w:val="22"/>
          <w:szCs w:val="22"/>
          <w:shd w:val="clear" w:color="auto" w:fill="FFFFFF"/>
        </w:rPr>
        <w:t>via</w:t>
      </w:r>
      <w:r w:rsidR="008C2BDE" w:rsidRPr="00C51F57">
        <w:rPr>
          <w:sz w:val="22"/>
          <w:szCs w:val="22"/>
          <w:shd w:val="clear" w:color="auto" w:fill="FFFFFF"/>
        </w:rPr>
        <w:t xml:space="preserve"> truck whil</w:t>
      </w:r>
      <w:r w:rsidR="009D6E63" w:rsidRPr="00C51F57">
        <w:rPr>
          <w:sz w:val="22"/>
          <w:szCs w:val="22"/>
          <w:shd w:val="clear" w:color="auto" w:fill="FFFFFF"/>
        </w:rPr>
        <w:t>e</w:t>
      </w:r>
      <w:r w:rsidR="008C2BDE" w:rsidRPr="00C51F57">
        <w:rPr>
          <w:sz w:val="22"/>
          <w:szCs w:val="22"/>
          <w:shd w:val="clear" w:color="auto" w:fill="FFFFFF"/>
        </w:rPr>
        <w:t xml:space="preserve"> </w:t>
      </w:r>
      <w:r w:rsidR="0081514B" w:rsidRPr="00C51F57">
        <w:rPr>
          <w:sz w:val="22"/>
          <w:szCs w:val="22"/>
          <w:shd w:val="clear" w:color="auto" w:fill="FFFFFF"/>
        </w:rPr>
        <w:t xml:space="preserve">its </w:t>
      </w:r>
      <w:r w:rsidR="008C2BDE" w:rsidRPr="00C51F57">
        <w:rPr>
          <w:sz w:val="22"/>
          <w:szCs w:val="22"/>
          <w:shd w:val="clear" w:color="auto" w:fill="FFFFFF"/>
        </w:rPr>
        <w:t>10km Shaikan</w:t>
      </w:r>
      <w:r w:rsidR="0081514B" w:rsidRPr="00C51F57">
        <w:rPr>
          <w:sz w:val="22"/>
          <w:szCs w:val="22"/>
          <w:shd w:val="clear" w:color="auto" w:fill="FFFFFF"/>
        </w:rPr>
        <w:t xml:space="preserve"> pipeline is</w:t>
      </w:r>
      <w:r w:rsidR="008C2BDE" w:rsidRPr="00C51F57">
        <w:rPr>
          <w:sz w:val="22"/>
          <w:szCs w:val="22"/>
          <w:shd w:val="clear" w:color="auto" w:fill="FFFFFF"/>
        </w:rPr>
        <w:t xml:space="preserve"> constructed</w:t>
      </w:r>
      <w:r w:rsidR="001A547F" w:rsidRPr="00C51F57">
        <w:rPr>
          <w:sz w:val="22"/>
          <w:szCs w:val="22"/>
          <w:shd w:val="clear" w:color="auto" w:fill="FFFFFF"/>
        </w:rPr>
        <w:t>. This will eventually connect</w:t>
      </w:r>
      <w:r w:rsidR="008C2BDE" w:rsidRPr="00C51F57">
        <w:rPr>
          <w:sz w:val="22"/>
          <w:szCs w:val="22"/>
          <w:shd w:val="clear" w:color="auto" w:fill="FFFFFF"/>
        </w:rPr>
        <w:t xml:space="preserve"> Shaikan to the export pipeline to Turkey.</w:t>
      </w:r>
    </w:p>
    <w:p w14:paraId="12D868D8" w14:textId="77777777" w:rsidR="00625F3E" w:rsidRPr="00C51F57" w:rsidRDefault="00625F3E" w:rsidP="00625F3E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</w:rPr>
        <w:lastRenderedPageBreak/>
        <w:t>GKP has resolved the shareholder revolt concerning poor corporate governance and excessive executive pay by appointing four new non-executive directors proposed by shareholders in the AGM.</w:t>
      </w:r>
      <w:r w:rsidRPr="00C51F57">
        <w:rPr>
          <w:sz w:val="22"/>
          <w:szCs w:val="22"/>
          <w:shd w:val="clear" w:color="auto" w:fill="FFFFFF"/>
        </w:rPr>
        <w:t xml:space="preserve"> </w:t>
      </w:r>
      <w:r w:rsidR="00FE16B5" w:rsidRPr="00C51F57">
        <w:rPr>
          <w:sz w:val="22"/>
          <w:szCs w:val="22"/>
          <w:shd w:val="clear" w:color="auto" w:fill="FFFFFF"/>
        </w:rPr>
        <w:t xml:space="preserve">This has removed </w:t>
      </w:r>
      <w:r w:rsidRPr="00C51F57">
        <w:rPr>
          <w:sz w:val="22"/>
          <w:szCs w:val="22"/>
          <w:shd w:val="clear" w:color="auto" w:fill="FFFFFF"/>
        </w:rPr>
        <w:t xml:space="preserve">uncertainty regarding GKP’s corporate governance suggesting it is serious about developing the Kurdistan portfolio and listing on FTSE 100/250. </w:t>
      </w:r>
    </w:p>
    <w:p w14:paraId="133AEE2E" w14:textId="77777777" w:rsidR="0070237D" w:rsidRPr="00C51F57" w:rsidRDefault="0070237D" w:rsidP="0070237D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</w:rPr>
        <w:t xml:space="preserve">There was speculation in April 2013 that the court case against GKP was a done deal when CEO Kozel </w:t>
      </w:r>
      <w:r w:rsidRPr="00C51F57">
        <w:rPr>
          <w:sz w:val="22"/>
          <w:szCs w:val="22"/>
          <w:shd w:val="clear" w:color="auto" w:fill="FFFFFF"/>
        </w:rPr>
        <w:t xml:space="preserve">cut his shareholding by more than 40%, transferring 10 million of his 24 million shares to an unnamed third party, in settlement of a financing arrangement. This leaves him with almost 14 million in stock options and a paltry 255,004 shares held directly. Although not confirmed by the company the share transfer could be a part of divorce settlement agreed last year by Kozel to transfer 17 million of his shares to his ex-wife. The timing of the announcement has created uncertainty for the GKP share price. </w:t>
      </w:r>
    </w:p>
    <w:p w14:paraId="56D007AB" w14:textId="01420B23" w:rsidR="00A57BD4" w:rsidRPr="00C51F57" w:rsidRDefault="00FB312A" w:rsidP="00A57BD4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</w:rPr>
      </w:pPr>
      <w:r w:rsidRPr="00C51F57">
        <w:rPr>
          <w:sz w:val="22"/>
          <w:szCs w:val="22"/>
        </w:rPr>
        <w:t>Gul</w:t>
      </w:r>
      <w:r w:rsidR="001A547F" w:rsidRPr="00C51F57">
        <w:rPr>
          <w:sz w:val="22"/>
          <w:szCs w:val="22"/>
        </w:rPr>
        <w:t>f</w:t>
      </w:r>
      <w:r w:rsidRPr="00C51F57">
        <w:rPr>
          <w:sz w:val="22"/>
          <w:szCs w:val="22"/>
        </w:rPr>
        <w:t xml:space="preserve">Keystone </w:t>
      </w:r>
      <w:r w:rsidR="004E343C" w:rsidRPr="00C51F57">
        <w:rPr>
          <w:sz w:val="22"/>
          <w:szCs w:val="22"/>
        </w:rPr>
        <w:t xml:space="preserve">has </w:t>
      </w:r>
      <w:r w:rsidRPr="00C51F57">
        <w:rPr>
          <w:sz w:val="22"/>
          <w:szCs w:val="22"/>
        </w:rPr>
        <w:t xml:space="preserve">already won a court </w:t>
      </w:r>
      <w:r w:rsidR="001A0F83" w:rsidRPr="00C51F57">
        <w:rPr>
          <w:sz w:val="22"/>
          <w:szCs w:val="22"/>
        </w:rPr>
        <w:t>case against Excalibur Ventures</w:t>
      </w:r>
      <w:r w:rsidR="009E7EDE" w:rsidRPr="00C51F57">
        <w:rPr>
          <w:sz w:val="22"/>
          <w:szCs w:val="22"/>
        </w:rPr>
        <w:t xml:space="preserve">. Excalibur </w:t>
      </w:r>
      <w:r w:rsidR="00625F3E" w:rsidRPr="00C51F57">
        <w:rPr>
          <w:sz w:val="22"/>
          <w:szCs w:val="22"/>
        </w:rPr>
        <w:t xml:space="preserve">who were </w:t>
      </w:r>
      <w:r w:rsidRPr="00C51F57">
        <w:rPr>
          <w:sz w:val="22"/>
          <w:szCs w:val="22"/>
        </w:rPr>
        <w:t>backed by US litigation financiers Blackrobe, US hedge fund Hamilton and Psar</w:t>
      </w:r>
      <w:r w:rsidR="009E7EDE" w:rsidRPr="00C51F57">
        <w:rPr>
          <w:sz w:val="22"/>
          <w:szCs w:val="22"/>
        </w:rPr>
        <w:t xml:space="preserve"> will also pay Gul</w:t>
      </w:r>
      <w:r w:rsidR="001A547F" w:rsidRPr="00C51F57">
        <w:rPr>
          <w:sz w:val="22"/>
          <w:szCs w:val="22"/>
        </w:rPr>
        <w:t>f</w:t>
      </w:r>
      <w:r w:rsidR="009E7EDE" w:rsidRPr="00C51F57">
        <w:rPr>
          <w:sz w:val="22"/>
          <w:szCs w:val="22"/>
        </w:rPr>
        <w:t>keystone £13.9m defendant cost</w:t>
      </w:r>
      <w:r w:rsidR="001A547F" w:rsidRPr="00C51F57">
        <w:rPr>
          <w:sz w:val="22"/>
          <w:szCs w:val="22"/>
        </w:rPr>
        <w:t>s</w:t>
      </w:r>
      <w:r w:rsidR="00625F3E" w:rsidRPr="00C51F57">
        <w:rPr>
          <w:sz w:val="22"/>
          <w:szCs w:val="22"/>
        </w:rPr>
        <w:t>. Judgement in favour</w:t>
      </w:r>
      <w:r w:rsidRPr="00C51F57">
        <w:rPr>
          <w:sz w:val="22"/>
          <w:szCs w:val="22"/>
        </w:rPr>
        <w:t xml:space="preserve"> remov</w:t>
      </w:r>
      <w:r w:rsidR="00625F3E" w:rsidRPr="00C51F57">
        <w:rPr>
          <w:sz w:val="22"/>
          <w:szCs w:val="22"/>
        </w:rPr>
        <w:t>ed</w:t>
      </w:r>
      <w:r w:rsidRPr="00C51F57">
        <w:rPr>
          <w:sz w:val="22"/>
          <w:szCs w:val="22"/>
        </w:rPr>
        <w:t xml:space="preserve"> a legal shadow hanging over the company from </w:t>
      </w:r>
      <w:r w:rsidR="001A547F" w:rsidRPr="00C51F57">
        <w:rPr>
          <w:sz w:val="22"/>
          <w:szCs w:val="22"/>
        </w:rPr>
        <w:t xml:space="preserve">the </w:t>
      </w:r>
      <w:r w:rsidRPr="00C51F57">
        <w:rPr>
          <w:sz w:val="22"/>
          <w:szCs w:val="22"/>
        </w:rPr>
        <w:t xml:space="preserve">last </w:t>
      </w:r>
      <w:r w:rsidR="00564CD6" w:rsidRPr="00C51F57">
        <w:rPr>
          <w:sz w:val="22"/>
          <w:szCs w:val="22"/>
        </w:rPr>
        <w:t>three years</w:t>
      </w:r>
      <w:r w:rsidR="00625F3E" w:rsidRPr="00C51F57">
        <w:rPr>
          <w:sz w:val="22"/>
          <w:szCs w:val="22"/>
        </w:rPr>
        <w:t>; clearing</w:t>
      </w:r>
      <w:r w:rsidR="001A547F" w:rsidRPr="00C51F57">
        <w:rPr>
          <w:sz w:val="22"/>
          <w:szCs w:val="22"/>
        </w:rPr>
        <w:t xml:space="preserve"> the path for listing in the m</w:t>
      </w:r>
      <w:r w:rsidRPr="00C51F57">
        <w:rPr>
          <w:sz w:val="22"/>
          <w:szCs w:val="22"/>
        </w:rPr>
        <w:t xml:space="preserve">ain market </w:t>
      </w:r>
      <w:r w:rsidR="00564CD6" w:rsidRPr="00C51F57">
        <w:rPr>
          <w:sz w:val="22"/>
          <w:szCs w:val="22"/>
        </w:rPr>
        <w:t>in 2014</w:t>
      </w:r>
      <w:r w:rsidRPr="00C51F57">
        <w:rPr>
          <w:sz w:val="22"/>
          <w:szCs w:val="22"/>
        </w:rPr>
        <w:t xml:space="preserve"> and making it more attractive for potential suitors.</w:t>
      </w:r>
    </w:p>
    <w:p w14:paraId="05C3045D" w14:textId="144A73D0" w:rsidR="00FE16B5" w:rsidRPr="00C51F57" w:rsidRDefault="000E20BF" w:rsidP="00BB57CD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  <w:shd w:val="clear" w:color="auto" w:fill="FFFFFF"/>
        </w:rPr>
        <w:t xml:space="preserve">Apart from all the negative news garnered by GKP in last three years, </w:t>
      </w:r>
      <w:r w:rsidR="001D2EAF" w:rsidRPr="00C51F57">
        <w:rPr>
          <w:sz w:val="22"/>
          <w:szCs w:val="22"/>
          <w:shd w:val="clear" w:color="auto" w:fill="FFFFFF"/>
        </w:rPr>
        <w:t>it</w:t>
      </w:r>
      <w:r w:rsidR="0097721F" w:rsidRPr="00C51F57">
        <w:rPr>
          <w:sz w:val="22"/>
          <w:szCs w:val="22"/>
          <w:shd w:val="clear" w:color="auto" w:fill="FFFFFF"/>
        </w:rPr>
        <w:t xml:space="preserve"> </w:t>
      </w:r>
      <w:r w:rsidR="00CB669F" w:rsidRPr="00C51F57">
        <w:rPr>
          <w:sz w:val="22"/>
          <w:szCs w:val="22"/>
          <w:shd w:val="clear" w:color="auto" w:fill="FFFFFF"/>
        </w:rPr>
        <w:t>has attractive growth potential with</w:t>
      </w:r>
      <w:r w:rsidR="0097721F" w:rsidRPr="00C51F57">
        <w:rPr>
          <w:sz w:val="22"/>
          <w:szCs w:val="22"/>
          <w:shd w:val="clear" w:color="auto" w:fill="FFFFFF"/>
        </w:rPr>
        <w:t xml:space="preserve"> </w:t>
      </w:r>
      <w:r w:rsidR="008269C5" w:rsidRPr="00C51F57">
        <w:rPr>
          <w:sz w:val="22"/>
          <w:szCs w:val="22"/>
          <w:shd w:val="clear" w:color="auto" w:fill="FFFFFF"/>
        </w:rPr>
        <w:t xml:space="preserve">a </w:t>
      </w:r>
      <w:r w:rsidR="00CB669F" w:rsidRPr="00C51F57">
        <w:rPr>
          <w:sz w:val="22"/>
          <w:szCs w:val="22"/>
          <w:shd w:val="clear" w:color="auto" w:fill="FFFFFF"/>
        </w:rPr>
        <w:t xml:space="preserve">share of </w:t>
      </w:r>
      <w:r w:rsidR="0097721F" w:rsidRPr="00C51F57">
        <w:rPr>
          <w:sz w:val="22"/>
          <w:szCs w:val="22"/>
          <w:shd w:val="clear" w:color="auto" w:fill="FFFFFF"/>
        </w:rPr>
        <w:t xml:space="preserve">19bn </w:t>
      </w:r>
      <w:r w:rsidR="00CB669F" w:rsidRPr="00C51F57">
        <w:rPr>
          <w:sz w:val="22"/>
          <w:szCs w:val="22"/>
          <w:shd w:val="clear" w:color="auto" w:fill="FFFFFF"/>
        </w:rPr>
        <w:t xml:space="preserve">barrels </w:t>
      </w:r>
      <w:r w:rsidR="009D6E63" w:rsidRPr="00C51F57">
        <w:rPr>
          <w:sz w:val="22"/>
          <w:szCs w:val="22"/>
          <w:shd w:val="clear" w:color="auto" w:fill="FFFFFF"/>
        </w:rPr>
        <w:t>of oil-in-</w:t>
      </w:r>
      <w:r w:rsidR="0097721F" w:rsidRPr="00C51F57">
        <w:rPr>
          <w:sz w:val="22"/>
          <w:szCs w:val="22"/>
          <w:shd w:val="clear" w:color="auto" w:fill="FFFFFF"/>
        </w:rPr>
        <w:t xml:space="preserve">place with further potential upside on </w:t>
      </w:r>
      <w:r w:rsidR="008269C5" w:rsidRPr="00C51F57">
        <w:rPr>
          <w:sz w:val="22"/>
          <w:szCs w:val="22"/>
          <w:shd w:val="clear" w:color="auto" w:fill="FFFFFF"/>
        </w:rPr>
        <w:t xml:space="preserve">the </w:t>
      </w:r>
      <w:r w:rsidR="0097721F" w:rsidRPr="00C51F57">
        <w:rPr>
          <w:sz w:val="22"/>
          <w:szCs w:val="22"/>
          <w:shd w:val="clear" w:color="auto" w:fill="FFFFFF"/>
        </w:rPr>
        <w:t>Shaikan and Sheikh-Adi</w:t>
      </w:r>
      <w:r w:rsidR="008269C5" w:rsidRPr="00C51F57">
        <w:rPr>
          <w:sz w:val="22"/>
          <w:szCs w:val="22"/>
          <w:shd w:val="clear" w:color="auto" w:fill="FFFFFF"/>
        </w:rPr>
        <w:t xml:space="preserve"> B</w:t>
      </w:r>
      <w:r w:rsidR="00A67550" w:rsidRPr="00C51F57">
        <w:rPr>
          <w:sz w:val="22"/>
          <w:szCs w:val="22"/>
          <w:shd w:val="clear" w:color="auto" w:fill="FFFFFF"/>
        </w:rPr>
        <w:t>locks</w:t>
      </w:r>
      <w:r w:rsidR="0097721F" w:rsidRPr="00C51F57">
        <w:rPr>
          <w:sz w:val="22"/>
          <w:szCs w:val="22"/>
          <w:shd w:val="clear" w:color="auto" w:fill="FFFFFF"/>
        </w:rPr>
        <w:t xml:space="preserve">. </w:t>
      </w:r>
      <w:r w:rsidR="00A67550" w:rsidRPr="00C51F57">
        <w:rPr>
          <w:sz w:val="22"/>
          <w:szCs w:val="22"/>
          <w:shd w:val="clear" w:color="auto" w:fill="FFFFFF"/>
        </w:rPr>
        <w:t xml:space="preserve">The oil can be extracted relatively cheaply and is of good quality. </w:t>
      </w:r>
      <w:r w:rsidR="000E6656" w:rsidRPr="00C51F57">
        <w:rPr>
          <w:sz w:val="22"/>
          <w:szCs w:val="22"/>
          <w:shd w:val="clear" w:color="auto" w:fill="FFFFFF"/>
        </w:rPr>
        <w:t>T</w:t>
      </w:r>
      <w:r w:rsidR="008269C5" w:rsidRPr="00C51F57">
        <w:rPr>
          <w:sz w:val="22"/>
          <w:szCs w:val="22"/>
          <w:shd w:val="clear" w:color="auto" w:fill="FFFFFF"/>
        </w:rPr>
        <w:t>he</w:t>
      </w:r>
      <w:r w:rsidR="0097721F" w:rsidRPr="00C51F57">
        <w:rPr>
          <w:sz w:val="22"/>
          <w:szCs w:val="22"/>
          <w:shd w:val="clear" w:color="auto" w:fill="FFFFFF"/>
        </w:rPr>
        <w:t xml:space="preserve"> Kurdistan oil pipeline</w:t>
      </w:r>
      <w:r w:rsidR="001D2EAF" w:rsidRPr="00C51F57">
        <w:rPr>
          <w:sz w:val="22"/>
          <w:szCs w:val="22"/>
          <w:shd w:val="clear" w:color="auto" w:fill="FFFFFF"/>
        </w:rPr>
        <w:t xml:space="preserve"> </w:t>
      </w:r>
      <w:r w:rsidR="004E343C" w:rsidRPr="00C51F57">
        <w:rPr>
          <w:sz w:val="22"/>
          <w:szCs w:val="22"/>
          <w:shd w:val="clear" w:color="auto" w:fill="FFFFFF"/>
        </w:rPr>
        <w:t xml:space="preserve">has already been completed but still no agreement has </w:t>
      </w:r>
      <w:r w:rsidR="001A547F" w:rsidRPr="00C51F57">
        <w:rPr>
          <w:sz w:val="22"/>
          <w:szCs w:val="22"/>
          <w:shd w:val="clear" w:color="auto" w:fill="FFFFFF"/>
        </w:rPr>
        <w:t xml:space="preserve">been </w:t>
      </w:r>
      <w:r w:rsidR="004E343C" w:rsidRPr="00C51F57">
        <w:rPr>
          <w:sz w:val="22"/>
          <w:szCs w:val="22"/>
          <w:shd w:val="clear" w:color="auto" w:fill="FFFFFF"/>
        </w:rPr>
        <w:t>reached between Iraq and Kurdistan over oil exports and revenue sharing</w:t>
      </w:r>
      <w:r w:rsidR="001D2EAF" w:rsidRPr="00C51F57">
        <w:rPr>
          <w:sz w:val="22"/>
          <w:szCs w:val="22"/>
          <w:shd w:val="clear" w:color="auto" w:fill="FFFFFF"/>
        </w:rPr>
        <w:t>.</w:t>
      </w:r>
      <w:r w:rsidR="0097721F" w:rsidRPr="00C51F57">
        <w:rPr>
          <w:sz w:val="22"/>
          <w:szCs w:val="22"/>
          <w:shd w:val="clear" w:color="auto" w:fill="FFFFFF"/>
        </w:rPr>
        <w:t xml:space="preserve"> </w:t>
      </w:r>
      <w:r w:rsidR="004E343C" w:rsidRPr="00C51F57">
        <w:rPr>
          <w:sz w:val="22"/>
          <w:szCs w:val="22"/>
          <w:shd w:val="clear" w:color="auto" w:fill="FFFFFF"/>
        </w:rPr>
        <w:t>Any agreement on oil export w</w:t>
      </w:r>
      <w:r w:rsidR="001D2EAF" w:rsidRPr="00C51F57">
        <w:rPr>
          <w:sz w:val="22"/>
          <w:szCs w:val="22"/>
          <w:shd w:val="clear" w:color="auto" w:fill="FFFFFF"/>
        </w:rPr>
        <w:t xml:space="preserve">ill </w:t>
      </w:r>
      <w:r w:rsidR="00117307" w:rsidRPr="00C51F57">
        <w:rPr>
          <w:sz w:val="22"/>
          <w:szCs w:val="22"/>
          <w:shd w:val="clear" w:color="auto" w:fill="FFFFFF"/>
        </w:rPr>
        <w:t xml:space="preserve">remove </w:t>
      </w:r>
      <w:r w:rsidR="001A547F" w:rsidRPr="00C51F57">
        <w:rPr>
          <w:sz w:val="22"/>
          <w:szCs w:val="22"/>
          <w:shd w:val="clear" w:color="auto" w:fill="FFFFFF"/>
        </w:rPr>
        <w:t>any</w:t>
      </w:r>
      <w:r w:rsidR="00A40B86" w:rsidRPr="00C51F57">
        <w:rPr>
          <w:sz w:val="22"/>
          <w:szCs w:val="22"/>
          <w:shd w:val="clear" w:color="auto" w:fill="FFFFFF"/>
        </w:rPr>
        <w:t xml:space="preserve"> </w:t>
      </w:r>
      <w:r w:rsidR="00117307" w:rsidRPr="00C51F57">
        <w:rPr>
          <w:sz w:val="22"/>
          <w:szCs w:val="22"/>
          <w:shd w:val="clear" w:color="auto" w:fill="FFFFFF"/>
        </w:rPr>
        <w:t xml:space="preserve">uncertainty of </w:t>
      </w:r>
      <w:r w:rsidR="0097721F" w:rsidRPr="00C51F57">
        <w:rPr>
          <w:sz w:val="22"/>
          <w:szCs w:val="22"/>
          <w:shd w:val="clear" w:color="auto" w:fill="FFFFFF"/>
        </w:rPr>
        <w:t>generat</w:t>
      </w:r>
      <w:r w:rsidR="00117307" w:rsidRPr="00C51F57">
        <w:rPr>
          <w:sz w:val="22"/>
          <w:szCs w:val="22"/>
          <w:shd w:val="clear" w:color="auto" w:fill="FFFFFF"/>
        </w:rPr>
        <w:t>ing</w:t>
      </w:r>
      <w:r w:rsidR="0097721F" w:rsidRPr="00C51F57">
        <w:rPr>
          <w:sz w:val="22"/>
          <w:szCs w:val="22"/>
          <w:shd w:val="clear" w:color="auto" w:fill="FFFFFF"/>
        </w:rPr>
        <w:t xml:space="preserve"> revenue </w:t>
      </w:r>
      <w:r w:rsidR="00117307" w:rsidRPr="00C51F57">
        <w:rPr>
          <w:sz w:val="22"/>
          <w:szCs w:val="22"/>
          <w:shd w:val="clear" w:color="auto" w:fill="FFFFFF"/>
        </w:rPr>
        <w:t>by oil exports</w:t>
      </w:r>
      <w:r w:rsidR="001D2EAF" w:rsidRPr="00C51F57">
        <w:rPr>
          <w:sz w:val="22"/>
          <w:szCs w:val="22"/>
          <w:shd w:val="clear" w:color="auto" w:fill="FFFFFF"/>
        </w:rPr>
        <w:t>,</w:t>
      </w:r>
      <w:r w:rsidR="0097721F" w:rsidRPr="00C51F57">
        <w:rPr>
          <w:sz w:val="22"/>
          <w:szCs w:val="22"/>
          <w:shd w:val="clear" w:color="auto" w:fill="FFFFFF"/>
        </w:rPr>
        <w:t xml:space="preserve"> paving </w:t>
      </w:r>
      <w:r w:rsidR="001D2EAF" w:rsidRPr="00C51F57">
        <w:rPr>
          <w:sz w:val="22"/>
          <w:szCs w:val="22"/>
          <w:shd w:val="clear" w:color="auto" w:fill="FFFFFF"/>
        </w:rPr>
        <w:t xml:space="preserve">the </w:t>
      </w:r>
      <w:r w:rsidR="0097721F" w:rsidRPr="00C51F57">
        <w:rPr>
          <w:sz w:val="22"/>
          <w:szCs w:val="22"/>
          <w:shd w:val="clear" w:color="auto" w:fill="FFFFFF"/>
        </w:rPr>
        <w:t xml:space="preserve">way for </w:t>
      </w:r>
      <w:r w:rsidR="00A40B86" w:rsidRPr="00C51F57">
        <w:rPr>
          <w:sz w:val="22"/>
          <w:szCs w:val="22"/>
          <w:shd w:val="clear" w:color="auto" w:fill="FFFFFF"/>
        </w:rPr>
        <w:t xml:space="preserve">self-sustainability </w:t>
      </w:r>
      <w:r w:rsidR="00854467" w:rsidRPr="00C51F57">
        <w:rPr>
          <w:sz w:val="22"/>
          <w:szCs w:val="22"/>
          <w:shd w:val="clear" w:color="auto" w:fill="FFFFFF"/>
        </w:rPr>
        <w:t>and raising long</w:t>
      </w:r>
      <w:r w:rsidR="001A547F" w:rsidRPr="00C51F57">
        <w:rPr>
          <w:sz w:val="22"/>
          <w:szCs w:val="22"/>
          <w:shd w:val="clear" w:color="auto" w:fill="FFFFFF"/>
        </w:rPr>
        <w:t>-</w:t>
      </w:r>
      <w:r w:rsidR="00854467" w:rsidRPr="00C51F57">
        <w:rPr>
          <w:sz w:val="22"/>
          <w:szCs w:val="22"/>
          <w:shd w:val="clear" w:color="auto" w:fill="FFFFFF"/>
        </w:rPr>
        <w:t>term debt financing for exploration and production</w:t>
      </w:r>
      <w:r w:rsidR="000E6656" w:rsidRPr="00C51F57">
        <w:rPr>
          <w:sz w:val="22"/>
          <w:szCs w:val="22"/>
          <w:shd w:val="clear" w:color="auto" w:fill="FFFFFF"/>
        </w:rPr>
        <w:t xml:space="preserve">. </w:t>
      </w:r>
    </w:p>
    <w:p w14:paraId="258B2413" w14:textId="1B661713" w:rsidR="00487B57" w:rsidRPr="00C51F57" w:rsidRDefault="00FE16B5" w:rsidP="00BB57CD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  <w:shd w:val="clear" w:color="auto" w:fill="FFFFFF"/>
        </w:rPr>
        <w:t xml:space="preserve">GKP has resolved </w:t>
      </w:r>
      <w:r w:rsidR="0042025B" w:rsidRPr="00C51F57">
        <w:rPr>
          <w:sz w:val="22"/>
          <w:szCs w:val="22"/>
          <w:shd w:val="clear" w:color="auto" w:fill="FFFFFF"/>
        </w:rPr>
        <w:t>three</w:t>
      </w:r>
      <w:r w:rsidRPr="00C51F57">
        <w:rPr>
          <w:sz w:val="22"/>
          <w:szCs w:val="22"/>
          <w:shd w:val="clear" w:color="auto" w:fill="FFFFFF"/>
        </w:rPr>
        <w:t xml:space="preserve"> major disputes in </w:t>
      </w:r>
      <w:r w:rsidR="001D2EAF" w:rsidRPr="00C51F57">
        <w:rPr>
          <w:sz w:val="22"/>
          <w:szCs w:val="22"/>
          <w:shd w:val="clear" w:color="auto" w:fill="FFFFFF"/>
        </w:rPr>
        <w:t xml:space="preserve">the </w:t>
      </w:r>
      <w:r w:rsidR="00EA3A55" w:rsidRPr="00C51F57">
        <w:rPr>
          <w:sz w:val="22"/>
          <w:szCs w:val="22"/>
          <w:shd w:val="clear" w:color="auto" w:fill="FFFFFF"/>
        </w:rPr>
        <w:t xml:space="preserve">last </w:t>
      </w:r>
      <w:r w:rsidR="00301FBF" w:rsidRPr="00C51F57">
        <w:rPr>
          <w:sz w:val="22"/>
          <w:szCs w:val="22"/>
          <w:shd w:val="clear" w:color="auto" w:fill="FFFFFF"/>
        </w:rPr>
        <w:t>six</w:t>
      </w:r>
      <w:r w:rsidR="001A547F" w:rsidRPr="00C51F57">
        <w:rPr>
          <w:sz w:val="22"/>
          <w:szCs w:val="22"/>
          <w:shd w:val="clear" w:color="auto" w:fill="FFFFFF"/>
        </w:rPr>
        <w:t xml:space="preserve"> months; </w:t>
      </w:r>
      <w:r w:rsidR="00EA3A55" w:rsidRPr="00C51F57">
        <w:rPr>
          <w:sz w:val="22"/>
          <w:szCs w:val="22"/>
          <w:shd w:val="clear" w:color="auto" w:fill="FFFFFF"/>
        </w:rPr>
        <w:t>the</w:t>
      </w:r>
      <w:r w:rsidR="001D2EAF" w:rsidRPr="00C51F57">
        <w:rPr>
          <w:sz w:val="22"/>
          <w:szCs w:val="22"/>
          <w:shd w:val="clear" w:color="auto" w:fill="FFFFFF"/>
        </w:rPr>
        <w:t xml:space="preserve"> </w:t>
      </w:r>
      <w:r w:rsidRPr="00C51F57">
        <w:rPr>
          <w:sz w:val="22"/>
          <w:szCs w:val="22"/>
          <w:shd w:val="clear" w:color="auto" w:fill="FFFFFF"/>
        </w:rPr>
        <w:t>shareholder revolt</w:t>
      </w:r>
      <w:r w:rsidR="0042025B" w:rsidRPr="00C51F57">
        <w:rPr>
          <w:sz w:val="22"/>
          <w:szCs w:val="22"/>
          <w:shd w:val="clear" w:color="auto" w:fill="FFFFFF"/>
        </w:rPr>
        <w:t>,</w:t>
      </w:r>
      <w:r w:rsidR="00EA3A55" w:rsidRPr="00C51F57">
        <w:rPr>
          <w:sz w:val="22"/>
          <w:szCs w:val="22"/>
          <w:shd w:val="clear" w:color="auto" w:fill="FFFFFF"/>
        </w:rPr>
        <w:t xml:space="preserve"> </w:t>
      </w:r>
      <w:r w:rsidR="001D2EAF" w:rsidRPr="00C51F57">
        <w:rPr>
          <w:sz w:val="22"/>
          <w:szCs w:val="22"/>
          <w:shd w:val="clear" w:color="auto" w:fill="FFFFFF"/>
        </w:rPr>
        <w:t xml:space="preserve">the </w:t>
      </w:r>
      <w:r w:rsidR="00EA3A55" w:rsidRPr="00C51F57">
        <w:rPr>
          <w:sz w:val="22"/>
          <w:szCs w:val="22"/>
          <w:shd w:val="clear" w:color="auto" w:fill="FFFFFF"/>
        </w:rPr>
        <w:t xml:space="preserve">court case against Excalibur </w:t>
      </w:r>
      <w:r w:rsidR="0042025B" w:rsidRPr="00C51F57">
        <w:rPr>
          <w:sz w:val="22"/>
          <w:szCs w:val="22"/>
          <w:shd w:val="clear" w:color="auto" w:fill="FFFFFF"/>
        </w:rPr>
        <w:t>Ventures and now the first export of oil through Turkey</w:t>
      </w:r>
      <w:r w:rsidR="001A547F" w:rsidRPr="00C51F57">
        <w:rPr>
          <w:sz w:val="22"/>
          <w:szCs w:val="22"/>
          <w:shd w:val="clear" w:color="auto" w:fill="FFFFFF"/>
        </w:rPr>
        <w:t>. A</w:t>
      </w:r>
      <w:r w:rsidR="0042025B" w:rsidRPr="00C51F57">
        <w:rPr>
          <w:sz w:val="22"/>
          <w:szCs w:val="22"/>
          <w:shd w:val="clear" w:color="auto" w:fill="FFFFFF"/>
        </w:rPr>
        <w:t xml:space="preserve">ll </w:t>
      </w:r>
      <w:r w:rsidR="00EA3A55" w:rsidRPr="00C51F57">
        <w:rPr>
          <w:sz w:val="22"/>
          <w:szCs w:val="22"/>
          <w:shd w:val="clear" w:color="auto" w:fill="FFFFFF"/>
        </w:rPr>
        <w:t>of</w:t>
      </w:r>
      <w:r w:rsidR="001A547F" w:rsidRPr="00C51F57">
        <w:rPr>
          <w:sz w:val="22"/>
          <w:szCs w:val="22"/>
          <w:shd w:val="clear" w:color="auto" w:fill="FFFFFF"/>
        </w:rPr>
        <w:t xml:space="preserve"> these</w:t>
      </w:r>
      <w:r w:rsidRPr="00C51F57">
        <w:rPr>
          <w:sz w:val="22"/>
          <w:szCs w:val="22"/>
          <w:shd w:val="clear" w:color="auto" w:fill="FFFFFF"/>
        </w:rPr>
        <w:t xml:space="preserve"> w</w:t>
      </w:r>
      <w:r w:rsidR="00EA3A55" w:rsidRPr="00C51F57">
        <w:rPr>
          <w:sz w:val="22"/>
          <w:szCs w:val="22"/>
          <w:shd w:val="clear" w:color="auto" w:fill="FFFFFF"/>
        </w:rPr>
        <w:t>ere</w:t>
      </w:r>
      <w:r w:rsidRPr="00C51F57">
        <w:rPr>
          <w:sz w:val="22"/>
          <w:szCs w:val="22"/>
          <w:shd w:val="clear" w:color="auto" w:fill="FFFFFF"/>
        </w:rPr>
        <w:t xml:space="preserve"> having </w:t>
      </w:r>
      <w:r w:rsidR="001D2EAF" w:rsidRPr="00C51F57">
        <w:rPr>
          <w:sz w:val="22"/>
          <w:szCs w:val="22"/>
          <w:shd w:val="clear" w:color="auto" w:fill="FFFFFF"/>
        </w:rPr>
        <w:t xml:space="preserve">a </w:t>
      </w:r>
      <w:r w:rsidRPr="00C51F57">
        <w:rPr>
          <w:sz w:val="22"/>
          <w:szCs w:val="22"/>
          <w:shd w:val="clear" w:color="auto" w:fill="FFFFFF"/>
        </w:rPr>
        <w:t>negative effect on</w:t>
      </w:r>
      <w:r w:rsidR="001D2EAF" w:rsidRPr="00C51F57">
        <w:rPr>
          <w:sz w:val="22"/>
          <w:szCs w:val="22"/>
          <w:shd w:val="clear" w:color="auto" w:fill="FFFFFF"/>
        </w:rPr>
        <w:t xml:space="preserve"> </w:t>
      </w:r>
      <w:r w:rsidRPr="00C51F57">
        <w:rPr>
          <w:sz w:val="22"/>
          <w:szCs w:val="22"/>
          <w:shd w:val="clear" w:color="auto" w:fill="FFFFFF"/>
        </w:rPr>
        <w:t xml:space="preserve">share prices. </w:t>
      </w:r>
      <w:r w:rsidR="001A547F" w:rsidRPr="00C51F57">
        <w:rPr>
          <w:sz w:val="22"/>
          <w:szCs w:val="22"/>
          <w:shd w:val="clear" w:color="auto" w:fill="FFFFFF"/>
        </w:rPr>
        <w:t>S</w:t>
      </w:r>
      <w:r w:rsidR="00EA3A55" w:rsidRPr="00C51F57">
        <w:rPr>
          <w:sz w:val="22"/>
          <w:szCs w:val="22"/>
          <w:shd w:val="clear" w:color="auto" w:fill="FFFFFF"/>
        </w:rPr>
        <w:t xml:space="preserve">hare prices </w:t>
      </w:r>
      <w:r w:rsidR="001A547F" w:rsidRPr="00C51F57">
        <w:rPr>
          <w:sz w:val="22"/>
          <w:szCs w:val="22"/>
          <w:shd w:val="clear" w:color="auto" w:fill="FFFFFF"/>
        </w:rPr>
        <w:t>are</w:t>
      </w:r>
      <w:r w:rsidR="00600539" w:rsidRPr="00C51F57">
        <w:rPr>
          <w:sz w:val="22"/>
          <w:szCs w:val="22"/>
          <w:shd w:val="clear" w:color="auto" w:fill="FFFFFF"/>
        </w:rPr>
        <w:t xml:space="preserve"> </w:t>
      </w:r>
      <w:r w:rsidR="001A547F" w:rsidRPr="00C51F57">
        <w:rPr>
          <w:sz w:val="22"/>
          <w:szCs w:val="22"/>
          <w:shd w:val="clear" w:color="auto" w:fill="FFFFFF"/>
        </w:rPr>
        <w:t xml:space="preserve">still </w:t>
      </w:r>
      <w:r w:rsidR="00600539" w:rsidRPr="00C51F57">
        <w:rPr>
          <w:sz w:val="22"/>
          <w:szCs w:val="22"/>
          <w:shd w:val="clear" w:color="auto" w:fill="FFFFFF"/>
        </w:rPr>
        <w:t>trading below</w:t>
      </w:r>
      <w:r w:rsidRPr="00C51F57">
        <w:rPr>
          <w:sz w:val="22"/>
          <w:szCs w:val="22"/>
          <w:shd w:val="clear" w:color="auto" w:fill="FFFFFF"/>
        </w:rPr>
        <w:t xml:space="preserve"> 200.0p</w:t>
      </w:r>
      <w:r w:rsidR="001A547F" w:rsidRPr="00C51F57">
        <w:rPr>
          <w:sz w:val="22"/>
          <w:szCs w:val="22"/>
          <w:shd w:val="clear" w:color="auto" w:fill="FFFFFF"/>
        </w:rPr>
        <w:t>,</w:t>
      </w:r>
      <w:r w:rsidRPr="00C51F57">
        <w:rPr>
          <w:sz w:val="22"/>
          <w:szCs w:val="22"/>
          <w:shd w:val="clear" w:color="auto" w:fill="FFFFFF"/>
        </w:rPr>
        <w:t xml:space="preserve"> </w:t>
      </w:r>
      <w:r w:rsidR="001A547F" w:rsidRPr="00C51F57">
        <w:rPr>
          <w:sz w:val="22"/>
          <w:szCs w:val="22"/>
          <w:shd w:val="clear" w:color="auto" w:fill="FFFFFF"/>
        </w:rPr>
        <w:t xml:space="preserve">even </w:t>
      </w:r>
      <w:r w:rsidRPr="00C51F57">
        <w:rPr>
          <w:sz w:val="22"/>
          <w:szCs w:val="22"/>
          <w:shd w:val="clear" w:color="auto" w:fill="FFFFFF"/>
        </w:rPr>
        <w:t xml:space="preserve">after </w:t>
      </w:r>
      <w:r w:rsidR="00EA3A55" w:rsidRPr="00C51F57">
        <w:rPr>
          <w:sz w:val="22"/>
          <w:szCs w:val="22"/>
          <w:shd w:val="clear" w:color="auto" w:fill="FFFFFF"/>
        </w:rPr>
        <w:t>the</w:t>
      </w:r>
      <w:r w:rsidR="001D2EAF" w:rsidRPr="00C51F57">
        <w:rPr>
          <w:sz w:val="22"/>
          <w:szCs w:val="22"/>
          <w:shd w:val="clear" w:color="auto" w:fill="FFFFFF"/>
        </w:rPr>
        <w:t xml:space="preserve"> </w:t>
      </w:r>
      <w:r w:rsidRPr="00C51F57">
        <w:rPr>
          <w:sz w:val="22"/>
          <w:szCs w:val="22"/>
          <w:shd w:val="clear" w:color="auto" w:fill="FFFFFF"/>
        </w:rPr>
        <w:t>favourable court case result</w:t>
      </w:r>
      <w:r w:rsidR="001A547F" w:rsidRPr="00C51F57">
        <w:rPr>
          <w:sz w:val="22"/>
          <w:szCs w:val="22"/>
          <w:shd w:val="clear" w:color="auto" w:fill="FFFFFF"/>
        </w:rPr>
        <w:t>s,</w:t>
      </w:r>
      <w:r w:rsidR="00600539" w:rsidRPr="00C51F57">
        <w:rPr>
          <w:sz w:val="22"/>
          <w:szCs w:val="22"/>
          <w:shd w:val="clear" w:color="auto" w:fill="FFFFFF"/>
        </w:rPr>
        <w:t xml:space="preserve"> indicating </w:t>
      </w:r>
      <w:r w:rsidR="001A547F" w:rsidRPr="00C51F57">
        <w:rPr>
          <w:sz w:val="22"/>
          <w:szCs w:val="22"/>
          <w:shd w:val="clear" w:color="auto" w:fill="FFFFFF"/>
        </w:rPr>
        <w:t xml:space="preserve">the </w:t>
      </w:r>
      <w:r w:rsidR="00600539" w:rsidRPr="00C51F57">
        <w:rPr>
          <w:sz w:val="22"/>
          <w:szCs w:val="22"/>
          <w:shd w:val="clear" w:color="auto" w:fill="FFFFFF"/>
        </w:rPr>
        <w:t>market is still uncertain</w:t>
      </w:r>
      <w:r w:rsidR="00301FBF" w:rsidRPr="00C51F57">
        <w:rPr>
          <w:sz w:val="22"/>
          <w:szCs w:val="22"/>
          <w:shd w:val="clear" w:color="auto" w:fill="FFFFFF"/>
        </w:rPr>
        <w:t xml:space="preserve"> on</w:t>
      </w:r>
      <w:r w:rsidR="0042025B" w:rsidRPr="00C51F57">
        <w:rPr>
          <w:sz w:val="22"/>
          <w:szCs w:val="22"/>
          <w:shd w:val="clear" w:color="auto" w:fill="FFFFFF"/>
        </w:rPr>
        <w:t xml:space="preserve"> </w:t>
      </w:r>
      <w:r w:rsidR="00600539" w:rsidRPr="00C51F57">
        <w:rPr>
          <w:sz w:val="22"/>
          <w:szCs w:val="22"/>
          <w:shd w:val="clear" w:color="auto" w:fill="FFFFFF"/>
        </w:rPr>
        <w:t xml:space="preserve">GKP </w:t>
      </w:r>
      <w:r w:rsidR="0042025B" w:rsidRPr="00C51F57">
        <w:rPr>
          <w:sz w:val="22"/>
          <w:szCs w:val="22"/>
          <w:shd w:val="clear" w:color="auto" w:fill="FFFFFF"/>
        </w:rPr>
        <w:t xml:space="preserve">underperformance of </w:t>
      </w:r>
      <w:r w:rsidR="002D491F" w:rsidRPr="00C51F57">
        <w:rPr>
          <w:sz w:val="22"/>
          <w:szCs w:val="22"/>
          <w:shd w:val="clear" w:color="auto" w:fill="FFFFFF"/>
        </w:rPr>
        <w:t>PF-1, oil exports dispute between Kurdistan and Iraq</w:t>
      </w:r>
      <w:r w:rsidR="0042025B" w:rsidRPr="00C51F57">
        <w:rPr>
          <w:sz w:val="22"/>
          <w:szCs w:val="22"/>
          <w:shd w:val="clear" w:color="auto" w:fill="FFFFFF"/>
        </w:rPr>
        <w:t xml:space="preserve"> and </w:t>
      </w:r>
      <w:r w:rsidR="00600539" w:rsidRPr="00C51F57">
        <w:rPr>
          <w:sz w:val="22"/>
          <w:szCs w:val="22"/>
          <w:shd w:val="clear" w:color="auto" w:fill="FFFFFF"/>
        </w:rPr>
        <w:t>how much long</w:t>
      </w:r>
      <w:r w:rsidR="001A547F" w:rsidRPr="00C51F57">
        <w:rPr>
          <w:sz w:val="22"/>
          <w:szCs w:val="22"/>
          <w:shd w:val="clear" w:color="auto" w:fill="FFFFFF"/>
        </w:rPr>
        <w:t>-</w:t>
      </w:r>
      <w:r w:rsidR="00600539" w:rsidRPr="00C51F57">
        <w:rPr>
          <w:sz w:val="22"/>
          <w:szCs w:val="22"/>
          <w:shd w:val="clear" w:color="auto" w:fill="FFFFFF"/>
        </w:rPr>
        <w:t xml:space="preserve">term </w:t>
      </w:r>
      <w:r w:rsidR="001A0F83" w:rsidRPr="00C51F57">
        <w:rPr>
          <w:sz w:val="22"/>
          <w:szCs w:val="22"/>
          <w:shd w:val="clear" w:color="auto" w:fill="FFFFFF"/>
        </w:rPr>
        <w:t xml:space="preserve">debt </w:t>
      </w:r>
      <w:r w:rsidR="00600539" w:rsidRPr="00C51F57">
        <w:rPr>
          <w:sz w:val="22"/>
          <w:szCs w:val="22"/>
          <w:shd w:val="clear" w:color="auto" w:fill="FFFFFF"/>
        </w:rPr>
        <w:t xml:space="preserve">financing it will require </w:t>
      </w:r>
      <w:r w:rsidR="00674E9B" w:rsidRPr="00C51F57">
        <w:rPr>
          <w:sz w:val="22"/>
          <w:szCs w:val="22"/>
          <w:shd w:val="clear" w:color="auto" w:fill="FFFFFF"/>
        </w:rPr>
        <w:t xml:space="preserve">for </w:t>
      </w:r>
      <w:r w:rsidR="0042025B" w:rsidRPr="00C51F57">
        <w:rPr>
          <w:sz w:val="22"/>
          <w:szCs w:val="22"/>
          <w:shd w:val="clear" w:color="auto" w:fill="FFFFFF"/>
        </w:rPr>
        <w:t xml:space="preserve">first </w:t>
      </w:r>
      <w:r w:rsidR="00600539" w:rsidRPr="00C51F57">
        <w:rPr>
          <w:sz w:val="22"/>
          <w:szCs w:val="22"/>
          <w:shd w:val="clear" w:color="auto" w:fill="FFFFFF"/>
        </w:rPr>
        <w:t>production phase</w:t>
      </w:r>
      <w:r w:rsidRPr="00C51F57">
        <w:rPr>
          <w:sz w:val="22"/>
          <w:szCs w:val="22"/>
          <w:shd w:val="clear" w:color="auto" w:fill="FFFFFF"/>
        </w:rPr>
        <w:t xml:space="preserve">. </w:t>
      </w:r>
    </w:p>
    <w:p w14:paraId="65F3C0E5" w14:textId="00816503" w:rsidR="00BB57CD" w:rsidRPr="00C51F57" w:rsidRDefault="00487B57" w:rsidP="00BB57CD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  <w:shd w:val="clear" w:color="auto" w:fill="FFFFFF"/>
        </w:rPr>
      </w:pPr>
      <w:r w:rsidRPr="00C51F57">
        <w:rPr>
          <w:sz w:val="22"/>
          <w:szCs w:val="22"/>
          <w:shd w:val="clear" w:color="auto" w:fill="FFFFFF"/>
        </w:rPr>
        <w:t xml:space="preserve">Any good news on </w:t>
      </w:r>
      <w:r w:rsidR="008F4C82" w:rsidRPr="00C51F57">
        <w:rPr>
          <w:sz w:val="22"/>
          <w:szCs w:val="22"/>
          <w:shd w:val="clear" w:color="auto" w:fill="FFFFFF"/>
        </w:rPr>
        <w:t xml:space="preserve">the </w:t>
      </w:r>
      <w:r w:rsidRPr="00C51F57">
        <w:rPr>
          <w:sz w:val="22"/>
          <w:szCs w:val="22"/>
          <w:shd w:val="clear" w:color="auto" w:fill="FFFFFF"/>
        </w:rPr>
        <w:t>Kurdistan</w:t>
      </w:r>
      <w:r w:rsidR="008F4C82" w:rsidRPr="00C51F57">
        <w:rPr>
          <w:sz w:val="22"/>
          <w:szCs w:val="22"/>
          <w:shd w:val="clear" w:color="auto" w:fill="FFFFFF"/>
        </w:rPr>
        <w:t xml:space="preserve"> and</w:t>
      </w:r>
      <w:r w:rsidRPr="00C51F57">
        <w:rPr>
          <w:sz w:val="22"/>
          <w:szCs w:val="22"/>
          <w:shd w:val="clear" w:color="auto" w:fill="FFFFFF"/>
        </w:rPr>
        <w:t xml:space="preserve"> Iraq agreement on oil export</w:t>
      </w:r>
      <w:r w:rsidR="008F4C82" w:rsidRPr="00C51F57">
        <w:rPr>
          <w:sz w:val="22"/>
          <w:szCs w:val="22"/>
          <w:shd w:val="clear" w:color="auto" w:fill="FFFFFF"/>
        </w:rPr>
        <w:t>,</w:t>
      </w:r>
      <w:r w:rsidRPr="00C51F57">
        <w:rPr>
          <w:sz w:val="22"/>
          <w:szCs w:val="22"/>
          <w:shd w:val="clear" w:color="auto" w:fill="FFFFFF"/>
        </w:rPr>
        <w:t xml:space="preserve"> or Shaikan field production and exploration result will move share price</w:t>
      </w:r>
      <w:r w:rsidR="008F4C82" w:rsidRPr="00C51F57">
        <w:rPr>
          <w:sz w:val="22"/>
          <w:szCs w:val="22"/>
          <w:shd w:val="clear" w:color="auto" w:fill="FFFFFF"/>
        </w:rPr>
        <w:t>s</w:t>
      </w:r>
      <w:r w:rsidRPr="00C51F57">
        <w:rPr>
          <w:sz w:val="22"/>
          <w:szCs w:val="22"/>
          <w:shd w:val="clear" w:color="auto" w:fill="FFFFFF"/>
        </w:rPr>
        <w:t xml:space="preserve"> up. </w:t>
      </w:r>
      <w:r w:rsidR="001D2EAF" w:rsidRPr="00C51F57">
        <w:rPr>
          <w:sz w:val="22"/>
          <w:szCs w:val="22"/>
          <w:shd w:val="clear" w:color="auto" w:fill="FFFFFF"/>
        </w:rPr>
        <w:t xml:space="preserve">The </w:t>
      </w:r>
      <w:r w:rsidR="000E20BF" w:rsidRPr="00C51F57">
        <w:rPr>
          <w:sz w:val="22"/>
          <w:szCs w:val="22"/>
          <w:shd w:val="clear" w:color="auto" w:fill="FFFFFF"/>
        </w:rPr>
        <w:t xml:space="preserve">GKP share price looks attractive and </w:t>
      </w:r>
      <w:r w:rsidR="001D2EAF" w:rsidRPr="00C51F57">
        <w:rPr>
          <w:sz w:val="22"/>
          <w:szCs w:val="22"/>
          <w:shd w:val="clear" w:color="auto" w:fill="FFFFFF"/>
        </w:rPr>
        <w:t>could go</w:t>
      </w:r>
      <w:r w:rsidR="000E20BF" w:rsidRPr="00C51F57">
        <w:rPr>
          <w:sz w:val="22"/>
          <w:szCs w:val="22"/>
          <w:shd w:val="clear" w:color="auto" w:fill="FFFFFF"/>
        </w:rPr>
        <w:t xml:space="preserve"> sky high if </w:t>
      </w:r>
      <w:r w:rsidR="00BE5BAC" w:rsidRPr="00C51F57">
        <w:rPr>
          <w:sz w:val="22"/>
          <w:szCs w:val="22"/>
          <w:shd w:val="clear" w:color="auto" w:fill="FFFFFF"/>
        </w:rPr>
        <w:t xml:space="preserve">rumours </w:t>
      </w:r>
      <w:r w:rsidR="001D2EAF" w:rsidRPr="00C51F57">
        <w:rPr>
          <w:sz w:val="22"/>
          <w:szCs w:val="22"/>
          <w:shd w:val="clear" w:color="auto" w:fill="FFFFFF"/>
        </w:rPr>
        <w:t>of</w:t>
      </w:r>
      <w:r w:rsidR="00BE5BAC" w:rsidRPr="00C51F57">
        <w:rPr>
          <w:sz w:val="22"/>
          <w:szCs w:val="22"/>
          <w:shd w:val="clear" w:color="auto" w:fill="FFFFFF"/>
        </w:rPr>
        <w:t xml:space="preserve"> an </w:t>
      </w:r>
      <w:r w:rsidR="001D2EAF" w:rsidRPr="00C51F57">
        <w:rPr>
          <w:sz w:val="22"/>
          <w:szCs w:val="22"/>
          <w:shd w:val="clear" w:color="auto" w:fill="FFFFFF"/>
        </w:rPr>
        <w:t>‘</w:t>
      </w:r>
      <w:r w:rsidR="00BE5BAC" w:rsidRPr="00C51F57">
        <w:rPr>
          <w:sz w:val="22"/>
          <w:szCs w:val="22"/>
          <w:shd w:val="clear" w:color="auto" w:fill="FFFFFF"/>
        </w:rPr>
        <w:t>offer of acqu</w:t>
      </w:r>
      <w:r w:rsidR="001A58E9" w:rsidRPr="00C51F57">
        <w:rPr>
          <w:sz w:val="22"/>
          <w:szCs w:val="22"/>
          <w:shd w:val="clear" w:color="auto" w:fill="FFFFFF"/>
        </w:rPr>
        <w:t>isition</w:t>
      </w:r>
      <w:r w:rsidR="001D2EAF" w:rsidRPr="00C51F57">
        <w:rPr>
          <w:sz w:val="22"/>
          <w:szCs w:val="22"/>
          <w:shd w:val="clear" w:color="auto" w:fill="FFFFFF"/>
        </w:rPr>
        <w:t>’</w:t>
      </w:r>
      <w:r w:rsidR="001A58E9" w:rsidRPr="00C51F57">
        <w:rPr>
          <w:sz w:val="22"/>
          <w:szCs w:val="22"/>
          <w:shd w:val="clear" w:color="auto" w:fill="FFFFFF"/>
        </w:rPr>
        <w:t xml:space="preserve"> </w:t>
      </w:r>
      <w:r w:rsidR="00BE5BAC" w:rsidRPr="00C51F57">
        <w:rPr>
          <w:sz w:val="22"/>
          <w:szCs w:val="22"/>
          <w:shd w:val="clear" w:color="auto" w:fill="FFFFFF"/>
        </w:rPr>
        <w:t>comes from big</w:t>
      </w:r>
      <w:r w:rsidR="0097721F" w:rsidRPr="00C51F57">
        <w:rPr>
          <w:sz w:val="22"/>
          <w:szCs w:val="22"/>
          <w:shd w:val="clear" w:color="auto" w:fill="FFFFFF"/>
        </w:rPr>
        <w:t xml:space="preserve"> companies like Exxon, Chevron </w:t>
      </w:r>
      <w:r w:rsidR="001D2EAF" w:rsidRPr="00C51F57">
        <w:rPr>
          <w:sz w:val="22"/>
          <w:szCs w:val="22"/>
          <w:shd w:val="clear" w:color="auto" w:fill="FFFFFF"/>
        </w:rPr>
        <w:t>or</w:t>
      </w:r>
      <w:r w:rsidR="0097721F" w:rsidRPr="00C51F57">
        <w:rPr>
          <w:sz w:val="22"/>
          <w:szCs w:val="22"/>
          <w:shd w:val="clear" w:color="auto" w:fill="FFFFFF"/>
        </w:rPr>
        <w:t xml:space="preserve"> Total.</w:t>
      </w:r>
      <w:r w:rsidR="001A58E9" w:rsidRPr="00C51F57">
        <w:rPr>
          <w:sz w:val="22"/>
          <w:szCs w:val="22"/>
          <w:shd w:val="clear" w:color="auto" w:fill="FFFFFF"/>
        </w:rPr>
        <w:t xml:space="preserve"> </w:t>
      </w:r>
      <w:r w:rsidR="008269C5" w:rsidRPr="00C51F57">
        <w:rPr>
          <w:sz w:val="22"/>
          <w:szCs w:val="22"/>
          <w:shd w:val="clear" w:color="auto" w:fill="FFFFFF"/>
        </w:rPr>
        <w:t>Finally,</w:t>
      </w:r>
      <w:r w:rsidR="001A58E9" w:rsidRPr="00C51F57">
        <w:rPr>
          <w:sz w:val="22"/>
          <w:szCs w:val="22"/>
          <w:shd w:val="clear" w:color="auto" w:fill="FFFFFF"/>
        </w:rPr>
        <w:t xml:space="preserve"> when </w:t>
      </w:r>
      <w:r w:rsidR="008269C5" w:rsidRPr="00C51F57">
        <w:rPr>
          <w:sz w:val="22"/>
          <w:szCs w:val="22"/>
          <w:shd w:val="clear" w:color="auto" w:fill="FFFFFF"/>
        </w:rPr>
        <w:t xml:space="preserve">the </w:t>
      </w:r>
      <w:r w:rsidR="001A58E9" w:rsidRPr="00C51F57">
        <w:rPr>
          <w:sz w:val="22"/>
          <w:szCs w:val="22"/>
          <w:shd w:val="clear" w:color="auto" w:fill="FFFFFF"/>
        </w:rPr>
        <w:t>co</w:t>
      </w:r>
      <w:r w:rsidR="00CB669F" w:rsidRPr="00C51F57">
        <w:rPr>
          <w:sz w:val="22"/>
          <w:szCs w:val="22"/>
          <w:shd w:val="clear" w:color="auto" w:fill="FFFFFF"/>
        </w:rPr>
        <w:t xml:space="preserve">mpany </w:t>
      </w:r>
      <w:r w:rsidR="008269C5" w:rsidRPr="00C51F57">
        <w:rPr>
          <w:sz w:val="22"/>
          <w:szCs w:val="22"/>
          <w:shd w:val="clear" w:color="auto" w:fill="FFFFFF"/>
        </w:rPr>
        <w:t>is</w:t>
      </w:r>
      <w:r w:rsidR="00CB669F" w:rsidRPr="00C51F57">
        <w:rPr>
          <w:sz w:val="22"/>
          <w:szCs w:val="22"/>
          <w:shd w:val="clear" w:color="auto" w:fill="FFFFFF"/>
        </w:rPr>
        <w:t xml:space="preserve"> fully listed on </w:t>
      </w:r>
      <w:r w:rsidR="008269C5" w:rsidRPr="00C51F57">
        <w:rPr>
          <w:sz w:val="22"/>
          <w:szCs w:val="22"/>
          <w:shd w:val="clear" w:color="auto" w:fill="FFFFFF"/>
        </w:rPr>
        <w:t>the p</w:t>
      </w:r>
      <w:r w:rsidR="001A58E9" w:rsidRPr="00C51F57">
        <w:rPr>
          <w:sz w:val="22"/>
          <w:szCs w:val="22"/>
          <w:shd w:val="clear" w:color="auto" w:fill="FFFFFF"/>
        </w:rPr>
        <w:t xml:space="preserve">remium market </w:t>
      </w:r>
      <w:r w:rsidR="00CB669F" w:rsidRPr="00C51F57">
        <w:rPr>
          <w:sz w:val="22"/>
          <w:szCs w:val="22"/>
          <w:shd w:val="clear" w:color="auto" w:fill="FFFFFF"/>
        </w:rPr>
        <w:t xml:space="preserve">of </w:t>
      </w:r>
      <w:r w:rsidR="001D2EAF" w:rsidRPr="00C51F57">
        <w:rPr>
          <w:sz w:val="22"/>
          <w:szCs w:val="22"/>
          <w:shd w:val="clear" w:color="auto" w:fill="FFFFFF"/>
        </w:rPr>
        <w:t xml:space="preserve">the </w:t>
      </w:r>
      <w:r w:rsidR="00CB669F" w:rsidRPr="00C51F57">
        <w:rPr>
          <w:sz w:val="22"/>
          <w:szCs w:val="22"/>
          <w:shd w:val="clear" w:color="auto" w:fill="FFFFFF"/>
        </w:rPr>
        <w:t>London Stock Exchange</w:t>
      </w:r>
      <w:r w:rsidR="008269C5" w:rsidRPr="00C51F57">
        <w:rPr>
          <w:sz w:val="22"/>
          <w:szCs w:val="22"/>
          <w:shd w:val="clear" w:color="auto" w:fill="FFFFFF"/>
        </w:rPr>
        <w:t xml:space="preserve">, tracker funds will buy shares thereby </w:t>
      </w:r>
      <w:r w:rsidR="001A58E9" w:rsidRPr="00C51F57">
        <w:rPr>
          <w:sz w:val="22"/>
          <w:szCs w:val="22"/>
          <w:shd w:val="clear" w:color="auto" w:fill="FFFFFF"/>
        </w:rPr>
        <w:t xml:space="preserve">increasing </w:t>
      </w:r>
      <w:r w:rsidR="00B50892" w:rsidRPr="00C51F57">
        <w:rPr>
          <w:sz w:val="22"/>
          <w:szCs w:val="22"/>
          <w:shd w:val="clear" w:color="auto" w:fill="FFFFFF"/>
        </w:rPr>
        <w:t xml:space="preserve">the company’s </w:t>
      </w:r>
      <w:r w:rsidR="001A58E9" w:rsidRPr="00C51F57">
        <w:rPr>
          <w:sz w:val="22"/>
          <w:szCs w:val="22"/>
          <w:shd w:val="clear" w:color="auto" w:fill="FFFFFF"/>
        </w:rPr>
        <w:t xml:space="preserve">value. </w:t>
      </w:r>
    </w:p>
    <w:p w14:paraId="533C02C8" w14:textId="77777777" w:rsidR="00A67550" w:rsidRPr="00C51F57" w:rsidRDefault="00A67550" w:rsidP="00BB57CD">
      <w:pPr>
        <w:pStyle w:val="NormalWeb"/>
        <w:shd w:val="clear" w:color="auto" w:fill="FFFFFF"/>
        <w:spacing w:before="240" w:beforeAutospacing="0" w:after="240" w:afterAutospacing="0" w:line="270" w:lineRule="atLeast"/>
        <w:rPr>
          <w:sz w:val="22"/>
          <w:szCs w:val="22"/>
        </w:rPr>
      </w:pPr>
    </w:p>
    <w:p w14:paraId="40439A95" w14:textId="77777777" w:rsidR="00BB57CD" w:rsidRPr="00C51F57" w:rsidRDefault="00BB57CD" w:rsidP="00227FE0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="Arial" w:hAnsi="Arial" w:cs="Arial"/>
          <w:sz w:val="18"/>
          <w:szCs w:val="18"/>
        </w:rPr>
      </w:pPr>
    </w:p>
    <w:p w14:paraId="7C8E1D7E" w14:textId="77777777" w:rsidR="00FA38B5" w:rsidRPr="00C51F57" w:rsidRDefault="00FA38B5" w:rsidP="00227FE0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="Arial" w:hAnsi="Arial" w:cs="Arial"/>
          <w:sz w:val="18"/>
          <w:szCs w:val="18"/>
        </w:rPr>
      </w:pPr>
    </w:p>
    <w:p w14:paraId="730E6308" w14:textId="77777777" w:rsidR="00FA38B5" w:rsidRPr="00C51F57" w:rsidRDefault="00FA38B5" w:rsidP="00227FE0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="Arial" w:hAnsi="Arial" w:cs="Arial"/>
          <w:sz w:val="18"/>
          <w:szCs w:val="18"/>
        </w:rPr>
      </w:pPr>
    </w:p>
    <w:p w14:paraId="09FA1847" w14:textId="77777777" w:rsidR="00FA38B5" w:rsidRPr="00C51F57" w:rsidRDefault="00FA38B5" w:rsidP="00227FE0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="Arial" w:hAnsi="Arial" w:cs="Arial"/>
          <w:sz w:val="18"/>
          <w:szCs w:val="18"/>
        </w:rPr>
      </w:pPr>
    </w:p>
    <w:p w14:paraId="5A8224B2" w14:textId="77777777" w:rsidR="00FA38B5" w:rsidRPr="00C51F57" w:rsidRDefault="00FA38B5" w:rsidP="00227FE0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="Arial" w:hAnsi="Arial" w:cs="Arial"/>
          <w:sz w:val="18"/>
          <w:szCs w:val="18"/>
        </w:rPr>
      </w:pPr>
    </w:p>
    <w:p w14:paraId="4DC6B6C0" w14:textId="77777777" w:rsidR="00184238" w:rsidRPr="00C51F57" w:rsidRDefault="00184238" w:rsidP="00227FE0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1890"/>
      </w:tblGrid>
      <w:tr w:rsidR="00C51F57" w:rsidRPr="00C51F57" w14:paraId="04EBD93C" w14:textId="77777777" w:rsidTr="00AB0B62">
        <w:tc>
          <w:tcPr>
            <w:tcW w:w="0" w:type="auto"/>
          </w:tcPr>
          <w:p w14:paraId="34C15905" w14:textId="7777777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Share price (pence)</w:t>
            </w:r>
          </w:p>
        </w:tc>
        <w:tc>
          <w:tcPr>
            <w:tcW w:w="0" w:type="auto"/>
          </w:tcPr>
          <w:p w14:paraId="7880EC08" w14:textId="43E34A9B" w:rsidR="0094235F" w:rsidRPr="00C51F57" w:rsidRDefault="00240E1B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190.0</w:t>
            </w:r>
          </w:p>
        </w:tc>
      </w:tr>
      <w:tr w:rsidR="00C51F57" w:rsidRPr="00C51F57" w14:paraId="50E5B5D4" w14:textId="77777777" w:rsidTr="00AB0B62">
        <w:tc>
          <w:tcPr>
            <w:tcW w:w="0" w:type="auto"/>
          </w:tcPr>
          <w:p w14:paraId="66F97CAE" w14:textId="7777777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Year High/ Low (pence)</w:t>
            </w:r>
          </w:p>
        </w:tc>
        <w:tc>
          <w:tcPr>
            <w:tcW w:w="0" w:type="auto"/>
          </w:tcPr>
          <w:p w14:paraId="0C310DA9" w14:textId="2E357EB7" w:rsidR="0094235F" w:rsidRPr="00C51F57" w:rsidRDefault="0094235F" w:rsidP="0094235F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245.0/126.31</w:t>
            </w:r>
          </w:p>
        </w:tc>
      </w:tr>
      <w:tr w:rsidR="00C51F57" w:rsidRPr="00C51F57" w14:paraId="476B37C9" w14:textId="77777777" w:rsidTr="00AB0B62">
        <w:tc>
          <w:tcPr>
            <w:tcW w:w="0" w:type="auto"/>
          </w:tcPr>
          <w:p w14:paraId="177D7104" w14:textId="7777777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Market Cap (£bn)</w:t>
            </w:r>
          </w:p>
        </w:tc>
        <w:tc>
          <w:tcPr>
            <w:tcW w:w="0" w:type="auto"/>
          </w:tcPr>
          <w:p w14:paraId="4265689D" w14:textId="7BF012C7" w:rsidR="0094235F" w:rsidRPr="00C51F57" w:rsidRDefault="0094235F" w:rsidP="0094235F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1.66</w:t>
            </w:r>
          </w:p>
        </w:tc>
      </w:tr>
      <w:tr w:rsidR="00C51F57" w:rsidRPr="00C51F57" w14:paraId="34266054" w14:textId="77777777" w:rsidTr="00AB0B62">
        <w:tc>
          <w:tcPr>
            <w:tcW w:w="0" w:type="auto"/>
          </w:tcPr>
          <w:p w14:paraId="7747F14F" w14:textId="7777777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Average daily Volume (mn)</w:t>
            </w:r>
          </w:p>
        </w:tc>
        <w:tc>
          <w:tcPr>
            <w:tcW w:w="0" w:type="auto"/>
          </w:tcPr>
          <w:p w14:paraId="1E0154FE" w14:textId="05C98F04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3.42</w:t>
            </w:r>
          </w:p>
        </w:tc>
      </w:tr>
      <w:tr w:rsidR="00C51F57" w:rsidRPr="00C51F57" w14:paraId="200164DC" w14:textId="77777777" w:rsidTr="00AB0B62">
        <w:tc>
          <w:tcPr>
            <w:tcW w:w="0" w:type="auto"/>
          </w:tcPr>
          <w:p w14:paraId="3F4A3801" w14:textId="7777777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P/E (TTM)</w:t>
            </w:r>
          </w:p>
        </w:tc>
        <w:tc>
          <w:tcPr>
            <w:tcW w:w="0" w:type="auto"/>
          </w:tcPr>
          <w:p w14:paraId="1D534EC4" w14:textId="7777777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-</w:t>
            </w:r>
          </w:p>
        </w:tc>
      </w:tr>
      <w:tr w:rsidR="00C51F57" w:rsidRPr="00C51F57" w14:paraId="57323CA8" w14:textId="77777777" w:rsidTr="00AB0B62">
        <w:tc>
          <w:tcPr>
            <w:tcW w:w="0" w:type="auto"/>
          </w:tcPr>
          <w:p w14:paraId="7087137A" w14:textId="7777777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Sector P/E (TTM)</w:t>
            </w:r>
          </w:p>
        </w:tc>
        <w:tc>
          <w:tcPr>
            <w:tcW w:w="0" w:type="auto"/>
          </w:tcPr>
          <w:p w14:paraId="09031B12" w14:textId="32581A3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13.7</w:t>
            </w:r>
          </w:p>
        </w:tc>
      </w:tr>
      <w:tr w:rsidR="00C51F57" w:rsidRPr="00C51F57" w14:paraId="7647595C" w14:textId="77777777" w:rsidTr="00AB0B62">
        <w:tc>
          <w:tcPr>
            <w:tcW w:w="0" w:type="auto"/>
          </w:tcPr>
          <w:p w14:paraId="3D4DDEEF" w14:textId="7777777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Fiscal Year</w:t>
            </w:r>
          </w:p>
        </w:tc>
        <w:tc>
          <w:tcPr>
            <w:tcW w:w="0" w:type="auto"/>
          </w:tcPr>
          <w:p w14:paraId="6F6E51DC" w14:textId="77777777" w:rsidR="0094235F" w:rsidRPr="00C51F57" w:rsidRDefault="0094235F" w:rsidP="00AB0B62">
            <w:pPr>
              <w:spacing w:before="240" w:after="240" w:line="240" w:lineRule="atLeast"/>
              <w:rPr>
                <w:rFonts w:ascii="Times New Roman" w:eastAsia="Times New Roman" w:hAnsi="Times New Roman" w:cs="Times New Roman"/>
                <w:lang w:eastAsia="en-GB"/>
              </w:rPr>
            </w:pPr>
            <w:r w:rsidRPr="00C51F57">
              <w:rPr>
                <w:rFonts w:ascii="Times New Roman" w:eastAsia="Times New Roman" w:hAnsi="Times New Roman" w:cs="Times New Roman"/>
                <w:lang w:eastAsia="en-GB"/>
              </w:rPr>
              <w:t>31 December 2012</w:t>
            </w:r>
          </w:p>
        </w:tc>
      </w:tr>
    </w:tbl>
    <w:p w14:paraId="5B5DC7C7" w14:textId="5ABE0F57" w:rsidR="00184238" w:rsidRPr="00C51F57" w:rsidRDefault="002B4436" w:rsidP="00227FE0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="Arial" w:hAnsi="Arial" w:cs="Arial"/>
          <w:sz w:val="18"/>
          <w:szCs w:val="18"/>
        </w:rPr>
      </w:pPr>
      <w:r w:rsidRPr="00C51F57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1F2AC91" wp14:editId="317B1AC0">
            <wp:extent cx="52482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238" w:rsidRPr="00C51F57" w:rsidSect="00A0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2D28D" w14:textId="77777777" w:rsidR="001D6584" w:rsidRDefault="001D6584" w:rsidP="00E95D4D">
      <w:pPr>
        <w:spacing w:after="0" w:line="240" w:lineRule="auto"/>
      </w:pPr>
      <w:r>
        <w:separator/>
      </w:r>
    </w:p>
  </w:endnote>
  <w:endnote w:type="continuationSeparator" w:id="0">
    <w:p w14:paraId="00D003FA" w14:textId="77777777" w:rsidR="001D6584" w:rsidRDefault="001D6584" w:rsidP="00E9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34C13" w14:textId="77777777" w:rsidR="001D6584" w:rsidRDefault="001D6584" w:rsidP="00E95D4D">
      <w:pPr>
        <w:spacing w:after="0" w:line="240" w:lineRule="auto"/>
      </w:pPr>
      <w:r>
        <w:separator/>
      </w:r>
    </w:p>
  </w:footnote>
  <w:footnote w:type="continuationSeparator" w:id="0">
    <w:p w14:paraId="7E936281" w14:textId="77777777" w:rsidR="001D6584" w:rsidRDefault="001D6584" w:rsidP="00E9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798"/>
    <w:multiLevelType w:val="hybridMultilevel"/>
    <w:tmpl w:val="5F969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1545C"/>
    <w:multiLevelType w:val="hybridMultilevel"/>
    <w:tmpl w:val="3AE61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F2"/>
    <w:rsid w:val="000019CE"/>
    <w:rsid w:val="0001254C"/>
    <w:rsid w:val="0004073D"/>
    <w:rsid w:val="0004315C"/>
    <w:rsid w:val="0006144D"/>
    <w:rsid w:val="0006437C"/>
    <w:rsid w:val="0007487D"/>
    <w:rsid w:val="00080AA9"/>
    <w:rsid w:val="000B5135"/>
    <w:rsid w:val="000B5404"/>
    <w:rsid w:val="000E20BF"/>
    <w:rsid w:val="000E2B01"/>
    <w:rsid w:val="000E6656"/>
    <w:rsid w:val="000F1228"/>
    <w:rsid w:val="00105A9E"/>
    <w:rsid w:val="00117307"/>
    <w:rsid w:val="00121D9C"/>
    <w:rsid w:val="00146A1B"/>
    <w:rsid w:val="001475E3"/>
    <w:rsid w:val="00160FFB"/>
    <w:rsid w:val="001612E8"/>
    <w:rsid w:val="00173F47"/>
    <w:rsid w:val="00184238"/>
    <w:rsid w:val="00184872"/>
    <w:rsid w:val="00194558"/>
    <w:rsid w:val="001A0F83"/>
    <w:rsid w:val="001A16B5"/>
    <w:rsid w:val="001A547F"/>
    <w:rsid w:val="001A58E9"/>
    <w:rsid w:val="001B728D"/>
    <w:rsid w:val="001C000F"/>
    <w:rsid w:val="001C7BDA"/>
    <w:rsid w:val="001D2EAF"/>
    <w:rsid w:val="001D6584"/>
    <w:rsid w:val="001F1275"/>
    <w:rsid w:val="001F27F4"/>
    <w:rsid w:val="001F7A97"/>
    <w:rsid w:val="00210EAB"/>
    <w:rsid w:val="0022031D"/>
    <w:rsid w:val="00227FE0"/>
    <w:rsid w:val="00240E1B"/>
    <w:rsid w:val="00241376"/>
    <w:rsid w:val="00246A04"/>
    <w:rsid w:val="002558AD"/>
    <w:rsid w:val="00273662"/>
    <w:rsid w:val="002B21BC"/>
    <w:rsid w:val="002B3E7D"/>
    <w:rsid w:val="002B4436"/>
    <w:rsid w:val="002B74B4"/>
    <w:rsid w:val="002C7181"/>
    <w:rsid w:val="002D2A89"/>
    <w:rsid w:val="002D491F"/>
    <w:rsid w:val="002E1F54"/>
    <w:rsid w:val="002E5FC9"/>
    <w:rsid w:val="002E64D6"/>
    <w:rsid w:val="002F26EB"/>
    <w:rsid w:val="00301FBF"/>
    <w:rsid w:val="00321C4E"/>
    <w:rsid w:val="00346330"/>
    <w:rsid w:val="0035047D"/>
    <w:rsid w:val="00350AA6"/>
    <w:rsid w:val="003542FE"/>
    <w:rsid w:val="00354757"/>
    <w:rsid w:val="003831B8"/>
    <w:rsid w:val="003F0741"/>
    <w:rsid w:val="003F2837"/>
    <w:rsid w:val="00412207"/>
    <w:rsid w:val="004155F4"/>
    <w:rsid w:val="0042025B"/>
    <w:rsid w:val="00430C36"/>
    <w:rsid w:val="004408D9"/>
    <w:rsid w:val="004417FF"/>
    <w:rsid w:val="004438EA"/>
    <w:rsid w:val="004611C5"/>
    <w:rsid w:val="00473354"/>
    <w:rsid w:val="00486EBC"/>
    <w:rsid w:val="00487B57"/>
    <w:rsid w:val="004979B2"/>
    <w:rsid w:val="004A0020"/>
    <w:rsid w:val="004B393B"/>
    <w:rsid w:val="004D3CA7"/>
    <w:rsid w:val="004D70C7"/>
    <w:rsid w:val="004D712E"/>
    <w:rsid w:val="004D7741"/>
    <w:rsid w:val="004E0BCD"/>
    <w:rsid w:val="004E0BF2"/>
    <w:rsid w:val="004E343C"/>
    <w:rsid w:val="004E73F4"/>
    <w:rsid w:val="00544EB5"/>
    <w:rsid w:val="00564CD6"/>
    <w:rsid w:val="005928F1"/>
    <w:rsid w:val="005A1A8A"/>
    <w:rsid w:val="005A7761"/>
    <w:rsid w:val="005B03B8"/>
    <w:rsid w:val="005C0C47"/>
    <w:rsid w:val="005C11F9"/>
    <w:rsid w:val="005C5DD7"/>
    <w:rsid w:val="00600539"/>
    <w:rsid w:val="00607B40"/>
    <w:rsid w:val="0061701B"/>
    <w:rsid w:val="00621AAE"/>
    <w:rsid w:val="00625DB9"/>
    <w:rsid w:val="00625F3E"/>
    <w:rsid w:val="00661FDA"/>
    <w:rsid w:val="006620CA"/>
    <w:rsid w:val="00674E9B"/>
    <w:rsid w:val="00676ED7"/>
    <w:rsid w:val="006825E6"/>
    <w:rsid w:val="0068393A"/>
    <w:rsid w:val="00684409"/>
    <w:rsid w:val="006A1276"/>
    <w:rsid w:val="006A6309"/>
    <w:rsid w:val="006B18FF"/>
    <w:rsid w:val="006B6021"/>
    <w:rsid w:val="006B76FB"/>
    <w:rsid w:val="006C29B8"/>
    <w:rsid w:val="006C3A7B"/>
    <w:rsid w:val="006E7664"/>
    <w:rsid w:val="0070237D"/>
    <w:rsid w:val="00730499"/>
    <w:rsid w:val="00731CA9"/>
    <w:rsid w:val="00745E04"/>
    <w:rsid w:val="00756932"/>
    <w:rsid w:val="00762C76"/>
    <w:rsid w:val="00781AE2"/>
    <w:rsid w:val="00785E08"/>
    <w:rsid w:val="00795F06"/>
    <w:rsid w:val="00796EE1"/>
    <w:rsid w:val="00797A22"/>
    <w:rsid w:val="007A4DA5"/>
    <w:rsid w:val="007C0B4F"/>
    <w:rsid w:val="007D4623"/>
    <w:rsid w:val="00800661"/>
    <w:rsid w:val="0081514B"/>
    <w:rsid w:val="0082536C"/>
    <w:rsid w:val="008269C5"/>
    <w:rsid w:val="0083789D"/>
    <w:rsid w:val="00854467"/>
    <w:rsid w:val="00856722"/>
    <w:rsid w:val="00896A3D"/>
    <w:rsid w:val="008B22A2"/>
    <w:rsid w:val="008B5B87"/>
    <w:rsid w:val="008C2BDE"/>
    <w:rsid w:val="008D52D1"/>
    <w:rsid w:val="008E16AE"/>
    <w:rsid w:val="008E299C"/>
    <w:rsid w:val="008F4135"/>
    <w:rsid w:val="008F4C82"/>
    <w:rsid w:val="0092228E"/>
    <w:rsid w:val="009409B5"/>
    <w:rsid w:val="0094235F"/>
    <w:rsid w:val="009542FC"/>
    <w:rsid w:val="00955AEF"/>
    <w:rsid w:val="00971D37"/>
    <w:rsid w:val="0097721F"/>
    <w:rsid w:val="009A3057"/>
    <w:rsid w:val="009B10B4"/>
    <w:rsid w:val="009D0FC0"/>
    <w:rsid w:val="009D6E63"/>
    <w:rsid w:val="009E5C7C"/>
    <w:rsid w:val="009E7EDE"/>
    <w:rsid w:val="00A005D1"/>
    <w:rsid w:val="00A0164C"/>
    <w:rsid w:val="00A07065"/>
    <w:rsid w:val="00A07D91"/>
    <w:rsid w:val="00A1348F"/>
    <w:rsid w:val="00A21232"/>
    <w:rsid w:val="00A21A7B"/>
    <w:rsid w:val="00A32881"/>
    <w:rsid w:val="00A3370E"/>
    <w:rsid w:val="00A35367"/>
    <w:rsid w:val="00A40B86"/>
    <w:rsid w:val="00A44123"/>
    <w:rsid w:val="00A46BC7"/>
    <w:rsid w:val="00A46E5D"/>
    <w:rsid w:val="00A503EE"/>
    <w:rsid w:val="00A57BD4"/>
    <w:rsid w:val="00A656DC"/>
    <w:rsid w:val="00A67550"/>
    <w:rsid w:val="00A73BA5"/>
    <w:rsid w:val="00A822E8"/>
    <w:rsid w:val="00AA2156"/>
    <w:rsid w:val="00AA6DC7"/>
    <w:rsid w:val="00AA7D14"/>
    <w:rsid w:val="00AB51B3"/>
    <w:rsid w:val="00AC2BB3"/>
    <w:rsid w:val="00AD67BB"/>
    <w:rsid w:val="00B0069E"/>
    <w:rsid w:val="00B01631"/>
    <w:rsid w:val="00B128CD"/>
    <w:rsid w:val="00B1725F"/>
    <w:rsid w:val="00B2060D"/>
    <w:rsid w:val="00B430A8"/>
    <w:rsid w:val="00B50892"/>
    <w:rsid w:val="00B5109F"/>
    <w:rsid w:val="00B6069A"/>
    <w:rsid w:val="00BA5D06"/>
    <w:rsid w:val="00BA608F"/>
    <w:rsid w:val="00BB57CD"/>
    <w:rsid w:val="00BD39E5"/>
    <w:rsid w:val="00BE1B93"/>
    <w:rsid w:val="00BE5BAC"/>
    <w:rsid w:val="00BE7794"/>
    <w:rsid w:val="00BF0142"/>
    <w:rsid w:val="00BF75DB"/>
    <w:rsid w:val="00C037EE"/>
    <w:rsid w:val="00C132B3"/>
    <w:rsid w:val="00C17732"/>
    <w:rsid w:val="00C46F89"/>
    <w:rsid w:val="00C51F57"/>
    <w:rsid w:val="00C63FAF"/>
    <w:rsid w:val="00C714FD"/>
    <w:rsid w:val="00C71850"/>
    <w:rsid w:val="00C76A52"/>
    <w:rsid w:val="00C84112"/>
    <w:rsid w:val="00C84325"/>
    <w:rsid w:val="00C87370"/>
    <w:rsid w:val="00C87956"/>
    <w:rsid w:val="00C91F30"/>
    <w:rsid w:val="00CA538C"/>
    <w:rsid w:val="00CB669F"/>
    <w:rsid w:val="00CB7E61"/>
    <w:rsid w:val="00CD0903"/>
    <w:rsid w:val="00CD5302"/>
    <w:rsid w:val="00CF22BC"/>
    <w:rsid w:val="00CF7BB3"/>
    <w:rsid w:val="00D05DB2"/>
    <w:rsid w:val="00D11E18"/>
    <w:rsid w:val="00D1248A"/>
    <w:rsid w:val="00D25756"/>
    <w:rsid w:val="00D271B8"/>
    <w:rsid w:val="00D43D52"/>
    <w:rsid w:val="00D53FB4"/>
    <w:rsid w:val="00D5432C"/>
    <w:rsid w:val="00D754DB"/>
    <w:rsid w:val="00DA3BA1"/>
    <w:rsid w:val="00DB0759"/>
    <w:rsid w:val="00DB1712"/>
    <w:rsid w:val="00DB6341"/>
    <w:rsid w:val="00DC03C8"/>
    <w:rsid w:val="00DD53BC"/>
    <w:rsid w:val="00DE5B75"/>
    <w:rsid w:val="00DF3A82"/>
    <w:rsid w:val="00E1006F"/>
    <w:rsid w:val="00E16951"/>
    <w:rsid w:val="00E21B31"/>
    <w:rsid w:val="00E4725E"/>
    <w:rsid w:val="00E559F3"/>
    <w:rsid w:val="00E57B3E"/>
    <w:rsid w:val="00E732A0"/>
    <w:rsid w:val="00E8290C"/>
    <w:rsid w:val="00E8446B"/>
    <w:rsid w:val="00E925F3"/>
    <w:rsid w:val="00E940A9"/>
    <w:rsid w:val="00E95D4D"/>
    <w:rsid w:val="00EA3A55"/>
    <w:rsid w:val="00EB1DF6"/>
    <w:rsid w:val="00EB2216"/>
    <w:rsid w:val="00EC153F"/>
    <w:rsid w:val="00EC76DC"/>
    <w:rsid w:val="00ED0B65"/>
    <w:rsid w:val="00ED1E05"/>
    <w:rsid w:val="00ED3EBC"/>
    <w:rsid w:val="00EF2ED4"/>
    <w:rsid w:val="00EF6E67"/>
    <w:rsid w:val="00EF7028"/>
    <w:rsid w:val="00F0118E"/>
    <w:rsid w:val="00F124C7"/>
    <w:rsid w:val="00F165A2"/>
    <w:rsid w:val="00F21A7D"/>
    <w:rsid w:val="00F3332E"/>
    <w:rsid w:val="00F353CD"/>
    <w:rsid w:val="00F63989"/>
    <w:rsid w:val="00F67259"/>
    <w:rsid w:val="00F71A1C"/>
    <w:rsid w:val="00F74E03"/>
    <w:rsid w:val="00FA38B5"/>
    <w:rsid w:val="00FA3AAE"/>
    <w:rsid w:val="00FB312A"/>
    <w:rsid w:val="00FC2BAF"/>
    <w:rsid w:val="00FC7148"/>
    <w:rsid w:val="00FE16B5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5F16C"/>
  <w15:docId w15:val="{C0579BC1-49FE-4924-A121-A14079C4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B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2B74B4"/>
  </w:style>
  <w:style w:type="character" w:styleId="Hyperlink">
    <w:name w:val="Hyperlink"/>
    <w:basedOn w:val="DefaultParagraphFont"/>
    <w:uiPriority w:val="99"/>
    <w:semiHidden/>
    <w:unhideWhenUsed/>
    <w:rsid w:val="002B74B4"/>
    <w:rPr>
      <w:color w:val="0000FF"/>
      <w:u w:val="single"/>
    </w:rPr>
  </w:style>
  <w:style w:type="paragraph" w:customStyle="1" w:styleId="byline">
    <w:name w:val="byline"/>
    <w:basedOn w:val="Normal"/>
    <w:rsid w:val="002B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2B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o">
    <w:name w:val="po"/>
    <w:basedOn w:val="Normal"/>
    <w:rsid w:val="0049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n">
    <w:name w:val="mn"/>
    <w:basedOn w:val="DefaultParagraphFont"/>
    <w:rsid w:val="004979B2"/>
  </w:style>
  <w:style w:type="paragraph" w:customStyle="1" w:styleId="pn">
    <w:name w:val="pn"/>
    <w:basedOn w:val="Normal"/>
    <w:rsid w:val="0049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d">
    <w:name w:val="md"/>
    <w:basedOn w:val="DefaultParagraphFont"/>
    <w:rsid w:val="004979B2"/>
  </w:style>
  <w:style w:type="character" w:styleId="Strong">
    <w:name w:val="Strong"/>
    <w:basedOn w:val="DefaultParagraphFont"/>
    <w:uiPriority w:val="22"/>
    <w:qFormat/>
    <w:rsid w:val="001B728D"/>
    <w:rPr>
      <w:b/>
      <w:bCs/>
    </w:rPr>
  </w:style>
  <w:style w:type="character" w:styleId="Emphasis">
    <w:name w:val="Emphasis"/>
    <w:basedOn w:val="DefaultParagraphFont"/>
    <w:uiPriority w:val="20"/>
    <w:qFormat/>
    <w:rsid w:val="001B728D"/>
    <w:rPr>
      <w:i/>
      <w:iCs/>
    </w:rPr>
  </w:style>
  <w:style w:type="paragraph" w:styleId="NoSpacing">
    <w:name w:val="No Spacing"/>
    <w:uiPriority w:val="1"/>
    <w:qFormat/>
    <w:rsid w:val="004438E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uthors">
    <w:name w:val="authors"/>
    <w:basedOn w:val="DefaultParagraphFont"/>
    <w:rsid w:val="00D271B8"/>
  </w:style>
  <w:style w:type="character" w:customStyle="1" w:styleId="timestamp">
    <w:name w:val="timestamp"/>
    <w:basedOn w:val="DefaultParagraphFont"/>
    <w:rsid w:val="00D271B8"/>
  </w:style>
  <w:style w:type="character" w:styleId="HTMLCite">
    <w:name w:val="HTML Cite"/>
    <w:basedOn w:val="DefaultParagraphFont"/>
    <w:uiPriority w:val="99"/>
    <w:semiHidden/>
    <w:unhideWhenUsed/>
    <w:rsid w:val="00D271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B8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4417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EAB"/>
    <w:pPr>
      <w:ind w:left="720"/>
      <w:contextualSpacing/>
    </w:pPr>
  </w:style>
  <w:style w:type="paragraph" w:customStyle="1" w:styleId="bj">
    <w:name w:val="bj"/>
    <w:basedOn w:val="Normal"/>
    <w:rsid w:val="0021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">
    <w:name w:val="ap"/>
    <w:basedOn w:val="DefaultParagraphFont"/>
    <w:rsid w:val="00210EAB"/>
  </w:style>
  <w:style w:type="character" w:customStyle="1" w:styleId="aw">
    <w:name w:val="aw"/>
    <w:basedOn w:val="DefaultParagraphFont"/>
    <w:rsid w:val="00210EAB"/>
  </w:style>
  <w:style w:type="character" w:customStyle="1" w:styleId="am">
    <w:name w:val="am"/>
    <w:basedOn w:val="DefaultParagraphFont"/>
    <w:rsid w:val="00210EAB"/>
  </w:style>
  <w:style w:type="paragraph" w:customStyle="1" w:styleId="bk">
    <w:name w:val="bk"/>
    <w:basedOn w:val="Normal"/>
    <w:rsid w:val="0021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l">
    <w:name w:val="al"/>
    <w:basedOn w:val="DefaultParagraphFont"/>
    <w:rsid w:val="00210EAB"/>
  </w:style>
  <w:style w:type="character" w:customStyle="1" w:styleId="ak">
    <w:name w:val="ak"/>
    <w:basedOn w:val="DefaultParagraphFont"/>
    <w:rsid w:val="00210EAB"/>
  </w:style>
  <w:style w:type="paragraph" w:customStyle="1" w:styleId="df">
    <w:name w:val="df"/>
    <w:basedOn w:val="Normal"/>
    <w:rsid w:val="0021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u">
    <w:name w:val="cu"/>
    <w:basedOn w:val="DefaultParagraphFont"/>
    <w:rsid w:val="00210EAB"/>
  </w:style>
  <w:style w:type="paragraph" w:customStyle="1" w:styleId="dg">
    <w:name w:val="dg"/>
    <w:basedOn w:val="Normal"/>
    <w:rsid w:val="0021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n">
    <w:name w:val="cn"/>
    <w:basedOn w:val="DefaultParagraphFont"/>
    <w:rsid w:val="00210EAB"/>
  </w:style>
  <w:style w:type="character" w:customStyle="1" w:styleId="cs">
    <w:name w:val="cs"/>
    <w:basedOn w:val="DefaultParagraphFont"/>
    <w:rsid w:val="00210EAB"/>
  </w:style>
  <w:style w:type="paragraph" w:customStyle="1" w:styleId="di">
    <w:name w:val="di"/>
    <w:basedOn w:val="Normal"/>
    <w:rsid w:val="0021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">
    <w:name w:val="cf"/>
    <w:basedOn w:val="DefaultParagraphFont"/>
    <w:rsid w:val="00210EAB"/>
  </w:style>
  <w:style w:type="character" w:customStyle="1" w:styleId="cb">
    <w:name w:val="cb"/>
    <w:basedOn w:val="DefaultParagraphFont"/>
    <w:rsid w:val="00210EAB"/>
  </w:style>
  <w:style w:type="character" w:customStyle="1" w:styleId="ca">
    <w:name w:val="ca"/>
    <w:basedOn w:val="DefaultParagraphFont"/>
    <w:rsid w:val="00210EAB"/>
  </w:style>
  <w:style w:type="table" w:styleId="TableGrid">
    <w:name w:val="Table Grid"/>
    <w:basedOn w:val="TableNormal"/>
    <w:uiPriority w:val="59"/>
    <w:rsid w:val="0018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4D"/>
  </w:style>
  <w:style w:type="paragraph" w:styleId="Footer">
    <w:name w:val="footer"/>
    <w:basedOn w:val="Normal"/>
    <w:link w:val="FooterChar"/>
    <w:uiPriority w:val="99"/>
    <w:unhideWhenUsed/>
    <w:rsid w:val="00E9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6032">
                      <w:marLeft w:val="0"/>
                      <w:marRight w:val="0"/>
                      <w:marTop w:val="24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72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0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8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bi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ft.com/cms/s/0/349c9cd2-1945-11e2-af4e-00144feabdc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lgi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1F04A-7D26-43F5-8644-67F111D56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Bhati</dc:creator>
  <cp:lastModifiedBy>dimira</cp:lastModifiedBy>
  <cp:revision>8</cp:revision>
  <cp:lastPrinted>2013-07-29T13:38:00Z</cp:lastPrinted>
  <dcterms:created xsi:type="dcterms:W3CDTF">2014-01-13T15:32:00Z</dcterms:created>
  <dcterms:modified xsi:type="dcterms:W3CDTF">2016-05-08T20:41:00Z</dcterms:modified>
</cp:coreProperties>
</file>