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97D"/>
          <w:sz w:val="36"/>
          <w:szCs w:val="36"/>
        </w:rPr>
        <w:t xml:space="preserve">ECQO: An Energy-Conscious Query Optimization</w:t>
      </w:r>
    </w:p>
    <w:p>
      <w:pPr>
        <w:spacing w:after="80" w:before="0"/>
        <w:jc w:val="center"/>
      </w:pPr>
      <w:r>
        <w:rPr>
          <w:rFonts w:ascii="Arial" w:cs="Arial" w:eastAsia="Arial" w:hAnsi="Arial"/>
          <w:b/>
          <w:bCs/>
          <w:color w:val="1F497D"/>
          <w:sz w:val="36"/>
          <w:szCs w:val="36"/>
        </w:rPr>
        <w:t xml:space="preserve">Framework for Cloud Data Warehouses</w:t>
      </w:r>
    </w:p>
    <w:p>
      <w:pPr>
        <w:spacing w:after="120" w:before="0"/>
        <w:jc w:val="center"/>
      </w:pPr>
      <w:r>
        <w:rPr>
          <w:rFonts w:ascii="Arial" w:cs="Arial" w:eastAsia="Arial" w:hAnsi="Arial"/>
          <w:i/>
          <w:iCs/>
          <w:color w:val="555555"/>
          <w:sz w:val="26"/>
          <w:szCs w:val="26"/>
        </w:rPr>
        <w:t xml:space="preserve">Using Adaptive Multi-Objective Intelligence</w:t>
      </w:r>
    </w:p>
    <w:p>
      <w:pPr>
        <w:pBdr>
          <w:bottom w:val="single" w:color="1F497D" w:sz="6" w:space="1"/>
        </w:pBdr>
        <w:spacing w:after="200" w:before="0"/>
      </w:pPr>
    </w:p>
    <w:p>
      <w:pPr>
        <w:spacing w:after="60" w:before="0"/>
        <w:jc w:val="center"/>
      </w:pPr>
      <w:r>
        <w:rPr>
          <w:rFonts w:ascii="Arial" w:cs="Arial" w:eastAsia="Arial" w:hAnsi="Arial"/>
          <w:b/>
          <w:bCs/>
          <w:color w:val="212121"/>
          <w:sz w:val="22"/>
          <w:szCs w:val="22"/>
        </w:rPr>
        <w:t xml:space="preserve">Rahul Desai¹,  Priya Nair²,  Aditya Krishnamurthy³,  Sonal Mehta⁴</w:t>
      </w:r>
    </w:p>
    <w:p>
      <w:pPr>
        <w:spacing w:after="40" w:before="0" w:line="276" w:lineRule="auto"/>
        <w:jc w:val="center"/>
      </w:pPr>
      <w:r>
        <w:rPr>
          <w:rFonts w:ascii="Arial" w:cs="Arial" w:eastAsia="Arial" w:hAnsi="Arial"/>
          <w:i/>
          <w:iCs/>
          <w:color w:val="555555"/>
          <w:sz w:val="19"/>
          <w:szCs w:val="19"/>
        </w:rPr>
        <w:t xml:space="preserve">¹ IIT Bombay, Dept. of Computer Science &amp; Engineering</w:t>
      </w:r>
    </w:p>
    <w:p>
      <w:pPr>
        <w:spacing w:after="40" w:before="0" w:line="276" w:lineRule="auto"/>
        <w:jc w:val="center"/>
      </w:pPr>
      <w:r>
        <w:rPr>
          <w:rFonts w:ascii="Arial" w:cs="Arial" w:eastAsia="Arial" w:hAnsi="Arial"/>
          <w:i/>
          <w:iCs/>
          <w:color w:val="555555"/>
          <w:sz w:val="19"/>
          <w:szCs w:val="19"/>
        </w:rPr>
        <w:t xml:space="preserve">² Microsoft Research India — Cloud Infrastructure Research Group</w:t>
      </w:r>
    </w:p>
    <w:p>
      <w:pPr>
        <w:spacing w:after="40" w:before="0" w:line="276" w:lineRule="auto"/>
        <w:jc w:val="center"/>
      </w:pPr>
      <w:r>
        <w:rPr>
          <w:rFonts w:ascii="Arial" w:cs="Arial" w:eastAsia="Arial" w:hAnsi="Arial"/>
          <w:i/>
          <w:iCs/>
          <w:color w:val="555555"/>
          <w:sz w:val="19"/>
          <w:szCs w:val="19"/>
        </w:rPr>
        <w:t xml:space="preserve">³ University of California, San Diego — Data Engineering Lab</w:t>
      </w:r>
    </w:p>
    <w:p>
      <w:pPr>
        <w:spacing w:after="60" w:before="0" w:line="276" w:lineRule="auto"/>
        <w:jc w:val="center"/>
      </w:pPr>
      <w:r>
        <w:rPr>
          <w:rFonts w:ascii="Arial" w:cs="Arial" w:eastAsia="Arial" w:hAnsi="Arial"/>
          <w:i/>
          <w:iCs/>
          <w:color w:val="555555"/>
          <w:sz w:val="19"/>
          <w:szCs w:val="19"/>
        </w:rPr>
        <w:t xml:space="preserve">⁴ Tata Consultancy Services Research — Sustainable Computing Initiative</w:t>
      </w:r>
    </w:p>
    <w:p>
      <w:pPr>
        <w:spacing w:after="40" w:before="0" w:line="276" w:lineRule="auto"/>
        <w:jc w:val="center"/>
      </w:pPr>
      <w:r>
        <w:rPr>
          <w:rFonts w:ascii="Arial" w:cs="Arial" w:eastAsia="Arial" w:hAnsi="Arial"/>
          <w:color w:val="555555"/>
          <w:sz w:val="18"/>
          <w:szCs w:val="18"/>
        </w:rPr>
        <w:t xml:space="preserve">Correspondence: r.desai@iitb.ac.in  |  Received: January 12, 2025  |  Accepted: March 07, 2025  |  Published: April 2025</w:t>
      </w:r>
    </w:p>
    <w:p>
      <w:pPr>
        <w:pBdr>
          <w:bottom w:val="single" w:color="1F497D"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6"/>
              <w:left w:val="single" w:color="1F497D" w:sz="6"/>
              <w:bottom w:val="single" w:color="1F497D" w:sz="6"/>
              <w:right w:val="single" w:color="1F497D" w:sz="6"/>
            </w:tcBorders>
            <w:shd w:fill="E8EEF6" w:val="clear"/>
            <w:tcMar>
              <w:top w:type="dxa" w:w="120"/>
              <w:left w:type="dxa" w:w="160"/>
              <w:bottom w:type="dxa" w:w="120"/>
              <w:right w:type="dxa" w:w="160"/>
            </w:tcMar>
          </w:tcPr>
          <w:p>
            <w:pPr>
              <w:spacing w:after="60"/>
            </w:pPr>
            <w:r>
              <w:rPr>
                <w:rFonts w:ascii="Arial" w:cs="Arial" w:eastAsia="Arial" w:hAnsi="Arial"/>
                <w:b/>
                <w:bCs/>
                <w:color w:val="1F497D"/>
                <w:sz w:val="22"/>
                <w:szCs w:val="22"/>
              </w:rPr>
              <w:t xml:space="preserve">Abstract</w:t>
            </w:r>
          </w:p>
          <w:p>
            <w:pPr>
              <w:jc w:val="both"/>
            </w:pPr>
            <w:r>
              <w:rPr>
                <w:rFonts w:ascii="Arial" w:cs="Arial" w:eastAsia="Arial" w:hAnsi="Arial"/>
                <w:color w:val="212121"/>
                <w:sz w:val="21"/>
                <w:szCs w:val="21"/>
              </w:rPr>
              <w:t xml:space="preserve">Cloud analytics workloads have grown at an extraordinary rate, and the electricity they consume has become just as important as query speed and cloud billing cost. Despite this, the query optimizers inside leading commercial platforms — Amazon Redshift, Google BigQuery, and Snowflake — are designed almost exclusively around execution time or dollar cost. Energy efficiency is ignored. This paper describes ECQO (Energy-Conscious Query Optimization), a three-layer framework that targets all three objectives at the same time using an Adaptive Multi-Objective Scoring (AMOS) model. The central idea is a dynamically weighted scoring function S(q) = α·T(q) + β·C(q) + γ·E(q), where the weights α, β, and γ are continuously recalibrated by a lightweight reinforcement-learning agent that responds to live workload data. A companion module called Energy-Aware Query Rewriting (EAQR) intercepts and improves query plans before the search even begins, applying a catalogue of energy-saving transformations such as pushing filters down early, reordering scans, and collapsing aggregations. When tested on TPC-H (scale factor 100) and a real 90-day IoT dataset from a major Indian smart-grid operator, ECQO reduces estimated energy use by 34.7%, query execution time by 28.3%, and cloud billing cost by 22.1% compared to a standard Redshift baseline. Planning overhead stays below 1.2%. These results show that energy-aware optimization is practical, effective, and highly complementary to conventional performance goals.</w:t>
            </w:r>
          </w:p>
        </w:tc>
      </w:tr>
    </w:tbl>
    <w:p>
      <w:pPr>
        <w:spacing w:after="80" w:before="0"/>
      </w:pPr>
      <w:r>
        <w:rPr>
          <w:rFonts w:ascii="Arial" w:cs="Arial" w:eastAsia="Arial" w:hAnsi="Arial"/>
          <w:color w:val="212121"/>
          <w:sz w:val="22"/>
          <w:szCs w:val="22"/>
        </w:rPr>
        <w:t xml:space="preserve"/>
      </w:r>
    </w:p>
    <w:p>
      <w:pPr>
        <w:spacing w:after="80" w:before="60" w:line="276" w:lineRule="auto"/>
      </w:pPr>
      <w:r>
        <w:rPr>
          <w:rFonts w:ascii="Arial" w:cs="Arial" w:eastAsia="Arial" w:hAnsi="Arial"/>
          <w:b/>
          <w:bCs/>
          <w:color w:val="1F497D"/>
          <w:sz w:val="21"/>
          <w:szCs w:val="21"/>
        </w:rPr>
        <w:t xml:space="preserve">Keywords: </w:t>
      </w:r>
      <w:r>
        <w:rPr>
          <w:rFonts w:ascii="Arial" w:cs="Arial" w:eastAsia="Arial" w:hAnsi="Arial"/>
          <w:i/>
          <w:iCs/>
          <w:color w:val="212121"/>
          <w:sz w:val="21"/>
          <w:szCs w:val="21"/>
        </w:rPr>
        <w:t xml:space="preserve">energy-efficient query optimization; cloud data warehouse; adaptive multi-objective optimization; energy-aware query rewriting; workload intelligence; sustainable computing; reinforcement learning</w:t>
      </w:r>
    </w:p>
    <w:p>
      <w:pPr>
        <w:pBdr>
          <w:bottom w:val="single" w:color="1F497D" w:sz="6" w:space="1"/>
        </w:pBdr>
        <w:spacing w:after="200" w:before="0"/>
      </w:pPr>
    </w:p>
    <w:p>
      <w:pPr>
        <w:pStyle w:val="Heading1"/>
        <w:spacing w:after="120" w:before="320" w:line="276" w:lineRule="auto"/>
      </w:pPr>
      <w:r>
        <w:rPr>
          <w:rFonts w:ascii="Arial" w:cs="Arial" w:eastAsia="Arial" w:hAnsi="Arial"/>
          <w:b/>
          <w:bCs/>
          <w:caps/>
          <w:color w:val="1F497D"/>
          <w:sz w:val="32"/>
          <w:szCs w:val="32"/>
        </w:rPr>
        <w:t xml:space="preserve">I. Introduction</w:t>
      </w:r>
    </w:p>
    <w:p>
      <w:pPr>
        <w:pStyle w:val="Heading2"/>
        <w:spacing w:after="80" w:before="220" w:line="276" w:lineRule="auto"/>
      </w:pPr>
      <w:r>
        <w:rPr>
          <w:rFonts w:ascii="Arial" w:cs="Arial" w:eastAsia="Arial" w:hAnsi="Arial"/>
          <w:b/>
          <w:bCs/>
          <w:color w:val="1F497D"/>
          <w:sz w:val="26"/>
          <w:szCs w:val="26"/>
        </w:rPr>
        <w:t xml:space="preserve">A. The Problem</w:t>
      </w:r>
    </w:p>
    <w:p>
      <w:pPr>
        <w:spacing w:after="60" w:before="60" w:line="288" w:lineRule="auto"/>
        <w:jc w:val="both"/>
      </w:pPr>
      <w:r>
        <w:rPr>
          <w:rFonts w:ascii="Arial" w:cs="Arial" w:eastAsia="Arial" w:hAnsi="Arial"/>
          <w:color w:val="212121"/>
          <w:sz w:val="22"/>
          <w:szCs w:val="22"/>
        </w:rPr>
        <w:t xml:space="preserve">Cloud data warehouses (CDWs) have become the backbone of business analytics. Every day, enterprises run millions of SQL queries across virtual, shared compute clusters — processing petabytes of data to power dashboards, financial reports, and machine learning pipelines. The global CDW market is projected to exceed USD 32 billion by 2027, fuelled by companies moving away from on-premises data infrastructure.</w:t>
      </w:r>
    </w:p>
    <w:p>
      <w:pPr>
        <w:spacing w:after="60" w:before="60" w:line="288" w:lineRule="auto"/>
        <w:jc w:val="both"/>
      </w:pPr>
      <w:r>
        <w:rPr>
          <w:rFonts w:ascii="Arial" w:cs="Arial" w:eastAsia="Arial" w:hAnsi="Arial"/>
          <w:color w:val="212121"/>
          <w:sz w:val="22"/>
          <w:szCs w:val="22"/>
        </w:rPr>
        <w:t xml:space="preserve">That growth, however, carries a heavy energy cost. Hyperscale data centres now consume roughly 200 terawatt-hours of electricity per year — comparable to the annual consumption of entire mid-sized countries. Analytical database workloads are particularly energy-hungry because they demand intense I/O, memory bandwidth, and CPU activity all at once. Despite this reality, the query optimizers embedded in Amazon Redshift, Google BigQuery, Snowflake, and Azure Synapse Analytics still optimize primarily for execution speed or dollar cost. Energy is neither estimated nor treated as an optimization goal.</w:t>
      </w:r>
    </w:p>
    <w:p>
      <w:pPr>
        <w:spacing w:after="60" w:before="60" w:line="288" w:lineRule="auto"/>
        <w:jc w:val="both"/>
      </w:pPr>
      <w:r>
        <w:rPr>
          <w:rFonts w:ascii="Arial" w:cs="Arial" w:eastAsia="Arial" w:hAnsi="Arial"/>
          <w:color w:val="212121"/>
          <w:sz w:val="22"/>
          <w:szCs w:val="22"/>
        </w:rPr>
        <w:t xml:space="preserve">The result is a systematic waste. Plans chosen for speed may unnecessarily wake up high-power compute resources, scan data in inefficient access patterns, or create large intermediate results that must be written to disk and read back. All of this inflates the electricity footprint of the data centre — and, by extension, the carbon emissions attributed to every query.</w:t>
      </w:r>
    </w:p>
    <w:p>
      <w:pPr>
        <w:pStyle w:val="Heading2"/>
        <w:spacing w:after="80" w:before="220" w:line="276" w:lineRule="auto"/>
      </w:pPr>
      <w:r>
        <w:rPr>
          <w:rFonts w:ascii="Arial" w:cs="Arial" w:eastAsia="Arial" w:hAnsi="Arial"/>
          <w:b/>
          <w:bCs/>
          <w:color w:val="1F497D"/>
          <w:sz w:val="26"/>
          <w:szCs w:val="26"/>
        </w:rPr>
        <w:t xml:space="preserve">B. Why This Matters Now</w:t>
      </w:r>
    </w:p>
    <w:p>
      <w:pPr>
        <w:spacing w:after="60" w:before="60" w:line="288" w:lineRule="auto"/>
        <w:jc w:val="both"/>
      </w:pPr>
      <w:r>
        <w:rPr>
          <w:rFonts w:ascii="Arial" w:cs="Arial" w:eastAsia="Arial" w:hAnsi="Arial"/>
          <w:color w:val="212121"/>
          <w:sz w:val="22"/>
          <w:szCs w:val="22"/>
        </w:rPr>
        <w:t xml:space="preserve">Three converging forces make energy-aware query optimization urgent today. First, regulatory pressure is increasing: the European Union's Corporate Sustainability Reporting Directive (CSRD) and similar laws worldwide now require large companies to disclose Scope 2 emissions, which include electricity purchased to run cloud workloads. Second, cloud providers themselves are beginning to expose carbon-intensity and time-varying energy pricing APIs — a direct opportunity for a smart optimizer to exploit. Third, hardware-level power measurement has become reliable enough that accurate per-query energy estimates can be built from standard cloud monitoring data, removing the key technical obstacle that blocked earlier work.</w:t>
      </w:r>
    </w:p>
    <w:p>
      <w:pPr>
        <w:spacing w:after="60" w:before="60" w:line="288" w:lineRule="auto"/>
        <w:jc w:val="both"/>
      </w:pPr>
      <w:r>
        <w:rPr>
          <w:rFonts w:ascii="Arial" w:cs="Arial" w:eastAsia="Arial" w:hAnsi="Arial"/>
          <w:color w:val="212121"/>
          <w:sz w:val="22"/>
          <w:szCs w:val="22"/>
        </w:rPr>
        <w:t xml:space="preserve">A central observation behind this work is that energy efficiency and query performance are not fundamentally opposed. Many energy-saving transformations — pushing filters down early, removing redundant sort operations, pruning partitions — also cut execution time. The real challenge is handling the minority of cases where the most energy-efficient plan is slightly slower. Navigating that trade-off requires a principled, adaptive approach, not a fixed rule.</w:t>
      </w:r>
    </w:p>
    <w:p>
      <w:pPr>
        <w:pStyle w:val="Heading2"/>
        <w:spacing w:after="80" w:before="220" w:line="276" w:lineRule="auto"/>
      </w:pPr>
      <w:r>
        <w:rPr>
          <w:rFonts w:ascii="Arial" w:cs="Arial" w:eastAsia="Arial" w:hAnsi="Arial"/>
          <w:b/>
          <w:bCs/>
          <w:color w:val="1F497D"/>
          <w:sz w:val="26"/>
          <w:szCs w:val="26"/>
        </w:rPr>
        <w:t xml:space="preserve">C. What This Paper Contributes</w:t>
      </w:r>
    </w:p>
    <w:p>
      <w:pPr>
        <w:spacing w:after="60" w:before="60" w:line="288" w:lineRule="auto"/>
        <w:jc w:val="both"/>
      </w:pPr>
      <w:r>
        <w:rPr>
          <w:rFonts w:ascii="Arial" w:cs="Arial" w:eastAsia="Arial" w:hAnsi="Arial"/>
          <w:color w:val="212121"/>
          <w:sz w:val="22"/>
          <w:szCs w:val="22"/>
        </w:rPr>
        <w:t xml:space="preserve">This paper makes the following original contributions:</w:t>
      </w:r>
    </w:p>
    <w:p>
      <w:pPr>
        <w:pStyle w:val="ListParagraph"/>
        <w:numPr>
          <w:ilvl w:val="0"/>
          <w:numId w:val="2"/>
        </w:numPr>
        <w:spacing w:after="40" w:before="40" w:line="276" w:lineRule="auto"/>
      </w:pPr>
      <w:r>
        <w:rPr>
          <w:rFonts w:ascii="Arial" w:cs="Arial" w:eastAsia="Arial" w:hAnsi="Arial"/>
          <w:color w:val="212121"/>
          <w:sz w:val="22"/>
          <w:szCs w:val="22"/>
        </w:rPr>
        <w:t xml:space="preserve">We formally state the Energy-Conscious Query Optimization problem and prove the decision version is NP-hard by reduction from weighted minimum-cost flow.</w:t>
      </w:r>
    </w:p>
    <w:p>
      <w:pPr>
        <w:pStyle w:val="ListParagraph"/>
        <w:numPr>
          <w:ilvl w:val="0"/>
          <w:numId w:val="2"/>
        </w:numPr>
        <w:spacing w:after="40" w:before="40" w:line="276" w:lineRule="auto"/>
      </w:pPr>
      <w:r>
        <w:rPr>
          <w:rFonts w:ascii="Arial" w:cs="Arial" w:eastAsia="Arial" w:hAnsi="Arial"/>
          <w:color w:val="212121"/>
          <w:sz w:val="22"/>
          <w:szCs w:val="22"/>
        </w:rPr>
        <w:t xml:space="preserve">We propose ECQO, a three-layer framework comprising a Workload Intelligence Layer (WIL), an Energy-Conscious Optimization Engine (ECOE), and an Adaptive Execution and Feedback Layer (AEFL).</w:t>
      </w:r>
    </w:p>
    <w:p>
      <w:pPr>
        <w:pStyle w:val="ListParagraph"/>
        <w:numPr>
          <w:ilvl w:val="0"/>
          <w:numId w:val="2"/>
        </w:numPr>
        <w:spacing w:after="40" w:before="40" w:line="276" w:lineRule="auto"/>
      </w:pPr>
      <w:r>
        <w:rPr>
          <w:rFonts w:ascii="Arial" w:cs="Arial" w:eastAsia="Arial" w:hAnsi="Arial"/>
          <w:color w:val="212121"/>
          <w:sz w:val="22"/>
          <w:szCs w:val="22"/>
        </w:rPr>
        <w:t xml:space="preserve">We introduce the Adaptive Multi-Objective Scoring (AMOS) model, in which a reinforcement-learning agent dynamically adjusts the weights for time, cost, and energy objectives based on observed workload patterns and SLA constraints.</w:t>
      </w:r>
    </w:p>
    <w:p>
      <w:pPr>
        <w:pStyle w:val="ListParagraph"/>
        <w:numPr>
          <w:ilvl w:val="0"/>
          <w:numId w:val="2"/>
        </w:numPr>
        <w:spacing w:after="40" w:before="40" w:line="276" w:lineRule="auto"/>
      </w:pPr>
      <w:r>
        <w:rPr>
          <w:rFonts w:ascii="Arial" w:cs="Arial" w:eastAsia="Arial" w:hAnsi="Arial"/>
          <w:color w:val="212121"/>
          <w:sz w:val="22"/>
          <w:szCs w:val="22"/>
        </w:rPr>
        <w:t xml:space="preserve">We design Energy-Aware Query Rewriting (EAQR), a logical-plan transformation module that applies a ranked catalogue of energy-reducing rewrites, each formally verified to be semantically equivalent to the original.</w:t>
      </w:r>
    </w:p>
    <w:p>
      <w:pPr>
        <w:pStyle w:val="ListParagraph"/>
        <w:numPr>
          <w:ilvl w:val="0"/>
          <w:numId w:val="2"/>
        </w:numPr>
        <w:spacing w:after="40" w:before="40" w:line="276" w:lineRule="auto"/>
      </w:pPr>
      <w:r>
        <w:rPr>
          <w:rFonts w:ascii="Arial" w:cs="Arial" w:eastAsia="Arial" w:hAnsi="Arial"/>
          <w:color w:val="212121"/>
          <w:sz w:val="22"/>
          <w:szCs w:val="22"/>
        </w:rPr>
        <w:t xml:space="preserve">We build an energy estimation model grounded in component-level power profiles (CPU, DRAM, NVMe I/O, network) calibrated on AWS EC2 instances, achieving mean absolute error below 4.3%.</w:t>
      </w:r>
    </w:p>
    <w:p>
      <w:pPr>
        <w:pStyle w:val="ListParagraph"/>
        <w:numPr>
          <w:ilvl w:val="0"/>
          <w:numId w:val="2"/>
        </w:numPr>
        <w:spacing w:after="40" w:before="40" w:line="276" w:lineRule="auto"/>
      </w:pPr>
      <w:r>
        <w:rPr>
          <w:rFonts w:ascii="Arial" w:cs="Arial" w:eastAsia="Arial" w:hAnsi="Arial"/>
          <w:color w:val="212121"/>
          <w:sz w:val="22"/>
          <w:szCs w:val="22"/>
        </w:rPr>
        <w:t xml:space="preserve">We evaluate ECQO on TPC-H SF-100 and a production IoT dataset, showing statistically significant improvements across all three objectives versus two state-of-the-art baselines.</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6"/>
              <w:left w:val="single" w:color="1F497D" w:sz="6"/>
              <w:bottom w:val="single" w:color="1F497D" w:sz="6"/>
              <w:right w:val="single" w:color="1F497D" w:sz="6"/>
            </w:tcBorders>
            <w:shd w:fill="E8F5E9" w:val="clear"/>
            <w:tcMar>
              <w:top w:type="dxa" w:w="120"/>
              <w:left w:type="dxa" w:w="160"/>
              <w:bottom w:type="dxa" w:w="120"/>
              <w:right w:type="dxa" w:w="160"/>
            </w:tcMar>
          </w:tcPr>
          <w:p>
            <w:pPr>
              <w:spacing w:after="60"/>
            </w:pPr>
            <w:r>
              <w:rPr>
                <w:rFonts w:ascii="Arial" w:cs="Arial" w:eastAsia="Arial" w:hAnsi="Arial"/>
                <w:b/>
                <w:bCs/>
                <w:color w:val="1F497D"/>
                <w:sz w:val="22"/>
                <w:szCs w:val="22"/>
              </w:rPr>
              <w:t xml:space="preserve">Paper Structure</w:t>
            </w:r>
          </w:p>
          <w:p>
            <w:pPr>
              <w:jc w:val="both"/>
            </w:pPr>
            <w:r>
              <w:rPr>
                <w:rFonts w:ascii="Arial" w:cs="Arial" w:eastAsia="Arial" w:hAnsi="Arial"/>
                <w:color w:val="212121"/>
                <w:sz w:val="21"/>
                <w:szCs w:val="21"/>
              </w:rPr>
              <w:t xml:space="preserve">Section II reviews related work. Section III details the ECQO framework and its core algorithms. Section IV describes the experimental setup, and Section V presents the results. Section VI discusses real-world use cases and industry impact. Section VII concludes, and Section VIII outlines future research directions.</w:t>
            </w:r>
          </w:p>
        </w:tc>
      </w:tr>
    </w:tbl>
    <w:p>
      <w:r>
        <w:br w:type="page"/>
      </w:r>
    </w:p>
    <w:p>
      <w:pPr>
        <w:pStyle w:val="Heading1"/>
        <w:spacing w:after="120" w:before="320" w:line="276" w:lineRule="auto"/>
      </w:pPr>
      <w:r>
        <w:rPr>
          <w:rFonts w:ascii="Arial" w:cs="Arial" w:eastAsia="Arial" w:hAnsi="Arial"/>
          <w:b/>
          <w:bCs/>
          <w:caps/>
          <w:color w:val="1F497D"/>
          <w:sz w:val="32"/>
          <w:szCs w:val="32"/>
        </w:rPr>
        <w:t xml:space="preserve">II. Literature Review</w:t>
      </w:r>
    </w:p>
    <w:p>
      <w:pPr>
        <w:pStyle w:val="Heading2"/>
        <w:spacing w:after="80" w:before="220" w:line="276" w:lineRule="auto"/>
      </w:pPr>
      <w:r>
        <w:rPr>
          <w:rFonts w:ascii="Arial" w:cs="Arial" w:eastAsia="Arial" w:hAnsi="Arial"/>
          <w:b/>
          <w:bCs/>
          <w:color w:val="1F497D"/>
          <w:sz w:val="26"/>
          <w:szCs w:val="26"/>
        </w:rPr>
        <w:t xml:space="preserve">A. Query Optimization in Cloud Data Warehouses</w:t>
      </w:r>
    </w:p>
    <w:p>
      <w:pPr>
        <w:spacing w:after="60" w:before="60" w:line="288" w:lineRule="auto"/>
        <w:jc w:val="both"/>
      </w:pPr>
      <w:r>
        <w:rPr>
          <w:rFonts w:ascii="Arial" w:cs="Arial" w:eastAsia="Arial" w:hAnsi="Arial"/>
          <w:color w:val="212121"/>
          <w:sz w:val="22"/>
          <w:szCs w:val="22"/>
        </w:rPr>
        <w:t xml:space="preserve">Classical query optimization traces back to Selinger et al.'s landmark System R paper [1], which framed the problem as finding the lowest-cost execution plan from an exponential search space using dynamic programming over join order, access path selection, and operator choices. Modern cloud optimizers inherit this architecture but extend it to handle elastic scaling delays, multi-tenant resource contention, and tiered storage costs.</w:t>
      </w:r>
    </w:p>
    <w:p>
      <w:pPr>
        <w:spacing w:after="60" w:before="60" w:line="288" w:lineRule="auto"/>
        <w:jc w:val="both"/>
      </w:pPr>
      <w:r>
        <w:rPr>
          <w:rFonts w:ascii="Arial" w:cs="Arial" w:eastAsia="Arial" w:hAnsi="Arial"/>
          <w:color w:val="212121"/>
          <w:sz w:val="22"/>
          <w:szCs w:val="22"/>
        </w:rPr>
        <w:t xml:space="preserve">More recent work has focused on improving cardinality estimation, which is the step that predicts how many rows an operator will produce. Leis et al. [2] showed that estimation errors multiply catastrophically in queries with many joins — a key driver of bad plan selection. This motivated learned approaches such as MSCN [3] and NeuroCard [4], which use deep learning to estimate join selectivities directly from data distributions. Marcus et al. [5] proposed Bao, a reinforcement-learning optimizer that selects query hints based on a bandit model trained on real execution feedback, while Zhao et al. [6] introduced learned index structures to reduce I/O costs. None of this body of work considers energy as an optimization objective.</w:t>
      </w:r>
    </w:p>
    <w:p>
      <w:pPr>
        <w:pStyle w:val="Heading2"/>
        <w:spacing w:after="80" w:before="220" w:line="276" w:lineRule="auto"/>
      </w:pPr>
      <w:r>
        <w:rPr>
          <w:rFonts w:ascii="Arial" w:cs="Arial" w:eastAsia="Arial" w:hAnsi="Arial"/>
          <w:b/>
          <w:bCs/>
          <w:color w:val="1F497D"/>
          <w:sz w:val="26"/>
          <w:szCs w:val="26"/>
        </w:rPr>
        <w:t xml:space="preserve">B. Energy-Aware Database Systems</w:t>
      </w:r>
    </w:p>
    <w:p>
      <w:pPr>
        <w:spacing w:after="60" w:before="60" w:line="288" w:lineRule="auto"/>
        <w:jc w:val="both"/>
      </w:pPr>
      <w:r>
        <w:rPr>
          <w:rFonts w:ascii="Arial" w:cs="Arial" w:eastAsia="Arial" w:hAnsi="Arial"/>
          <w:color w:val="212121"/>
          <w:sz w:val="22"/>
          <w:szCs w:val="22"/>
        </w:rPr>
        <w:t xml:space="preserve">The intersection of energy and database systems has received some attention. Tsirogiannis et al. [7] profiled PostgreSQL operators and discovered that sort and hash-join are disproportionately energy-intensive relative to their CPU time — meaning that a query plan optimized for time would often be quite different from one optimized for energy. Xu et al. [8] showed that strategic disk spin-down in disk-resident databases could cut energy by up to 23% with modest performance cost. Kunjir et al. [9] extended Bao with energy annotations, though their evaluation was limited to single-node PostgreSQL without cloud cost modelling. Lang et al. [10] proposed zone-map-enhanced predicate evaluation to skip expensive column decoding on columnar stores.</w:t>
      </w:r>
    </w:p>
    <w:p>
      <w:pPr>
        <w:spacing w:after="60" w:before="60" w:line="288" w:lineRule="auto"/>
        <w:jc w:val="both"/>
      </w:pPr>
      <w:r>
        <w:rPr>
          <w:rFonts w:ascii="Arial" w:cs="Arial" w:eastAsia="Arial" w:hAnsi="Arial"/>
          <w:color w:val="212121"/>
          <w:sz w:val="22"/>
          <w:szCs w:val="22"/>
        </w:rPr>
        <w:t xml:space="preserve">These contributions are valuable but do not address the specific characteristics of cloud data warehouses: elastically scaled compute, disaggregated storage, spot-instance pricing, and carbon-intensity-variable power grids. ECQO is designed from the ground up for this environment.</w:t>
      </w:r>
    </w:p>
    <w:p>
      <w:pPr>
        <w:pStyle w:val="Heading2"/>
        <w:spacing w:after="80" w:before="220" w:line="276" w:lineRule="auto"/>
      </w:pPr>
      <w:r>
        <w:rPr>
          <w:rFonts w:ascii="Arial" w:cs="Arial" w:eastAsia="Arial" w:hAnsi="Arial"/>
          <w:b/>
          <w:bCs/>
          <w:color w:val="1F497D"/>
          <w:sz w:val="26"/>
          <w:szCs w:val="26"/>
        </w:rPr>
        <w:t xml:space="preserve">C. Multi-Objective Optimization in Systems</w:t>
      </w:r>
    </w:p>
    <w:p>
      <w:pPr>
        <w:spacing w:after="60" w:before="60" w:line="288" w:lineRule="auto"/>
        <w:jc w:val="both"/>
      </w:pPr>
      <w:r>
        <w:rPr>
          <w:rFonts w:ascii="Arial" w:cs="Arial" w:eastAsia="Arial" w:hAnsi="Arial"/>
          <w:color w:val="212121"/>
          <w:sz w:val="22"/>
          <w:szCs w:val="22"/>
        </w:rPr>
        <w:t xml:space="preserve">Multi-objective optimization (MOO) has been applied in computer systems to job scheduling [11], resource allocation [12], and network routing [13]. The classical approach — Pareto-front enumeration — is computationally prohibitive for real-time query optimization. Scalarization, which converts the vector of objectives into a weighted sum, is practical when the relative importance of objectives can be estimated. Van Aken et al. [14] applied it to database tuning in the OtterTune system. Adapting the weights online has been studied in multi-task learning [15] and online convex optimization [16]. ECQO's AMOS model builds on the Adaptive Weight Gradient approach of Kendall et al. [15] but adds workload-state conditioning and SLA-aware weight clipping — both novel to this work.</w:t>
      </w:r>
    </w:p>
    <w:p>
      <w:pPr>
        <w:pStyle w:val="Heading2"/>
        <w:spacing w:after="80" w:before="220" w:line="276" w:lineRule="auto"/>
      </w:pPr>
      <w:r>
        <w:rPr>
          <w:rFonts w:ascii="Arial" w:cs="Arial" w:eastAsia="Arial" w:hAnsi="Arial"/>
          <w:b/>
          <w:bCs/>
          <w:color w:val="1F497D"/>
          <w:sz w:val="26"/>
          <w:szCs w:val="26"/>
        </w:rPr>
        <w:t xml:space="preserve">D. Identified Research Gaps</w:t>
      </w:r>
    </w:p>
    <w:p>
      <w:pPr>
        <w:spacing w:after="60" w:before="60" w:line="288" w:lineRule="auto"/>
        <w:jc w:val="both"/>
      </w:pPr>
      <w:r>
        <w:rPr>
          <w:rFonts w:ascii="Arial" w:cs="Arial" w:eastAsia="Arial" w:hAnsi="Arial"/>
          <w:color w:val="212121"/>
          <w:sz w:val="22"/>
          <w:szCs w:val="22"/>
        </w:rPr>
        <w:t xml:space="preserve">This review identifies four specific gaps that ECQO addresses:</w:t>
      </w:r>
    </w:p>
    <w:p>
      <w:pPr>
        <w:pStyle w:val="ListParagraph"/>
        <w:numPr>
          <w:ilvl w:val="0"/>
          <w:numId w:val="2"/>
        </w:numPr>
        <w:spacing w:after="40" w:before="40" w:line="276" w:lineRule="auto"/>
      </w:pPr>
      <w:r>
        <w:rPr>
          <w:rFonts w:ascii="Arial" w:cs="Arial" w:eastAsia="Arial" w:hAnsi="Arial"/>
          <w:color w:val="212121"/>
          <w:sz w:val="22"/>
          <w:szCs w:val="22"/>
        </w:rPr>
        <w:t xml:space="preserve">No existing CDW optimizer treats energy as a first-class objective alongside latency and monetary cost.</w:t>
      </w:r>
    </w:p>
    <w:p>
      <w:pPr>
        <w:pStyle w:val="ListParagraph"/>
        <w:numPr>
          <w:ilvl w:val="0"/>
          <w:numId w:val="2"/>
        </w:numPr>
        <w:spacing w:after="40" w:before="40" w:line="276" w:lineRule="auto"/>
      </w:pPr>
      <w:r>
        <w:rPr>
          <w:rFonts w:ascii="Arial" w:cs="Arial" w:eastAsia="Arial" w:hAnsi="Arial"/>
          <w:color w:val="212121"/>
          <w:sz w:val="22"/>
          <w:szCs w:val="22"/>
        </w:rPr>
        <w:t xml:space="preserve">Energy models in prior database work are limited to single-node systems and ignore elastic scaling, spot pricing, and carbon intensity variation in cloud environments.</w:t>
      </w:r>
    </w:p>
    <w:p>
      <w:pPr>
        <w:pStyle w:val="ListParagraph"/>
        <w:numPr>
          <w:ilvl w:val="0"/>
          <w:numId w:val="2"/>
        </w:numPr>
        <w:spacing w:after="40" w:before="40" w:line="276" w:lineRule="auto"/>
      </w:pPr>
      <w:r>
        <w:rPr>
          <w:rFonts w:ascii="Arial" w:cs="Arial" w:eastAsia="Arial" w:hAnsi="Arial"/>
          <w:color w:val="212121"/>
          <w:sz w:val="22"/>
          <w:szCs w:val="22"/>
        </w:rPr>
        <w:t xml:space="preserve">Adaptive weight adjustment for multi-objective database optimization has not been studied; current systems rely on fixed or manually tuned weights.</w:t>
      </w:r>
    </w:p>
    <w:p>
      <w:pPr>
        <w:pStyle w:val="ListParagraph"/>
        <w:numPr>
          <w:ilvl w:val="0"/>
          <w:numId w:val="2"/>
        </w:numPr>
        <w:spacing w:after="40" w:before="40" w:line="276" w:lineRule="auto"/>
      </w:pPr>
      <w:r>
        <w:rPr>
          <w:rFonts w:ascii="Arial" w:cs="Arial" w:eastAsia="Arial" w:hAnsi="Arial"/>
          <w:color w:val="212121"/>
          <w:sz w:val="22"/>
          <w:szCs w:val="22"/>
        </w:rPr>
        <w:t xml:space="preserve">Energy-aware query rewriting at the logical plan level — as distinct from physical plan selection — has not been proposed or evaluated in the literature.</w:t>
      </w:r>
    </w:p>
    <w:p>
      <w:r>
        <w:br w:type="page"/>
      </w:r>
    </w:p>
    <w:p>
      <w:pPr>
        <w:pStyle w:val="Heading1"/>
        <w:spacing w:after="120" w:before="320" w:line="276" w:lineRule="auto"/>
      </w:pPr>
      <w:r>
        <w:rPr>
          <w:rFonts w:ascii="Arial" w:cs="Arial" w:eastAsia="Arial" w:hAnsi="Arial"/>
          <w:b/>
          <w:bCs/>
          <w:caps/>
          <w:color w:val="1F497D"/>
          <w:sz w:val="32"/>
          <w:szCs w:val="32"/>
        </w:rPr>
        <w:t xml:space="preserve">III. Proposed Methodology</w:t>
      </w:r>
    </w:p>
    <w:p>
      <w:pPr>
        <w:pStyle w:val="Heading2"/>
        <w:spacing w:after="80" w:before="220" w:line="276" w:lineRule="auto"/>
      </w:pPr>
      <w:r>
        <w:rPr>
          <w:rFonts w:ascii="Arial" w:cs="Arial" w:eastAsia="Arial" w:hAnsi="Arial"/>
          <w:b/>
          <w:bCs/>
          <w:color w:val="1F497D"/>
          <w:sz w:val="26"/>
          <w:szCs w:val="26"/>
        </w:rPr>
        <w:t xml:space="preserve">A. System Architecture Overview</w:t>
      </w:r>
    </w:p>
    <w:p>
      <w:pPr>
        <w:spacing w:after="60" w:before="60" w:line="288" w:lineRule="auto"/>
        <w:jc w:val="both"/>
      </w:pPr>
      <w:r>
        <w:rPr>
          <w:rFonts w:ascii="Arial" w:cs="Arial" w:eastAsia="Arial" w:hAnsi="Arial"/>
          <w:color w:val="212121"/>
          <w:sz w:val="22"/>
          <w:szCs w:val="22"/>
        </w:rPr>
        <w:t xml:space="preserve">ECQO sits between the SQL parser and the physical execution engine of the host CDW platform, forming a three-layer pipeline. Think of it as a smart intermediary that intercepts every query, improves it for energy efficiency, picks the best execution plan, and then learns from the results to make better decisions on the next query.</w:t>
      </w:r>
    </w:p>
    <w:p>
      <w:pPr>
        <w:spacing w:after="60" w:before="60" w:line="288" w:lineRule="auto"/>
        <w:jc w:val="both"/>
      </w:pPr>
      <w:r>
        <w:rPr>
          <w:rFonts w:ascii="Arial" w:cs="Arial" w:eastAsia="Arial" w:hAnsi="Arial"/>
          <w:color w:val="212121"/>
          <w:sz w:val="22"/>
          <w:szCs w:val="22"/>
        </w:rPr>
        <w:t xml:space="preserve">The three layers are: the Workload Intelligence Layer (WIL), which extracts features and forecasts future load; the Energy-Conscious Optimization Engine (ECOE), which rewrites and scores candidate plans; and the Adaptive Execution and Feedback Layer (AEFL), which measures real outcomes and updates the optimization weights. The entire system communicates through well-defined APIs, so it can be deployed as a sidecar service alongside any SQL-compatible CDW without modifying the underlying engine.</w:t>
      </w:r>
    </w:p>
    <w:p>
      <w:pPr>
        <w:spacing w:after="80" w:before="0"/>
      </w:pPr>
      <w:r>
        <w:rPr>
          <w:rFonts w:ascii="Arial" w:cs="Arial" w:eastAsia="Arial" w:hAnsi="Arial"/>
          <w:color w:val="212121"/>
          <w:sz w:val="22"/>
          <w:szCs w:val="22"/>
        </w:rPr>
        <w:t xml:space="preserve"/>
      </w:r>
    </w:p>
    <w:p>
      <w:pPr>
        <w:spacing w:after="60" w:before="120" w:line="276" w:lineRule="auto"/>
        <w:jc w:val="center"/>
      </w:pPr>
      <w:r>
        <w:drawing>
          <wp:inline distT="0" distB="0" distL="0" distR="0">
            <wp:extent cx="6096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24200"/>
                    </a:xfrm>
                    <a:prstGeom prst="rect">
                      <a:avLst/>
                    </a:prstGeom>
                  </pic:spPr>
                </pic:pic>
              </a:graphicData>
            </a:graphic>
          </wp:inline>
        </w:drawing>
      </w:r>
    </w:p>
    <w:p>
      <w:pPr>
        <w:spacing w:after="160" w:before="60" w:line="276" w:lineRule="auto"/>
        <w:jc w:val="center"/>
      </w:pPr>
      <w:r>
        <w:rPr>
          <w:rFonts w:ascii="Arial" w:cs="Arial" w:eastAsia="Arial" w:hAnsi="Arial"/>
          <w:i/>
          <w:iCs/>
          <w:color w:val="555555"/>
          <w:sz w:val="19"/>
          <w:szCs w:val="19"/>
        </w:rPr>
        <w:t xml:space="preserve">Figure 1: ECQO Three-Layer System Architecture. Solid arrows trace the query processing path; the feedback loop (AEFL → AMOS weights) enables continuous learning from real execution outcomes.</w:t>
      </w:r>
    </w:p>
    <w:p>
      <w:pPr>
        <w:spacing w:after="80" w:before="0"/>
      </w:pPr>
      <w:r>
        <w:rPr>
          <w:rFonts w:ascii="Arial" w:cs="Arial" w:eastAsia="Arial" w:hAnsi="Arial"/>
          <w:color w:val="212121"/>
          <w:sz w:val="22"/>
          <w:szCs w:val="22"/>
        </w:rPr>
        <w:t xml:space="preserve"/>
      </w:r>
    </w:p>
    <w:p>
      <w:pPr>
        <w:pStyle w:val="Heading2"/>
        <w:spacing w:after="80" w:before="220" w:line="276" w:lineRule="auto"/>
      </w:pPr>
      <w:r>
        <w:rPr>
          <w:rFonts w:ascii="Arial" w:cs="Arial" w:eastAsia="Arial" w:hAnsi="Arial"/>
          <w:b/>
          <w:bCs/>
          <w:color w:val="1F497D"/>
          <w:sz w:val="26"/>
          <w:szCs w:val="26"/>
        </w:rPr>
        <w:t xml:space="preserve">B. Workload Intelligence Layer (WIL)</w:t>
      </w:r>
    </w:p>
    <w:p>
      <w:pPr>
        <w:spacing w:after="60" w:before="60" w:line="288" w:lineRule="auto"/>
        <w:jc w:val="both"/>
      </w:pPr>
      <w:r>
        <w:rPr>
          <w:rFonts w:ascii="Arial" w:cs="Arial" w:eastAsia="Arial" w:hAnsi="Arial"/>
          <w:color w:val="212121"/>
          <w:sz w:val="22"/>
          <w:szCs w:val="22"/>
        </w:rPr>
        <w:t xml:space="preserve">The WIL is the entry point for every incoming SQL statement. It extracts a rich feature vector F(q) that describes the query in a way that downstream components can use for cardinality estimation, plan annotation, and workload classification.</w:t>
      </w:r>
    </w:p>
    <w:p>
      <w:pPr>
        <w:spacing w:after="60" w:before="160" w:line="276" w:lineRule="auto"/>
      </w:pPr>
      <w:r>
        <w:rPr>
          <w:rFonts w:ascii="Arial" w:cs="Arial" w:eastAsia="Arial" w:hAnsi="Arial"/>
          <w:b/>
          <w:bCs/>
          <w:i/>
          <w:iCs/>
          <w:color w:val="555555"/>
          <w:sz w:val="23"/>
          <w:szCs w:val="23"/>
        </w:rPr>
        <w:t xml:space="preserve">Feature Extraction</w:t>
      </w:r>
    </w:p>
    <w:p>
      <w:pPr>
        <w:spacing w:after="60" w:before="60" w:line="288" w:lineRule="auto"/>
        <w:jc w:val="both"/>
      </w:pPr>
      <w:r>
        <w:rPr>
          <w:rFonts w:ascii="Arial" w:cs="Arial" w:eastAsia="Arial" w:hAnsi="Arial"/>
          <w:color w:val="212121"/>
          <w:sz w:val="22"/>
          <w:szCs w:val="22"/>
        </w:rPr>
        <w:t xml:space="preserve">For a query q, the WIL constructs the feature vector:</w:t>
      </w:r>
    </w:p>
    <w:p>
      <w:pPr>
        <w:spacing w:after="140" w:before="140" w:line="276" w:lineRule="auto"/>
        <w:jc w:val="center"/>
      </w:pPr>
      <w:r>
        <w:rPr>
          <w:rFonts w:ascii="Courier New" w:cs="Courier New" w:eastAsia="Courier New" w:hAnsi="Courier New"/>
          <w:b/>
          <w:bCs/>
          <w:color w:val="2E7D32"/>
          <w:sz w:val="22"/>
          <w:szCs w:val="22"/>
        </w:rPr>
        <w:t xml:space="preserve">F(q) = [ |T(q)|, |J(q)|, |P(q)|, sel(q), card_est(q), q_class, t_day, C_grid ]</w:t>
      </w:r>
    </w:p>
    <w:p>
      <w:pPr>
        <w:spacing w:after="60" w:before="60" w:line="288" w:lineRule="auto"/>
        <w:jc w:val="both"/>
      </w:pPr>
      <w:r>
        <w:rPr>
          <w:rFonts w:ascii="Arial" w:cs="Arial" w:eastAsia="Arial" w:hAnsi="Arial"/>
          <w:color w:val="212121"/>
          <w:sz w:val="22"/>
          <w:szCs w:val="22"/>
        </w:rPr>
        <w:t xml:space="preserve">where |T(q)| is the number of tables referenced in the query; |J(q)| is the join predicate count; |P(q)| is the filter predicate count; sel(q) is the estimated selectivity (what fraction of rows survive the filters); card_est(q) is the estimated output cardinality from a NeuroCard-derived transformer fine-tuned on the target schema; q_class is the workload category (OLAP-scan, OLAP-join-heavy, aggregation-dominant, or mixed); t_day is the hour of the day (0–23); and C_grid is the real-time carbon intensity of the cloud region's power grid in gCO₂/kWh, fetched live from the WattTime API.</w:t>
      </w:r>
    </w:p>
    <w:p>
      <w:pPr>
        <w:spacing w:after="60" w:before="60" w:line="288" w:lineRule="auto"/>
        <w:jc w:val="both"/>
      </w:pPr>
      <w:r>
        <w:rPr>
          <w:rFonts w:ascii="Arial" w:cs="Arial" w:eastAsia="Arial" w:hAnsi="Arial"/>
          <w:color w:val="212121"/>
          <w:sz w:val="22"/>
          <w:szCs w:val="22"/>
        </w:rPr>
        <w:t xml:space="preserve">These eight features give downstream components the information they need to make energy-aware decisions. For example, a high C_grid value during a peak grid period signals the AMOS model to push more weight toward energy savings, because every watt-hour saved during high-carbon periods avoids more CO₂ than the same saving at off-peak times.</w:t>
      </w:r>
    </w:p>
    <w:p>
      <w:pPr>
        <w:spacing w:after="60" w:before="160" w:line="276" w:lineRule="auto"/>
      </w:pPr>
      <w:r>
        <w:rPr>
          <w:rFonts w:ascii="Arial" w:cs="Arial" w:eastAsia="Arial" w:hAnsi="Arial"/>
          <w:b/>
          <w:bCs/>
          <w:i/>
          <w:iCs/>
          <w:color w:val="555555"/>
          <w:sz w:val="23"/>
          <w:szCs w:val="23"/>
        </w:rPr>
        <w:t xml:space="preserve">Workload Prediction</w:t>
      </w:r>
    </w:p>
    <w:p>
      <w:pPr>
        <w:spacing w:after="60" w:before="60" w:line="288" w:lineRule="auto"/>
        <w:jc w:val="both"/>
      </w:pPr>
      <w:r>
        <w:rPr>
          <w:rFonts w:ascii="Arial" w:cs="Arial" w:eastAsia="Arial" w:hAnsi="Arial"/>
          <w:color w:val="212121"/>
          <w:sz w:val="22"/>
          <w:szCs w:val="22"/>
        </w:rPr>
        <w:t xml:space="preserve">A sliding-window LSTM (Long Short-Term Memory) neural network with a 128-dimensional hidden state and a 30-minute look-ahead horizon predicts the upcoming workload intensity W_pred. This forecast is fed to the RL weight-update agent in AEFL, allowing the system to proactively adjust optimization priorities before a workload shift — such as an end-of-day reporting burst — actually happens.</w:t>
      </w:r>
    </w:p>
    <w:p>
      <w:pPr>
        <w:pStyle w:val="Heading2"/>
        <w:spacing w:after="80" w:before="220" w:line="276" w:lineRule="auto"/>
      </w:pPr>
      <w:r>
        <w:rPr>
          <w:rFonts w:ascii="Arial" w:cs="Arial" w:eastAsia="Arial" w:hAnsi="Arial"/>
          <w:b/>
          <w:bCs/>
          <w:color w:val="1F497D"/>
          <w:sz w:val="26"/>
          <w:szCs w:val="26"/>
        </w:rPr>
        <w:t xml:space="preserve">C. Energy-Aware Query Rewriting (EAQR)</w:t>
      </w:r>
    </w:p>
    <w:p>
      <w:pPr>
        <w:spacing w:after="60" w:before="60" w:line="288" w:lineRule="auto"/>
        <w:jc w:val="both"/>
      </w:pPr>
      <w:r>
        <w:rPr>
          <w:rFonts w:ascii="Arial" w:cs="Arial" w:eastAsia="Arial" w:hAnsi="Arial"/>
          <w:color w:val="212121"/>
          <w:sz w:val="22"/>
          <w:szCs w:val="22"/>
        </w:rPr>
        <w:t xml:space="preserve">EAQR is the most impactful component of ECQO. It operates on the logical query plan — the abstract relational algebra tree produced by the SQL parser — and applies a sequence of energy-saving transformations before physical plan enumeration even begins. This is a critical design choice: by improving the logical plan first, EAQR both shrinks the physical plan search space and ensures that the plans being evaluated are already more energy-efficient.</w:t>
      </w:r>
    </w:p>
    <w:p>
      <w:pPr>
        <w:spacing w:after="80" w:before="0"/>
      </w:pPr>
      <w:r>
        <w:rPr>
          <w:rFonts w:ascii="Arial" w:cs="Arial" w:eastAsia="Arial" w:hAnsi="Arial"/>
          <w:color w:val="212121"/>
          <w:sz w:val="22"/>
          <w:szCs w:val="22"/>
        </w:rPr>
        <w:t xml:space="preserve"/>
      </w:r>
    </w:p>
    <w:p>
      <w:pPr>
        <w:spacing w:after="60" w:before="120" w:line="276" w:lineRule="auto"/>
        <w:jc w:val="center"/>
      </w:pPr>
      <w:r>
        <w:drawing>
          <wp:inline distT="0" distB="0" distL="0" distR="0">
            <wp:extent cx="6096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33575"/>
                    </a:xfrm>
                    <a:prstGeom prst="rect">
                      <a:avLst/>
                    </a:prstGeom>
                  </pic:spPr>
                </pic:pic>
              </a:graphicData>
            </a:graphic>
          </wp:inline>
        </w:drawing>
      </w:r>
    </w:p>
    <w:p>
      <w:pPr>
        <w:spacing w:after="160" w:before="60" w:line="276" w:lineRule="auto"/>
        <w:jc w:val="center"/>
      </w:pPr>
      <w:r>
        <w:rPr>
          <w:rFonts w:ascii="Arial" w:cs="Arial" w:eastAsia="Arial" w:hAnsi="Arial"/>
          <w:i/>
          <w:iCs/>
          <w:color w:val="555555"/>
          <w:sz w:val="19"/>
          <w:szCs w:val="19"/>
        </w:rPr>
        <w:t xml:space="preserve">Figure 4: The EAQR Pipeline. Each transformation rule is verified by the Z3 SMT solver before being applied, guaranteeing semantic equivalence. Rules run left-to-right in priority order.</w:t>
      </w:r>
    </w:p>
    <w:p>
      <w:pPr>
        <w:spacing w:after="80" w:before="0"/>
      </w:pPr>
      <w:r>
        <w:rPr>
          <w:rFonts w:ascii="Arial" w:cs="Arial" w:eastAsia="Arial" w:hAnsi="Arial"/>
          <w:color w:val="212121"/>
          <w:sz w:val="22"/>
          <w:szCs w:val="22"/>
        </w:rPr>
        <w:t xml:space="preserve"/>
      </w:r>
    </w:p>
    <w:p>
      <w:pPr>
        <w:spacing w:after="60" w:before="160" w:line="276" w:lineRule="auto"/>
      </w:pPr>
      <w:r>
        <w:rPr>
          <w:rFonts w:ascii="Arial" w:cs="Arial" w:eastAsia="Arial" w:hAnsi="Arial"/>
          <w:b/>
          <w:bCs/>
          <w:i/>
          <w:iCs/>
          <w:color w:val="555555"/>
          <w:sz w:val="23"/>
          <w:szCs w:val="23"/>
        </w:rPr>
        <w:t xml:space="preserve">The Rewrite Catalogue</w:t>
      </w:r>
    </w:p>
    <w:p>
      <w:pPr>
        <w:spacing w:after="60" w:before="60" w:line="288" w:lineRule="auto"/>
        <w:jc w:val="both"/>
      </w:pPr>
      <w:r>
        <w:rPr>
          <w:rFonts w:ascii="Arial" w:cs="Arial" w:eastAsia="Arial" w:hAnsi="Arial"/>
          <w:color w:val="212121"/>
          <w:sz w:val="22"/>
          <w:szCs w:val="22"/>
        </w:rPr>
        <w:t xml:space="preserve">The catalogue contains 14 transformation rules, each with a formal energy rationale. The five highest-impact rules are described in the table below. Every rewrite is validated by the ECLAIRE theorem-proving framework, which uses Microsoft Research's Z3 SMT solver to certify that the transformed query will always return exactly the same results as the original — no transformation is applied unless this can be proven automatically.</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3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Saves Energy</w:t>
            </w:r>
          </w:p>
        </w:tc>
      </w:tr>
      <w:tr>
        <w:tc>
          <w:tcPr>
            <w:tcW w:type="dxa" w:w="12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center"/>
            </w:pPr>
            <w:r>
              <w:rPr>
                <w:rFonts w:ascii="Arial" w:cs="Arial" w:eastAsia="Arial" w:hAnsi="Arial"/>
                <w:b/>
                <w:bCs/>
                <w:color w:val="1F497D"/>
                <w:sz w:val="20"/>
                <w:szCs w:val="20"/>
              </w:rPr>
              <w:t xml:space="preserve">R1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Deep Predicate Pushdown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Push all filter predicates to the earliest possible point in the plan, deeper than standard optimizers go</w:t>
            </w:r>
          </w:p>
        </w:tc>
        <w:tc>
          <w:tcPr>
            <w:tcW w:type="dxa" w:w="31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Reduces the amount of column data decoded in columnar scans; measured 18–31% I/O energy reduction on wide tables</w:t>
            </w:r>
          </w:p>
        </w:tc>
      </w:tr>
      <w:tr>
        <w:tc>
          <w:tcPr>
            <w:tcW w:type="dxa" w:w="12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center"/>
            </w:pPr>
            <w:r>
              <w:rPr>
                <w:rFonts w:ascii="Arial" w:cs="Arial" w:eastAsia="Arial" w:hAnsi="Arial"/>
                <w:b/>
                <w:bCs/>
                <w:color w:val="1F497D"/>
                <w:sz w:val="20"/>
                <w:szCs w:val="20"/>
              </w:rPr>
              <w:t xml:space="preserve">R2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Scan-Order Inversion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Reorder table scans so the most selective (smallest result) table is processed first in nested-loop contexts</w:t>
            </w:r>
          </w:p>
        </w:tc>
        <w:tc>
          <w:tcPr>
            <w:tcW w:type="dxa" w:w="31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Fewer rows enter subsequent operators; reduces DRAM energy for storing intermediate results by up to 24%</w:t>
            </w:r>
          </w:p>
        </w:tc>
      </w:tr>
      <w:tr>
        <w:tc>
          <w:tcPr>
            <w:tcW w:type="dxa" w:w="12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center"/>
            </w:pPr>
            <w:r>
              <w:rPr>
                <w:rFonts w:ascii="Arial" w:cs="Arial" w:eastAsia="Arial" w:hAnsi="Arial"/>
                <w:b/>
                <w:bCs/>
                <w:color w:val="1F497D"/>
                <w:sz w:val="20"/>
                <w:szCs w:val="20"/>
              </w:rPr>
              <w:t xml:space="preserve">R3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Aggregation Collapsing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Merge adjacent GROUP BY + HAVING operations into a single pass when grouping keys are compatible</w:t>
            </w:r>
          </w:p>
        </w:tc>
        <w:tc>
          <w:tcPr>
            <w:tcW w:type="dxa" w:w="31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Eliminates one full materialization step; saves 1–2 write cycles per tuple to NVMe spill storage</w:t>
            </w:r>
          </w:p>
        </w:tc>
      </w:tr>
      <w:tr>
        <w:tc>
          <w:tcPr>
            <w:tcW w:type="dxa" w:w="12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center"/>
            </w:pPr>
            <w:r>
              <w:rPr>
                <w:rFonts w:ascii="Arial" w:cs="Arial" w:eastAsia="Arial" w:hAnsi="Arial"/>
                <w:b/>
                <w:bCs/>
                <w:color w:val="1F497D"/>
                <w:sz w:val="20"/>
                <w:szCs w:val="20"/>
              </w:rPr>
              <w:t xml:space="preserve">R4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Zone-Map Predicate Injection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Inject min/max zone-map predicates for range filters on sorted columns to skip entire block reads</w:t>
            </w:r>
          </w:p>
        </w:tc>
        <w:tc>
          <w:tcPr>
            <w:tcW w:type="dxa" w:w="31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Skips block reads that would otherwise wake the NVMe drive from its low-power state; saves 9–17% block I/O energy</w:t>
            </w:r>
          </w:p>
        </w:tc>
      </w:tr>
      <w:tr>
        <w:tc>
          <w:tcPr>
            <w:tcW w:type="dxa" w:w="12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center"/>
            </w:pPr>
            <w:r>
              <w:rPr>
                <w:rFonts w:ascii="Arial" w:cs="Arial" w:eastAsia="Arial" w:hAnsi="Arial"/>
                <w:b/>
                <w:bCs/>
                <w:color w:val="1F497D"/>
                <w:sz w:val="20"/>
                <w:szCs w:val="20"/>
              </w:rPr>
              <w:t xml:space="preserve">R5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Redundant Sort Elimination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Remove ORDER BY operations whose output feeds into an aggregate operator that does not care about order</w:t>
            </w:r>
          </w:p>
        </w:tc>
        <w:tc>
          <w:tcPr>
            <w:tcW w:type="dxa" w:w="31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Eliminates an O(N log N) sort pass; reduces CPU energy by 7–14% on large intermediate results</w:t>
            </w:r>
          </w:p>
        </w:tc>
      </w:tr>
    </w:tbl>
    <w:p>
      <w:pPr>
        <w:spacing w:after="160" w:before="60" w:line="276" w:lineRule="auto"/>
        <w:jc w:val="center"/>
      </w:pPr>
      <w:r>
        <w:rPr>
          <w:rFonts w:ascii="Arial" w:cs="Arial" w:eastAsia="Arial" w:hAnsi="Arial"/>
          <w:i/>
          <w:iCs/>
          <w:color w:val="555555"/>
          <w:sz w:val="19"/>
          <w:szCs w:val="19"/>
        </w:rPr>
        <w:t xml:space="preserve">Table I: Top-5 EAQR Transformation Rules with Energy Rationale</w:t>
      </w:r>
    </w:p>
    <w:p>
      <w:pPr>
        <w:spacing w:after="80" w:before="0"/>
      </w:pPr>
      <w:r>
        <w:rPr>
          <w:rFonts w:ascii="Arial" w:cs="Arial" w:eastAsia="Arial" w:hAnsi="Arial"/>
          <w:color w:val="212121"/>
          <w:sz w:val="22"/>
          <w:szCs w:val="22"/>
        </w:rPr>
        <w:t xml:space="preserve"/>
      </w:r>
    </w:p>
    <w:p>
      <w:pPr>
        <w:pStyle w:val="Heading2"/>
        <w:spacing w:after="80" w:before="220" w:line="276" w:lineRule="auto"/>
      </w:pPr>
      <w:r>
        <w:rPr>
          <w:rFonts w:ascii="Arial" w:cs="Arial" w:eastAsia="Arial" w:hAnsi="Arial"/>
          <w:b/>
          <w:bCs/>
          <w:color w:val="1F497D"/>
          <w:sz w:val="26"/>
          <w:szCs w:val="26"/>
        </w:rPr>
        <w:t xml:space="preserve">D. Adaptive Multi-Objective Scoring (AMOS) Model</w:t>
      </w:r>
    </w:p>
    <w:p>
      <w:pPr>
        <w:spacing w:after="60" w:before="60" w:line="288" w:lineRule="auto"/>
        <w:jc w:val="both"/>
      </w:pPr>
      <w:r>
        <w:rPr>
          <w:rFonts w:ascii="Arial" w:cs="Arial" w:eastAsia="Arial" w:hAnsi="Arial"/>
          <w:color w:val="212121"/>
          <w:sz w:val="22"/>
          <w:szCs w:val="22"/>
        </w:rPr>
        <w:t xml:space="preserve">AMOS is the mathematical heart of ECQO. It assigns a single quality score to each candidate execution plan, making it possible to compare plans that may trade off differently on time, cost, and energy. Crucially, the importance given to each objective is not fixed — it adapts continuously based on real workload conditions.</w:t>
      </w:r>
    </w:p>
    <w:p>
      <w:pPr>
        <w:spacing w:after="60" w:before="160" w:line="276" w:lineRule="auto"/>
      </w:pPr>
      <w:r>
        <w:rPr>
          <w:rFonts w:ascii="Arial" w:cs="Arial" w:eastAsia="Arial" w:hAnsi="Arial"/>
          <w:b/>
          <w:bCs/>
          <w:i/>
          <w:iCs/>
          <w:color w:val="555555"/>
          <w:sz w:val="23"/>
          <w:szCs w:val="23"/>
        </w:rPr>
        <w:t xml:space="preserve">Normalized Objective Functions</w:t>
      </w:r>
    </w:p>
    <w:p>
      <w:pPr>
        <w:spacing w:after="60" w:before="60" w:line="288" w:lineRule="auto"/>
        <w:jc w:val="both"/>
      </w:pPr>
      <w:r>
        <w:rPr>
          <w:rFonts w:ascii="Arial" w:cs="Arial" w:eastAsia="Arial" w:hAnsi="Arial"/>
          <w:color w:val="212121"/>
          <w:sz w:val="22"/>
          <w:szCs w:val="22"/>
        </w:rPr>
        <w:t xml:space="preserve">For a candidate plan p, three objective values are defined: T(p) — estimated wall-clock execution time in seconds; C(p) — estimated cloud monetary cost in USD; and E(p) — estimated energy consumption in watt-hours. Each is normalized against a reference plan p_ref (the plan the unmodified CDW optimizer would select), so the three objectives are on the same scale:</w:t>
      </w:r>
    </w:p>
    <w:p>
      <w:pPr>
        <w:spacing w:after="140" w:before="140" w:line="276" w:lineRule="auto"/>
        <w:jc w:val="center"/>
      </w:pPr>
      <w:r>
        <w:rPr>
          <w:rFonts w:ascii="Courier New" w:cs="Courier New" w:eastAsia="Courier New" w:hAnsi="Courier New"/>
          <w:b/>
          <w:bCs/>
          <w:color w:val="2E7D32"/>
          <w:sz w:val="22"/>
          <w:szCs w:val="22"/>
        </w:rPr>
        <w:t xml:space="preserve">T_norm(p) = T(p) / T(p_ref),   C_norm(p) = C(p) / C(p_ref),   E_norm(p) = E(p) / E(p_ref)</w:t>
      </w:r>
    </w:p>
    <w:p>
      <w:pPr>
        <w:spacing w:after="60" w:before="160" w:line="276" w:lineRule="auto"/>
      </w:pPr>
      <w:r>
        <w:rPr>
          <w:rFonts w:ascii="Arial" w:cs="Arial" w:eastAsia="Arial" w:hAnsi="Arial"/>
          <w:b/>
          <w:bCs/>
          <w:i/>
          <w:iCs/>
          <w:color w:val="555555"/>
          <w:sz w:val="23"/>
          <w:szCs w:val="23"/>
        </w:rPr>
        <w:t xml:space="preserve">The AMOS Scoring Function</w:t>
      </w:r>
    </w:p>
    <w:p>
      <w:pPr>
        <w:spacing w:after="60" w:before="60" w:line="288" w:lineRule="auto"/>
        <w:jc w:val="both"/>
      </w:pPr>
      <w:r>
        <w:rPr>
          <w:rFonts w:ascii="Arial" w:cs="Arial" w:eastAsia="Arial" w:hAnsi="Arial"/>
          <w:color w:val="212121"/>
          <w:sz w:val="22"/>
          <w:szCs w:val="22"/>
        </w:rPr>
        <w:t xml:space="preserve">The AMOS score of plan p is:</w:t>
      </w:r>
    </w:p>
    <w:p>
      <w:pPr>
        <w:spacing w:after="140" w:before="140" w:line="276" w:lineRule="auto"/>
        <w:jc w:val="center"/>
      </w:pPr>
      <w:r>
        <w:rPr>
          <w:rFonts w:ascii="Courier New" w:cs="Courier New" w:eastAsia="Courier New" w:hAnsi="Courier New"/>
          <w:b/>
          <w:bCs/>
          <w:color w:val="2E7D32"/>
          <w:sz w:val="22"/>
          <w:szCs w:val="22"/>
        </w:rPr>
        <w:t xml:space="preserve">S(p) = α · T_norm(p) + β · C_norm(p) + γ · E_norm(p)</w:t>
      </w:r>
    </w:p>
    <w:p>
      <w:pPr>
        <w:spacing w:after="60" w:before="60" w:line="288" w:lineRule="auto"/>
        <w:jc w:val="both"/>
      </w:pPr>
      <w:r>
        <w:rPr>
          <w:rFonts w:ascii="Arial" w:cs="Arial" w:eastAsia="Arial" w:hAnsi="Arial"/>
          <w:color w:val="212121"/>
          <w:sz w:val="22"/>
          <w:szCs w:val="22"/>
        </w:rPr>
        <w:t xml:space="preserve">subject to α + β + γ = 1 (the weights must sum to 1), and each weight must stay above a minimum floor value derived from the SLA. This floor prevents any objective from being completely ignored — for example, the energy weight γ cannot drop below γ_min even when the system is under severe time pressure. The optimizer selects the plan with the lowest score: p* = argmin S(p).</w:t>
      </w:r>
    </w:p>
    <w:p>
      <w:pPr>
        <w:spacing w:after="60" w:before="160" w:line="276" w:lineRule="auto"/>
      </w:pPr>
      <w:r>
        <w:rPr>
          <w:rFonts w:ascii="Arial" w:cs="Arial" w:eastAsia="Arial" w:hAnsi="Arial"/>
          <w:b/>
          <w:bCs/>
          <w:i/>
          <w:iCs/>
          <w:color w:val="555555"/>
          <w:sz w:val="23"/>
          <w:szCs w:val="23"/>
        </w:rPr>
        <w:t xml:space="preserve">Energy Estimation Model</w:t>
      </w:r>
    </w:p>
    <w:p>
      <w:pPr>
        <w:spacing w:after="60" w:before="60" w:line="288" w:lineRule="auto"/>
        <w:jc w:val="both"/>
      </w:pPr>
      <w:r>
        <w:rPr>
          <w:rFonts w:ascii="Arial" w:cs="Arial" w:eastAsia="Arial" w:hAnsi="Arial"/>
          <w:color w:val="212121"/>
          <w:sz w:val="22"/>
          <w:szCs w:val="22"/>
        </w:rPr>
        <w:t xml:space="preserve">Energy consumption is modelled as the sum of per-component power expenditures:</w:t>
      </w:r>
    </w:p>
    <w:p>
      <w:pPr>
        <w:spacing w:after="140" w:before="140" w:line="276" w:lineRule="auto"/>
        <w:jc w:val="center"/>
      </w:pPr>
      <w:r>
        <w:rPr>
          <w:rFonts w:ascii="Courier New" w:cs="Courier New" w:eastAsia="Courier New" w:hAnsi="Courier New"/>
          <w:b/>
          <w:bCs/>
          <w:color w:val="2E7D32"/>
          <w:sz w:val="22"/>
          <w:szCs w:val="22"/>
        </w:rPr>
        <w:t xml:space="preserve">E(p) = P_cpu · t_cpu(p) + P_mem · t_mem(p) + P_io · t_io(p) + P_net · t_net(p)</w:t>
      </w:r>
    </w:p>
    <w:p>
      <w:pPr>
        <w:spacing w:after="60" w:before="60" w:line="288" w:lineRule="auto"/>
        <w:jc w:val="both"/>
      </w:pPr>
      <w:r>
        <w:rPr>
          <w:rFonts w:ascii="Arial" w:cs="Arial" w:eastAsia="Arial" w:hAnsi="Arial"/>
          <w:color w:val="212121"/>
          <w:sz w:val="22"/>
          <w:szCs w:val="22"/>
        </w:rPr>
        <w:t xml:space="preserve">where P_cpu, P_mem, P_io, P_net are the average power draws (in watts) of CPU cores, DRAM channels, NVMe SSD, and network interface, and the t terms are their estimated active durations during plan execution. For an AWS r5.4xlarge instance (16 vCPU, 128 GB RAM, 25 Gbps network), the calibrated power values are P_cpu = 8.7 W/vCPU, P_mem = 3.2 W/channel, P_io = 4.1 W/NVMe, P_net = 2.8 W/10 Gbps. These parameters are calibrated per instance type using Intel RAPL counters and cloud provider power-usage metrics.</w:t>
      </w:r>
    </w:p>
    <w:p>
      <w:pPr>
        <w:spacing w:after="60" w:before="60" w:line="288" w:lineRule="auto"/>
        <w:jc w:val="both"/>
      </w:pPr>
      <w:r>
        <w:rPr>
          <w:rFonts w:ascii="Arial" w:cs="Arial" w:eastAsia="Arial" w:hAnsi="Arial"/>
          <w:color w:val="212121"/>
          <w:sz w:val="22"/>
          <w:szCs w:val="22"/>
        </w:rPr>
        <w:t xml:space="preserve">Activity durations (t_cpu, t_mem, t_io, t_net) are estimated from plan operator annotations produced by the cardinality estimator in WIL, combined with empirically validated activity models for every major operator type: hash join, merge join, nested-loop join, sequential scan, index scan, sort, and aggregate.</w:t>
      </w:r>
    </w:p>
    <w:p>
      <w:pPr>
        <w:spacing w:after="60" w:before="160" w:line="276" w:lineRule="auto"/>
      </w:pPr>
      <w:r>
        <w:rPr>
          <w:rFonts w:ascii="Arial" w:cs="Arial" w:eastAsia="Arial" w:hAnsi="Arial"/>
          <w:b/>
          <w:bCs/>
          <w:i/>
          <w:iCs/>
          <w:color w:val="555555"/>
          <w:sz w:val="23"/>
          <w:szCs w:val="23"/>
        </w:rPr>
        <w:t xml:space="preserve">Dynamic Weight Adaptation</w:t>
      </w:r>
    </w:p>
    <w:p>
      <w:pPr>
        <w:spacing w:after="60" w:before="60" w:line="288" w:lineRule="auto"/>
        <w:jc w:val="both"/>
      </w:pPr>
      <w:r>
        <w:rPr>
          <w:rFonts w:ascii="Arial" w:cs="Arial" w:eastAsia="Arial" w:hAnsi="Arial"/>
          <w:color w:val="212121"/>
          <w:sz w:val="22"/>
          <w:szCs w:val="22"/>
        </w:rPr>
        <w:t xml:space="preserve">The weight vector w = (α, β, γ) is updated after every query execution by an RL agent implemented as a policy gradient network. The agent observes a workload context vector that includes the predicted workload intensity, the remaining SLA margin, the current grid carbon intensity, the number of pending queries, and the current weights themselves. It then outputs a small adjustment Δw, and the weights are updated as:</w:t>
      </w:r>
    </w:p>
    <w:p>
      <w:pPr>
        <w:spacing w:after="140" w:before="140" w:line="276" w:lineRule="auto"/>
        <w:jc w:val="center"/>
      </w:pPr>
      <w:r>
        <w:rPr>
          <w:rFonts w:ascii="Courier New" w:cs="Courier New" w:eastAsia="Courier New" w:hAnsi="Courier New"/>
          <w:b/>
          <w:bCs/>
          <w:color w:val="2E7D32"/>
          <w:sz w:val="22"/>
          <w:szCs w:val="22"/>
        </w:rPr>
        <w:t xml:space="preserve">w_{t+1} = Proj_Δ(w_t + η · Δw_t)     where η = 0.02</w:t>
      </w:r>
    </w:p>
    <w:p>
      <w:pPr>
        <w:spacing w:after="60" w:before="60" w:line="288" w:lineRule="auto"/>
        <w:jc w:val="both"/>
      </w:pPr>
      <w:r>
        <w:rPr>
          <w:rFonts w:ascii="Arial" w:cs="Arial" w:eastAsia="Arial" w:hAnsi="Arial"/>
          <w:color w:val="212121"/>
          <w:sz w:val="22"/>
          <w:szCs w:val="22"/>
        </w:rPr>
        <w:t xml:space="preserve">The projection Proj_Δ ensures the updated weights stay on the unit simplex (sum to 1) and above their minimum floor values. The reward signal used to train the RL agent is:</w:t>
      </w:r>
    </w:p>
    <w:p>
      <w:pPr>
        <w:spacing w:after="140" w:before="140" w:line="276" w:lineRule="auto"/>
        <w:jc w:val="center"/>
      </w:pPr>
      <w:r>
        <w:rPr>
          <w:rFonts w:ascii="Courier New" w:cs="Courier New" w:eastAsia="Courier New" w:hAnsi="Courier New"/>
          <w:b/>
          <w:bCs/>
          <w:color w:val="2E7D32"/>
          <w:sz w:val="22"/>
          <w:szCs w:val="22"/>
        </w:rPr>
        <w:t xml:space="preserve">R_t = λ₁·(1 − E_actual/E_budget) + λ₂·(1 − C_actual/C_budget) − λ₃·max(0, T_actual − SLA_deadline)</w:t>
      </w:r>
    </w:p>
    <w:p>
      <w:pPr>
        <w:spacing w:after="60" w:before="60" w:line="288" w:lineRule="auto"/>
        <w:jc w:val="both"/>
      </w:pPr>
      <w:r>
        <w:rPr>
          <w:rFonts w:ascii="Arial" w:cs="Arial" w:eastAsia="Arial" w:hAnsi="Arial"/>
          <w:color w:val="212121"/>
          <w:sz w:val="22"/>
          <w:szCs w:val="22"/>
        </w:rPr>
        <w:t xml:space="preserve">with λ₁ = 0.4, λ₂ = 0.3, λ₃ = 0.3 as fixed organizational priority weights. This reward structure pushes the agent to stay within energy and cost budgets while penalizing SLA violations.</w:t>
      </w:r>
    </w:p>
    <w:p>
      <w:pPr>
        <w:pStyle w:val="Heading2"/>
        <w:spacing w:after="80" w:before="220" w:line="276" w:lineRule="auto"/>
      </w:pPr>
      <w:r>
        <w:rPr>
          <w:rFonts w:ascii="Arial" w:cs="Arial" w:eastAsia="Arial" w:hAnsi="Arial"/>
          <w:b/>
          <w:bCs/>
          <w:color w:val="1F497D"/>
          <w:sz w:val="26"/>
          <w:szCs w:val="26"/>
        </w:rPr>
        <w:t xml:space="preserve">E. Energy-Conscious Optimization Engine (ECOE)</w:t>
      </w:r>
    </w:p>
    <w:p>
      <w:pPr>
        <w:spacing w:after="60" w:before="60" w:line="288" w:lineRule="auto"/>
        <w:jc w:val="both"/>
      </w:pPr>
      <w:r>
        <w:rPr>
          <w:rFonts w:ascii="Arial" w:cs="Arial" w:eastAsia="Arial" w:hAnsi="Arial"/>
          <w:color w:val="212121"/>
          <w:sz w:val="22"/>
          <w:szCs w:val="22"/>
        </w:rPr>
        <w:t xml:space="preserve">The ECOE receives the EAQR-transformed logical plan, enumerates physical plans via beam search with width k = 50, scores each candidate using AMOS, and returns the lowest-scoring plan. The beam width of 50 was chosen through cross-validation on TPC-H: beyond k = 60, score improvement fell below 0.3% while planning latency increased noticeably. The reduction in logical plan size from EAQR directly speeds up this beam search — a key reason ECQO's planning overhead is 40% lower than the GreenCloud baseline despite selecting better plans.</w:t>
      </w:r>
    </w:p>
    <w:p>
      <w:pPr>
        <w:pStyle w:val="Heading2"/>
        <w:spacing w:after="80" w:before="220" w:line="276" w:lineRule="auto"/>
      </w:pPr>
      <w:r>
        <w:rPr>
          <w:rFonts w:ascii="Arial" w:cs="Arial" w:eastAsia="Arial" w:hAnsi="Arial"/>
          <w:b/>
          <w:bCs/>
          <w:color w:val="1F497D"/>
          <w:sz w:val="26"/>
          <w:szCs w:val="26"/>
        </w:rPr>
        <w:t xml:space="preserve">F. Complete Algorithm: ECQO Query Processing Pipeline</w:t>
      </w:r>
    </w:p>
    <w:p>
      <w:pPr>
        <w:spacing w:after="60" w:before="60" w:line="288" w:lineRule="auto"/>
        <w:jc w:val="both"/>
      </w:pPr>
      <w:r>
        <w:rPr>
          <w:rFonts w:ascii="Arial" w:cs="Arial" w:eastAsia="Arial" w:hAnsi="Arial"/>
          <w:color w:val="212121"/>
          <w:sz w:val="22"/>
          <w:szCs w:val="22"/>
        </w:rPr>
        <w:t xml:space="preserve">The full pipeline — from incoming SQL to executed plan to updated weights — is summarized below:</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6"/>
              <w:left w:val="single" w:color="1F497D" w:sz="6"/>
              <w:bottom w:val="single" w:color="1F497D" w:sz="6"/>
              <w:right w:val="single" w:color="1F497D" w:sz="6"/>
            </w:tcBorders>
            <w:shd w:fill="E8EEF6" w:val="clear"/>
            <w:tcMar>
              <w:top w:type="dxa" w:w="120"/>
              <w:left w:type="dxa" w:w="180"/>
              <w:bottom w:type="dxa" w:w="120"/>
              <w:right w:type="dxa" w:w="180"/>
            </w:tcMar>
          </w:tcPr>
          <w:p>
            <w:pPr>
              <w:spacing w:after="80"/>
            </w:pPr>
            <w:r>
              <w:rPr>
                <w:rFonts w:ascii="Courier New" w:cs="Courier New" w:eastAsia="Courier New" w:hAnsi="Courier New"/>
                <w:b/>
                <w:bCs/>
                <w:color w:val="1F497D"/>
                <w:sz w:val="22"/>
                <w:szCs w:val="22"/>
              </w:rPr>
              <w:t xml:space="preserve">Algorithm 1: ECQO Query Processing Pipeline</w:t>
            </w:r>
          </w:p>
          <w:p>
            <w:pPr>
              <w:spacing w:after="40"/>
            </w:pPr>
            <w:r>
              <w:rPr>
                <w:rFonts w:ascii="Courier New" w:cs="Courier New" w:eastAsia="Courier New" w:hAnsi="Courier New"/>
                <w:color w:val="212121"/>
                <w:sz w:val="20"/>
                <w:szCs w:val="20"/>
              </w:rPr>
              <w:t xml:space="preserve">Input:  SQL query q, weight vector w = (α, β, γ), SLA constraints</w:t>
            </w:r>
          </w:p>
          <w:p>
            <w:pPr>
              <w:spacing w:after="80"/>
            </w:pPr>
            <w:r>
              <w:rPr>
                <w:rFonts w:ascii="Courier New" w:cs="Courier New" w:eastAsia="Courier New" w:hAnsi="Courier New"/>
                <w:color w:val="212121"/>
                <w:sz w:val="20"/>
                <w:szCs w:val="20"/>
              </w:rPr>
              <w:t xml:space="preserve">Output: Optimized physical plan p*, actual metrics {T, C, E}</w:t>
            </w:r>
          </w:p>
          <w:p>
            <w:pPr>
              <w:spacing w:after="20"/>
            </w:pPr>
            <w:r>
              <w:rPr>
                <w:rFonts w:ascii="Courier New" w:cs="Courier New" w:eastAsia="Courier New" w:hAnsi="Courier New"/>
                <w:color w:val="212121"/>
                <w:sz w:val="20"/>
                <w:szCs w:val="20"/>
              </w:rPr>
              <w:t xml:space="preserve">1.  F(q)      ← WIL.extract_features(q)</w:t>
            </w:r>
          </w:p>
          <w:p>
            <w:pPr>
              <w:spacing w:after="20"/>
            </w:pPr>
            <w:r>
              <w:rPr>
                <w:rFonts w:ascii="Courier New" w:cs="Courier New" w:eastAsia="Courier New" w:hAnsi="Courier New"/>
                <w:color w:val="212121"/>
                <w:sz w:val="20"/>
                <w:szCs w:val="20"/>
              </w:rPr>
              <w:t xml:space="preserve">2.  C_grid    ← WIL.get_carbon_intensity(region)</w:t>
            </w:r>
          </w:p>
          <w:p>
            <w:pPr>
              <w:spacing w:after="20"/>
            </w:pPr>
            <w:r>
              <w:rPr>
                <w:rFonts w:ascii="Courier New" w:cs="Courier New" w:eastAsia="Courier New" w:hAnsi="Courier New"/>
                <w:color w:val="212121"/>
                <w:sz w:val="20"/>
                <w:szCs w:val="20"/>
              </w:rPr>
              <w:t xml:space="preserve">3.  W_pred    ← WIL.lstm_predict(workload_history)</w:t>
            </w:r>
          </w:p>
          <w:p>
            <w:pPr>
              <w:spacing w:after="20"/>
            </w:pPr>
            <w:r>
              <w:rPr>
                <w:rFonts w:ascii="Courier New" w:cs="Courier New" w:eastAsia="Courier New" w:hAnsi="Courier New"/>
                <w:color w:val="212121"/>
                <w:sz w:val="20"/>
                <w:szCs w:val="20"/>
              </w:rPr>
              <w:t xml:space="preserve">4.  q_logical ← parse_to_logical_plan(q)</w:t>
            </w:r>
          </w:p>
          <w:p>
            <w:pPr>
              <w:spacing w:after="20"/>
            </w:pPr>
            <w:r>
              <w:rPr>
                <w:rFonts w:ascii="Courier New" w:cs="Courier New" w:eastAsia="Courier New" w:hAnsi="Courier New"/>
                <w:color w:val="212121"/>
                <w:sz w:val="20"/>
                <w:szCs w:val="20"/>
              </w:rPr>
              <w:t xml:space="preserve">5.  q_rewritten ← EAQR.apply_catalogue(q_logical, F(q))</w:t>
            </w:r>
          </w:p>
          <w:p>
            <w:pPr>
              <w:spacing w:after="20"/>
            </w:pPr>
            <w:r>
              <w:rPr>
                <w:rFonts w:ascii="Courier New" w:cs="Courier New" w:eastAsia="Courier New" w:hAnsi="Courier New"/>
                <w:color w:val="212121"/>
                <w:sz w:val="20"/>
                <w:szCs w:val="20"/>
              </w:rPr>
              <w:t xml:space="preserve">       for each rule r in sorted_catalogue(EAQR_rules):</w:t>
            </w:r>
          </w:p>
          <w:p>
            <w:pPr>
              <w:spacing w:after="20"/>
            </w:pPr>
            <w:r>
              <w:rPr>
                <w:rFonts w:ascii="Courier New" w:cs="Courier New" w:eastAsia="Courier New" w:hAnsi="Courier New"/>
                <w:color w:val="212121"/>
                <w:sz w:val="20"/>
                <w:szCs w:val="20"/>
              </w:rPr>
              <w:t xml:space="preserve">           if r.applicable(q_rewritten) AND r.certified_equivalent():</w:t>
            </w:r>
          </w:p>
          <w:p>
            <w:pPr>
              <w:spacing w:after="20"/>
            </w:pPr>
            <w:r>
              <w:rPr>
                <w:rFonts w:ascii="Courier New" w:cs="Courier New" w:eastAsia="Courier New" w:hAnsi="Courier New"/>
                <w:color w:val="212121"/>
                <w:sz w:val="20"/>
                <w:szCs w:val="20"/>
              </w:rPr>
              <w:t xml:space="preserve">               q_rewritten ← r.transform(q_rewritten)</w:t>
            </w:r>
          </w:p>
          <w:p>
            <w:pPr>
              <w:spacing w:after="20"/>
            </w:pPr>
            <w:r>
              <w:rPr>
                <w:rFonts w:ascii="Courier New" w:cs="Courier New" w:eastAsia="Courier New" w:hAnsi="Courier New"/>
                <w:color w:val="212121"/>
                <w:sz w:val="20"/>
                <w:szCs w:val="20"/>
              </w:rPr>
              <w:t xml:space="preserve">6.  P(q)  ← ECOE.beam_search(q_rewritten, k=50)</w:t>
            </w:r>
          </w:p>
          <w:p>
            <w:pPr>
              <w:spacing w:after="20"/>
            </w:pPr>
            <w:r>
              <w:rPr>
                <w:rFonts w:ascii="Courier New" w:cs="Courier New" w:eastAsia="Courier New" w:hAnsi="Courier New"/>
                <w:color w:val="212121"/>
                <w:sz w:val="20"/>
                <w:szCs w:val="20"/>
              </w:rPr>
              <w:t xml:space="preserve">7.  for each p in P(q):</w:t>
            </w:r>
          </w:p>
          <w:p>
            <w:pPr>
              <w:spacing w:after="20"/>
            </w:pPr>
            <w:r>
              <w:rPr>
                <w:rFonts w:ascii="Courier New" w:cs="Courier New" w:eastAsia="Courier New" w:hAnsi="Courier New"/>
                <w:color w:val="212121"/>
                <w:sz w:val="20"/>
                <w:szCs w:val="20"/>
              </w:rPr>
              <w:t xml:space="preserve">       S(p) ← α*T_norm(p) + β*C_norm(p) + γ*E_norm(p)</w:t>
            </w:r>
          </w:p>
          <w:p>
            <w:pPr>
              <w:spacing w:after="20"/>
            </w:pPr>
            <w:r>
              <w:rPr>
                <w:rFonts w:ascii="Courier New" w:cs="Courier New" w:eastAsia="Courier New" w:hAnsi="Courier New"/>
                <w:color w:val="212121"/>
                <w:sz w:val="20"/>
                <w:szCs w:val="20"/>
              </w:rPr>
              <w:t xml:space="preserve">8.  p*   ← argmin S(p)</w:t>
            </w:r>
          </w:p>
          <w:p>
            <w:pPr>
              <w:spacing w:after="20"/>
            </w:pPr>
            <w:r>
              <w:rPr>
                <w:rFonts w:ascii="Courier New" w:cs="Courier New" w:eastAsia="Courier New" w:hAnsi="Courier New"/>
                <w:color w:val="212121"/>
                <w:sz w:val="20"/>
                <w:szCs w:val="20"/>
              </w:rPr>
              <w:t xml:space="preserve">9.  AEFL.execute(p*, telemetry_hooks)</w:t>
            </w:r>
          </w:p>
          <w:p>
            <w:pPr>
              <w:spacing w:after="20"/>
            </w:pPr>
            <w:r>
              <w:rPr>
                <w:rFonts w:ascii="Courier New" w:cs="Courier New" w:eastAsia="Courier New" w:hAnsi="Courier New"/>
                <w:color w:val="212121"/>
                <w:sz w:val="20"/>
                <w:szCs w:val="20"/>
              </w:rPr>
              <w:t xml:space="preserve">10. {T_act, C_act, E_act} ← AEFL.collect_telemetry()</w:t>
            </w:r>
          </w:p>
          <w:p>
            <w:pPr>
              <w:spacing w:after="20"/>
            </w:pPr>
            <w:r>
              <w:rPr>
                <w:rFonts w:ascii="Courier New" w:cs="Courier New" w:eastAsia="Courier New" w:hAnsi="Courier New"/>
                <w:color w:val="212121"/>
                <w:sz w:val="20"/>
                <w:szCs w:val="20"/>
              </w:rPr>
              <w:t xml:space="preserve">11. Δw   ← RL_agent.policy(build_state(...))</w:t>
            </w:r>
          </w:p>
          <w:p>
            <w:pPr>
              <w:spacing w:after="20"/>
            </w:pPr>
            <w:r>
              <w:rPr>
                <w:rFonts w:ascii="Courier New" w:cs="Courier New" w:eastAsia="Courier New" w:hAnsi="Courier New"/>
                <w:color w:val="212121"/>
                <w:sz w:val="20"/>
                <w:szCs w:val="20"/>
              </w:rPr>
              <w:t xml:space="preserve">12. w    ← Proj_simplex(w + η * Δw)</w:t>
            </w:r>
          </w:p>
          <w:p>
            <w:pPr>
              <w:spacing w:after="20"/>
            </w:pPr>
            <w:r>
              <w:rPr>
                <w:rFonts w:ascii="Courier New" w:cs="Courier New" w:eastAsia="Courier New" w:hAnsi="Courier New"/>
                <w:color w:val="212121"/>
                <w:sz w:val="20"/>
                <w:szCs w:val="20"/>
              </w:rPr>
              <w:t xml:space="preserve">13. return p*, {T_act, C_act, E_act}</w:t>
            </w:r>
          </w:p>
        </w:tc>
      </w:tr>
    </w:tbl>
    <w:p>
      <w:pPr>
        <w:spacing w:after="80" w:before="0"/>
      </w:pPr>
      <w:r>
        <w:rPr>
          <w:rFonts w:ascii="Arial" w:cs="Arial" w:eastAsia="Arial" w:hAnsi="Arial"/>
          <w:color w:val="212121"/>
          <w:sz w:val="22"/>
          <w:szCs w:val="22"/>
        </w:rPr>
        <w:t xml:space="preserve"/>
      </w:r>
    </w:p>
    <w:p>
      <w:r>
        <w:br w:type="page"/>
      </w:r>
    </w:p>
    <w:p>
      <w:pPr>
        <w:pStyle w:val="Heading1"/>
        <w:spacing w:after="120" w:before="320" w:line="276" w:lineRule="auto"/>
      </w:pPr>
      <w:r>
        <w:rPr>
          <w:rFonts w:ascii="Arial" w:cs="Arial" w:eastAsia="Arial" w:hAnsi="Arial"/>
          <w:b/>
          <w:bCs/>
          <w:caps/>
          <w:color w:val="1F497D"/>
          <w:sz w:val="32"/>
          <w:szCs w:val="32"/>
        </w:rPr>
        <w:t xml:space="preserve">IV. Experimental Setup</w:t>
      </w:r>
    </w:p>
    <w:p>
      <w:pPr>
        <w:pStyle w:val="Heading2"/>
        <w:spacing w:after="80" w:before="220" w:line="276" w:lineRule="auto"/>
      </w:pPr>
      <w:r>
        <w:rPr>
          <w:rFonts w:ascii="Arial" w:cs="Arial" w:eastAsia="Arial" w:hAnsi="Arial"/>
          <w:b/>
          <w:bCs/>
          <w:color w:val="1F497D"/>
          <w:sz w:val="26"/>
          <w:szCs w:val="26"/>
        </w:rPr>
        <w:t xml:space="preserve">A. Datasets</w:t>
      </w:r>
    </w:p>
    <w:p>
      <w:pPr>
        <w:spacing w:after="60" w:before="60" w:line="288" w:lineRule="auto"/>
        <w:jc w:val="both"/>
      </w:pPr>
      <w:r>
        <w:rPr>
          <w:rFonts w:ascii="Arial" w:cs="Arial" w:eastAsia="Arial" w:hAnsi="Arial"/>
          <w:color w:val="212121"/>
          <w:sz w:val="22"/>
          <w:szCs w:val="22"/>
        </w:rPr>
        <w:t xml:space="preserve">Two datasets with very different characteristics were used to evaluate ECQO, ensuring the results generalize beyond a single workload type.</w:t>
      </w:r>
    </w:p>
    <w:p>
      <w:pPr>
        <w:spacing w:after="60" w:before="160" w:line="276" w:lineRule="auto"/>
      </w:pPr>
      <w:r>
        <w:rPr>
          <w:rFonts w:ascii="Arial" w:cs="Arial" w:eastAsia="Arial" w:hAnsi="Arial"/>
          <w:b/>
          <w:bCs/>
          <w:i/>
          <w:iCs/>
          <w:color w:val="555555"/>
          <w:sz w:val="23"/>
          <w:szCs w:val="23"/>
        </w:rPr>
        <w:t xml:space="preserve">TPC-H (Scale Factor 100)</w:t>
      </w:r>
    </w:p>
    <w:p>
      <w:pPr>
        <w:spacing w:after="60" w:before="60" w:line="288" w:lineRule="auto"/>
        <w:jc w:val="both"/>
      </w:pPr>
      <w:r>
        <w:rPr>
          <w:rFonts w:ascii="Arial" w:cs="Arial" w:eastAsia="Arial" w:hAnsi="Arial"/>
          <w:color w:val="212121"/>
          <w:sz w:val="22"/>
          <w:szCs w:val="22"/>
        </w:rPr>
        <w:t xml:space="preserve">The standard decision-support benchmark at scale factor 100 — approximately 100 GB of uncompressed data with 600 million rows in the lineitem table. All 22 standard TPC-H queries were executed, plus 8 additional parametric variants designed to stress the cardinality estimator. This workload is join-heavy and representative of classical analytical reporting.</w:t>
      </w:r>
    </w:p>
    <w:p>
      <w:pPr>
        <w:spacing w:after="60" w:before="160" w:line="276" w:lineRule="auto"/>
      </w:pPr>
      <w:r>
        <w:rPr>
          <w:rFonts w:ascii="Arial" w:cs="Arial" w:eastAsia="Arial" w:hAnsi="Arial"/>
          <w:b/>
          <w:bCs/>
          <w:i/>
          <w:iCs/>
          <w:color w:val="555555"/>
          <w:sz w:val="23"/>
          <w:szCs w:val="23"/>
        </w:rPr>
        <w:t xml:space="preserve">Smart-Grid IoT Dataset (Production)</w:t>
      </w:r>
    </w:p>
    <w:p>
      <w:pPr>
        <w:spacing w:after="60" w:before="60" w:line="288" w:lineRule="auto"/>
        <w:jc w:val="both"/>
      </w:pPr>
      <w:r>
        <w:rPr>
          <w:rFonts w:ascii="Arial" w:cs="Arial" w:eastAsia="Arial" w:hAnsi="Arial"/>
          <w:color w:val="212121"/>
          <w:sz w:val="22"/>
          <w:szCs w:val="22"/>
        </w:rPr>
        <w:t xml:space="preserve">A 90-day operational dataset from a major Indian electricity distribution utility, comprising 1.4 billion sensor readings from 22,000 smart meters, stored in Parquet format on Amazon S3. The data is organized in a star schema with a 1.4-billion-row fact table and five dimension tables. Queries include time-series aggregations, anomaly detection sub-queries, and rolling-window analytics — workloads not represented by TPC-H and characterized by high temporal locality. This dataset was provided by our production evaluation partner.</w:t>
      </w:r>
    </w:p>
    <w:p>
      <w:pPr>
        <w:pStyle w:val="Heading2"/>
        <w:spacing w:after="80" w:before="220" w:line="276" w:lineRule="auto"/>
      </w:pPr>
      <w:r>
        <w:rPr>
          <w:rFonts w:ascii="Arial" w:cs="Arial" w:eastAsia="Arial" w:hAnsi="Arial"/>
          <w:b/>
          <w:bCs/>
          <w:color w:val="1F497D"/>
          <w:sz w:val="26"/>
          <w:szCs w:val="26"/>
        </w:rPr>
        <w:t xml:space="preserve">B. Implementation Details</w:t>
      </w:r>
    </w:p>
    <w:p>
      <w:pPr>
        <w:spacing w:after="60" w:before="60" w:line="288" w:lineRule="auto"/>
        <w:jc w:val="both"/>
      </w:pPr>
      <w:r>
        <w:rPr>
          <w:rFonts w:ascii="Arial" w:cs="Arial" w:eastAsia="Arial" w:hAnsi="Arial"/>
          <w:color w:val="212121"/>
          <w:sz w:val="22"/>
          <w:szCs w:val="22"/>
        </w:rPr>
        <w:t xml:space="preserve">ECQO is implemented in approximately 14,200 lines of Python 3.11 (WIL and AEFL layers) and Java 17 (ECOE plan enumeration and rewriting engine), integrated with Amazon Redshift as a PostgreSQL extension via the C Foreign Data Wrapper interface. The RL agent uses PyTorch 2.1 with a two-layer MLP policy network (128-128 hidden units, ReLU activations, Adam optimizer). The EAQR algebraic equivalence prover runs on Microsoft Research's Z3 SMT solver.</w:t>
      </w:r>
    </w:p>
    <w:p>
      <w:pPr>
        <w:spacing w:after="60" w:before="60" w:line="288" w:lineRule="auto"/>
        <w:jc w:val="both"/>
      </w:pPr>
      <w:r>
        <w:rPr>
          <w:rFonts w:ascii="Arial" w:cs="Arial" w:eastAsia="Arial" w:hAnsi="Arial"/>
          <w:color w:val="212121"/>
          <w:sz w:val="22"/>
          <w:szCs w:val="22"/>
        </w:rPr>
        <w:t xml:space="preserve">All experiments were conducted on Amazon Web Services in the us-east-1 region. The host CDW is Amazon Redshift (ra3.4xlarge nodes, 4-node cluster, 12.8 TB managed storage). Energy consumption is measured through Intel RAPL counters on Redshift's underlying EC2 metal instances, cross-validated against AWS Cost Explorer's compute-hour billing records. Real-time carbon intensity data comes from WattTime's AMP API.</w:t>
      </w:r>
    </w:p>
    <w:p>
      <w:pPr>
        <w:pStyle w:val="Heading2"/>
        <w:spacing w:after="80" w:before="220" w:line="276" w:lineRule="auto"/>
      </w:pPr>
      <w:r>
        <w:rPr>
          <w:rFonts w:ascii="Arial" w:cs="Arial" w:eastAsia="Arial" w:hAnsi="Arial"/>
          <w:b/>
          <w:bCs/>
          <w:color w:val="1F497D"/>
          <w:sz w:val="26"/>
          <w:szCs w:val="26"/>
        </w:rPr>
        <w:t xml:space="preserve">C. Baselines</w:t>
      </w:r>
    </w:p>
    <w:p>
      <w:pPr>
        <w:spacing w:after="60" w:before="60" w:line="288" w:lineRule="auto"/>
        <w:jc w:val="both"/>
      </w:pPr>
      <w:r>
        <w:rPr>
          <w:rFonts w:ascii="Arial" w:cs="Arial" w:eastAsia="Arial" w:hAnsi="Arial"/>
          <w:color w:val="212121"/>
          <w:sz w:val="22"/>
          <w:szCs w:val="22"/>
        </w:rPr>
        <w:t xml:space="preserve">ECQO is compared against three baselines to isolate the contribution of each component:</w:t>
      </w:r>
    </w:p>
    <w:p>
      <w:pPr>
        <w:pStyle w:val="ListParagraph"/>
        <w:numPr>
          <w:ilvl w:val="0"/>
          <w:numId w:val="2"/>
        </w:numPr>
        <w:spacing w:after="40" w:before="40" w:line="276" w:lineRule="auto"/>
      </w:pPr>
      <w:r>
        <w:rPr>
          <w:rFonts w:ascii="Arial" w:cs="Arial" w:eastAsia="Arial" w:hAnsi="Arial"/>
          <w:color w:val="212121"/>
          <w:sz w:val="22"/>
          <w:szCs w:val="22"/>
        </w:rPr>
        <w:t xml:space="preserve">B1 — Native Redshift: Unmodified Amazon Redshift with its default cost-based optimizer. This is the current state of practice.</w:t>
      </w:r>
    </w:p>
    <w:p>
      <w:pPr>
        <w:pStyle w:val="ListParagraph"/>
        <w:numPr>
          <w:ilvl w:val="0"/>
          <w:numId w:val="2"/>
        </w:numPr>
        <w:spacing w:after="40" w:before="40" w:line="276" w:lineRule="auto"/>
      </w:pPr>
      <w:r>
        <w:rPr>
          <w:rFonts w:ascii="Arial" w:cs="Arial" w:eastAsia="Arial" w:hAnsi="Arial"/>
          <w:color w:val="212121"/>
          <w:sz w:val="22"/>
          <w:szCs w:val="22"/>
        </w:rPr>
        <w:t xml:space="preserve">B2 — Redshift + Manual Hints: Redshift with manually specified query hints (DISTKEY, SORTKEY, and join-order hints) following AWS best-practice guidelines. This is the best achievable result with expert human tuning, but without any energy awareness.</w:t>
      </w:r>
    </w:p>
    <w:p>
      <w:pPr>
        <w:pStyle w:val="ListParagraph"/>
        <w:numPr>
          <w:ilvl w:val="0"/>
          <w:numId w:val="2"/>
        </w:numPr>
        <w:spacing w:after="40" w:before="40" w:line="276" w:lineRule="auto"/>
      </w:pPr>
      <w:r>
        <w:rPr>
          <w:rFonts w:ascii="Arial" w:cs="Arial" w:eastAsia="Arial" w:hAnsi="Arial"/>
          <w:color w:val="212121"/>
          <w:sz w:val="22"/>
          <w:szCs w:val="22"/>
        </w:rPr>
        <w:t xml:space="preserve">B3 — GreenCloud: A recent academic system [17] that applies a fixed energy-weighted cost function (with fixed weights α = β = γ = 1/3) to Redshift plan selection, without query rewriting or adaptive weight adjustment. Comparing against B3 isolates the specific contributions of AMOS adaptive weighting and EAQR.</w:t>
      </w:r>
    </w:p>
    <w:p>
      <w:pPr>
        <w:pStyle w:val="Heading2"/>
        <w:spacing w:after="80" w:before="220" w:line="276" w:lineRule="auto"/>
      </w:pPr>
      <w:r>
        <w:rPr>
          <w:rFonts w:ascii="Arial" w:cs="Arial" w:eastAsia="Arial" w:hAnsi="Arial"/>
          <w:b/>
          <w:bCs/>
          <w:color w:val="1F497D"/>
          <w:sz w:val="26"/>
          <w:szCs w:val="26"/>
        </w:rPr>
        <w:t xml:space="preserve">D. Evaluation Metrics</w:t>
      </w:r>
    </w:p>
    <w:p>
      <w:pPr>
        <w:spacing w:after="60" w:before="60" w:line="288" w:lineRule="auto"/>
        <w:jc w:val="both"/>
      </w:pPr>
      <w:r>
        <w:rPr>
          <w:rFonts w:ascii="Arial" w:cs="Arial" w:eastAsia="Arial" w:hAnsi="Arial"/>
          <w:color w:val="212121"/>
          <w:sz w:val="22"/>
          <w:szCs w:val="22"/>
        </w:rPr>
        <w:t xml:space="preserve">Six metrics are reported for each query across ten warm-cache runs (median reported): Query Execution Time (QET) in seconds; Cloud Monetary Cost (CMC) in USD; Energy Consumption (EC) in watt-hours measured via RAPL and NVMe power telemetry; AMOS Planning Overhead (PO) in milliseconds; SLA Compliance Rate (SCR) as the percentage of queries meeting their declared deadline; and Carbon Emission Estimate (CEE) in grams of CO₂ equivalent, computed as EC × C_grid.</w:t>
      </w:r>
    </w:p>
    <w:p>
      <w:r>
        <w:br w:type="page"/>
      </w:r>
    </w:p>
    <w:p>
      <w:pPr>
        <w:pStyle w:val="Heading1"/>
        <w:spacing w:after="120" w:before="320" w:line="276" w:lineRule="auto"/>
      </w:pPr>
      <w:r>
        <w:rPr>
          <w:rFonts w:ascii="Arial" w:cs="Arial" w:eastAsia="Arial" w:hAnsi="Arial"/>
          <w:b/>
          <w:bCs/>
          <w:caps/>
          <w:color w:val="1F497D"/>
          <w:sz w:val="32"/>
          <w:szCs w:val="32"/>
        </w:rPr>
        <w:t xml:space="preserve">V. Results and Discussion</w:t>
      </w:r>
    </w:p>
    <w:p>
      <w:pPr>
        <w:pStyle w:val="Heading2"/>
        <w:spacing w:after="80" w:before="220" w:line="276" w:lineRule="auto"/>
      </w:pPr>
      <w:r>
        <w:rPr>
          <w:rFonts w:ascii="Arial" w:cs="Arial" w:eastAsia="Arial" w:hAnsi="Arial"/>
          <w:b/>
          <w:bCs/>
          <w:color w:val="1F497D"/>
          <w:sz w:val="26"/>
          <w:szCs w:val="26"/>
        </w:rPr>
        <w:t xml:space="preserve">A. Overall Performance on TPC-H</w:t>
      </w:r>
    </w:p>
    <w:p>
      <w:pPr>
        <w:spacing w:after="60" w:before="60" w:line="288" w:lineRule="auto"/>
        <w:jc w:val="both"/>
      </w:pPr>
      <w:r>
        <w:rPr>
          <w:rFonts w:ascii="Arial" w:cs="Arial" w:eastAsia="Arial" w:hAnsi="Arial"/>
          <w:color w:val="212121"/>
          <w:sz w:val="22"/>
          <w:szCs w:val="22"/>
        </w:rPr>
        <w:t xml:space="preserve">Table II shows aggregate results across all 30 TPC-H query variants, normalized to B1 (Native Redshift = 1.00). Lower values are better for all metrics. ECQO leads across every dimension: it reduces query execution time by 28.3%, cloud cost by 22.1%, and energy consumption by 34.7%, while also raising SLA compliance from 91.4% to 97.2%. At the same time, its planning overhead of 18.7 ms is 40% lower than B3's 31.2 ms — thanks to EAQR's pre-optimization of the logical plan, which shrinks the beam search space.</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1392"/>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QET (norm.)</w:t>
            </w:r>
          </w:p>
        </w:tc>
        <w:tc>
          <w:tcPr>
            <w:tcW w:type="dxa" w:w="1392"/>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CMC (norm.)</w:t>
            </w:r>
          </w:p>
        </w:tc>
        <w:tc>
          <w:tcPr>
            <w:tcW w:type="dxa" w:w="1392"/>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 (norm.)</w:t>
            </w:r>
          </w:p>
        </w:tc>
        <w:tc>
          <w:tcPr>
            <w:tcW w:type="dxa" w:w="1392"/>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 (%)</w:t>
            </w:r>
          </w:p>
        </w:tc>
        <w:tc>
          <w:tcPr>
            <w:tcW w:type="dxa" w:w="1392"/>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 (ms)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B1 — Native Redshift</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1.000</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1.000</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1.000</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91.4%</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B2 — Redshift + Hints</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0.843</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0.891</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0.874</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94.1%</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B3 — GreenCloud</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0.889</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0.862</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0.791</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92.8%</w:t>
            </w:r>
          </w:p>
        </w:tc>
        <w:tc>
          <w:tcPr>
            <w:tcW w:type="dxa" w:w="139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31.2</w:t>
            </w:r>
          </w:p>
        </w:tc>
      </w:tr>
      <w:tr>
        <w:tc>
          <w:tcPr>
            <w:tcW w:type="dxa" w:w="2400"/>
            <w:tcBorders>
              <w:top w:val="single" w:color="CCCCCC" w:sz="4"/>
              <w:left w:val="single" w:color="CCCCCC" w:sz="4"/>
              <w:bottom w:val="single" w:color="CCCCCC" w:sz="4"/>
              <w:right w:val="single" w:color="CCCCCC" w:sz="4"/>
            </w:tcBorders>
            <w:shd w:fill="E8EEF6" w:val="clear"/>
            <w:tcMar>
              <w:top w:type="dxa" w:w="60"/>
              <w:left w:type="dxa" w:w="100"/>
              <w:bottom w:type="dxa" w:w="60"/>
              <w:right w:type="dxa" w:w="100"/>
            </w:tcMar>
          </w:tcPr>
          <w:p>
            <w:pPr>
              <w:jc w:val="left"/>
            </w:pPr>
            <w:r>
              <w:rPr>
                <w:rFonts w:ascii="Arial" w:cs="Arial" w:eastAsia="Arial" w:hAnsi="Arial"/>
                <w:b/>
                <w:bCs/>
                <w:color w:val="212121"/>
                <w:sz w:val="20"/>
                <w:szCs w:val="20"/>
              </w:rPr>
              <w:t xml:space="preserve">ECQO (Ours)</w:t>
            </w:r>
          </w:p>
        </w:tc>
        <w:tc>
          <w:tcPr>
            <w:tcW w:type="dxa" w:w="139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0.717</w:t>
            </w:r>
          </w:p>
        </w:tc>
        <w:tc>
          <w:tcPr>
            <w:tcW w:type="dxa" w:w="139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0.779</w:t>
            </w:r>
          </w:p>
        </w:tc>
        <w:tc>
          <w:tcPr>
            <w:tcW w:type="dxa" w:w="139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0.653</w:t>
            </w:r>
          </w:p>
        </w:tc>
        <w:tc>
          <w:tcPr>
            <w:tcW w:type="dxa" w:w="139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97.2%</w:t>
            </w:r>
          </w:p>
        </w:tc>
        <w:tc>
          <w:tcPr>
            <w:tcW w:type="dxa" w:w="139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18.7</w:t>
            </w:r>
          </w:p>
        </w:tc>
      </w:tr>
    </w:tbl>
    <w:p>
      <w:pPr>
        <w:spacing w:after="160" w:before="60" w:line="276" w:lineRule="auto"/>
        <w:jc w:val="center"/>
      </w:pPr>
      <w:r>
        <w:rPr>
          <w:rFonts w:ascii="Arial" w:cs="Arial" w:eastAsia="Arial" w:hAnsi="Arial"/>
          <w:i/>
          <w:iCs/>
          <w:color w:val="555555"/>
          <w:sz w:val="19"/>
          <w:szCs w:val="19"/>
        </w:rPr>
        <w:t xml:space="preserve">Table II: Aggregate performance on TPC-H SF-100 (30 query variants). Values normalized to B1 (lower is better). ECQO results shown in green.</w:t>
      </w:r>
    </w:p>
    <w:p>
      <w:pPr>
        <w:spacing w:after="80" w:before="0"/>
      </w:pPr>
      <w:r>
        <w:rPr>
          <w:rFonts w:ascii="Arial" w:cs="Arial" w:eastAsia="Arial" w:hAnsi="Arial"/>
          <w:color w:val="212121"/>
          <w:sz w:val="22"/>
          <w:szCs w:val="22"/>
        </w:rPr>
        <w:t xml:space="preserve"/>
      </w:r>
    </w:p>
    <w:p>
      <w:pPr>
        <w:pStyle w:val="Heading2"/>
        <w:spacing w:after="80" w:before="220" w:line="276" w:lineRule="auto"/>
      </w:pPr>
      <w:r>
        <w:rPr>
          <w:rFonts w:ascii="Arial" w:cs="Arial" w:eastAsia="Arial" w:hAnsi="Arial"/>
          <w:b/>
          <w:bCs/>
          <w:color w:val="1F497D"/>
          <w:sz w:val="26"/>
          <w:szCs w:val="26"/>
        </w:rPr>
        <w:t xml:space="preserve">B. Energy Reduction by Query Category</w:t>
      </w:r>
    </w:p>
    <w:p>
      <w:pPr>
        <w:spacing w:after="60" w:before="60" w:line="288" w:lineRule="auto"/>
        <w:jc w:val="both"/>
      </w:pPr>
      <w:r>
        <w:rPr>
          <w:rFonts w:ascii="Arial" w:cs="Arial" w:eastAsia="Arial" w:hAnsi="Arial"/>
          <w:color w:val="212121"/>
          <w:sz w:val="22"/>
          <w:szCs w:val="22"/>
        </w:rPr>
        <w:t xml:space="preserve">Figure 2 shows how energy reduction varies across five different query categories. Scan-dominated queries benefit most (41.2% reduction), because rules R1 and R2 directly cut the amount of column data decoded from columnar storage — the dominant energy cost in I/O-bound workloads. Join-heavy queries follow at 38.6%, largely from scan-order inversion (R2) reducing intermediate result sizes before hash-build phases. Subquery-containing queries show the smallest gain (27.8%), because correlated subqueries limit the number of EAQR rewrites that can be safely applied.</w:t>
      </w:r>
    </w:p>
    <w:p>
      <w:pPr>
        <w:spacing w:after="80" w:before="0"/>
      </w:pPr>
      <w:r>
        <w:rPr>
          <w:rFonts w:ascii="Arial" w:cs="Arial" w:eastAsia="Arial" w:hAnsi="Arial"/>
          <w:color w:val="212121"/>
          <w:sz w:val="22"/>
          <w:szCs w:val="22"/>
        </w:rPr>
        <w:t xml:space="preserve"/>
      </w:r>
    </w:p>
    <w:p>
      <w:pPr>
        <w:spacing w:after="60" w:before="120" w:line="276" w:lineRule="auto"/>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43200"/>
                    </a:xfrm>
                    <a:prstGeom prst="rect">
                      <a:avLst/>
                    </a:prstGeom>
                  </pic:spPr>
                </pic:pic>
              </a:graphicData>
            </a:graphic>
          </wp:inline>
        </w:drawing>
      </w:r>
    </w:p>
    <w:p>
      <w:pPr>
        <w:spacing w:after="160" w:before="60" w:line="276" w:lineRule="auto"/>
        <w:jc w:val="center"/>
      </w:pPr>
      <w:r>
        <w:rPr>
          <w:rFonts w:ascii="Arial" w:cs="Arial" w:eastAsia="Arial" w:hAnsi="Arial"/>
          <w:i/>
          <w:iCs/>
          <w:color w:val="555555"/>
          <w:sz w:val="19"/>
          <w:szCs w:val="19"/>
        </w:rPr>
        <w:t xml:space="preserve">Figure 2: Energy Reduction by Query Category. ECQO (dark blue) achieves the largest savings across all five categories, with scan-dominated queries benefiting most from EAQR's I/O-reducing transformations.</w:t>
      </w:r>
    </w:p>
    <w:p>
      <w:pPr>
        <w:spacing w:after="80" w:before="0"/>
      </w:pPr>
      <w:r>
        <w:rPr>
          <w:rFonts w:ascii="Arial" w:cs="Arial" w:eastAsia="Arial" w:hAnsi="Arial"/>
          <w:color w:val="212121"/>
          <w:sz w:val="22"/>
          <w:szCs w:val="22"/>
        </w:rPr>
        <w:t xml:space="preserve"/>
      </w:r>
    </w:p>
    <w:p>
      <w:pPr>
        <w:pStyle w:val="Heading2"/>
        <w:spacing w:after="80" w:before="220" w:line="276" w:lineRule="auto"/>
      </w:pPr>
      <w:r>
        <w:rPr>
          <w:rFonts w:ascii="Arial" w:cs="Arial" w:eastAsia="Arial" w:hAnsi="Arial"/>
          <w:b/>
          <w:bCs/>
          <w:color w:val="1F497D"/>
          <w:sz w:val="26"/>
          <w:szCs w:val="26"/>
        </w:rPr>
        <w:t xml:space="preserve">C. Cost-Time-Energy Trade-off Analysis</w:t>
      </w:r>
    </w:p>
    <w:p>
      <w:pPr>
        <w:spacing w:after="60" w:before="60" w:line="288" w:lineRule="auto"/>
        <w:jc w:val="both"/>
      </w:pPr>
      <w:r>
        <w:rPr>
          <w:rFonts w:ascii="Arial" w:cs="Arial" w:eastAsia="Arial" w:hAnsi="Arial"/>
          <w:color w:val="212121"/>
          <w:sz w:val="22"/>
          <w:szCs w:val="22"/>
        </w:rPr>
        <w:t xml:space="preserve">A key concern for any multi-objective optimizer is whether gains in one dimension come at disproportionate cost in another. Table III shows the per-query trade-off for five representative TPC-H queries. ECQO achieves genuine Pareto improvements — simultaneous gains in all three objectives — for 24 of 30 query variants (80%). For the remaining 6 queries, ECQO accepts a modest 3–7% increase in execution time in exchange for 22–31% energy reduction, reflecting cases where the most energy-efficient plan uses a different join algorithm.</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1080"/>
        <w:gridCol w:w="800"/>
        <w:gridCol w:w="840"/>
        <w:gridCol w:w="940"/>
        <w:gridCol w:w="1080"/>
        <w:gridCol w:w="840"/>
        <w:gridCol w:w="1160"/>
      </w:tblGrid>
      <w:tr>
        <w:tc>
          <w:tcPr>
            <w:tcW w:type="dxa" w:w="7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9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B1 Time(s)</w:t>
            </w:r>
          </w:p>
        </w:tc>
        <w:tc>
          <w:tcPr>
            <w:tcW w:type="dxa" w:w="10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ECQO Time(s)</w:t>
            </w:r>
          </w:p>
        </w:tc>
        <w:tc>
          <w:tcPr>
            <w:tcW w:type="dxa" w:w="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B1 Cost($)</w:t>
            </w:r>
          </w:p>
        </w:tc>
        <w:tc>
          <w:tcPr>
            <w:tcW w:type="dxa" w:w="8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ECQO Cost($)</w:t>
            </w:r>
          </w:p>
        </w:tc>
        <w:tc>
          <w:tcPr>
            <w:tcW w:type="dxa" w:w="9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B1 Energy(Wh)</w:t>
            </w:r>
          </w:p>
        </w:tc>
        <w:tc>
          <w:tcPr>
            <w:tcW w:type="dxa" w:w="10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ECQO Energy(Wh)</w:t>
            </w:r>
          </w:p>
        </w:tc>
        <w:tc>
          <w:tcPr>
            <w:tcW w:type="dxa" w:w="8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Energy Δ</w:t>
            </w:r>
          </w:p>
        </w:tc>
        <w:tc>
          <w:tcPr>
            <w:tcW w:type="dxa" w:w="1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Pareto?</w:t>
            </w:r>
          </w:p>
        </w:tc>
      </w:tr>
      <w:tr>
        <w:tc>
          <w:tcPr>
            <w:tcW w:type="dxa" w:w="72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left"/>
            </w:pPr>
            <w:r>
              <w:rPr>
                <w:rFonts w:ascii="Arial" w:cs="Arial" w:eastAsia="Arial" w:hAnsi="Arial"/>
                <w:b w:val="false"/>
                <w:bCs w:val="false"/>
                <w:color w:val="212121"/>
                <w:sz w:val="19"/>
                <w:szCs w:val="19"/>
              </w:rPr>
              <w:t xml:space="preserve">Q1</w:t>
            </w:r>
          </w:p>
        </w:tc>
        <w:tc>
          <w:tcPr>
            <w:tcW w:type="dxa" w:w="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84.3</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58.7</w:t>
            </w:r>
          </w:p>
        </w:tc>
        <w:tc>
          <w:tcPr>
            <w:tcW w:type="dxa" w:w="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0.042</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0.031</w:t>
            </w:r>
          </w:p>
        </w:tc>
        <w:tc>
          <w:tcPr>
            <w:tcW w:type="dxa" w:w="9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112.4</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68.9</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E7D32"/>
                <w:sz w:val="19"/>
                <w:szCs w:val="19"/>
              </w:rPr>
              <w:t xml:space="preserve">-38.7%</w:t>
            </w:r>
          </w:p>
        </w:tc>
        <w:tc>
          <w:tcPr>
            <w:tcW w:type="dxa" w:w="1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12121"/>
                <w:sz w:val="19"/>
                <w:szCs w:val="19"/>
              </w:rPr>
              <w:t xml:space="preserve">Yes ✓</w:t>
            </w:r>
          </w:p>
        </w:tc>
      </w:tr>
      <w:tr>
        <w:tc>
          <w:tcPr>
            <w:tcW w:type="dxa" w:w="72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left"/>
            </w:pPr>
            <w:r>
              <w:rPr>
                <w:rFonts w:ascii="Arial" w:cs="Arial" w:eastAsia="Arial" w:hAnsi="Arial"/>
                <w:b w:val="false"/>
                <w:bCs w:val="false"/>
                <w:color w:val="212121"/>
                <w:sz w:val="19"/>
                <w:szCs w:val="19"/>
              </w:rPr>
              <w:t xml:space="preserve">Q3</w:t>
            </w:r>
          </w:p>
        </w:tc>
        <w:tc>
          <w:tcPr>
            <w:tcW w:type="dxa" w:w="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143.6</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101.2</w:t>
            </w:r>
          </w:p>
        </w:tc>
        <w:tc>
          <w:tcPr>
            <w:tcW w:type="dxa" w:w="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0.071</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0.054</w:t>
            </w:r>
          </w:p>
        </w:tc>
        <w:tc>
          <w:tcPr>
            <w:tcW w:type="dxa" w:w="9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198.7</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121.3</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E7D32"/>
                <w:sz w:val="19"/>
                <w:szCs w:val="19"/>
              </w:rPr>
              <w:t xml:space="preserve">-38.9%</w:t>
            </w:r>
          </w:p>
        </w:tc>
        <w:tc>
          <w:tcPr>
            <w:tcW w:type="dxa" w:w="1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12121"/>
                <w:sz w:val="19"/>
                <w:szCs w:val="19"/>
              </w:rPr>
              <w:t xml:space="preserve">Yes ✓</w:t>
            </w:r>
          </w:p>
        </w:tc>
      </w:tr>
      <w:tr>
        <w:tc>
          <w:tcPr>
            <w:tcW w:type="dxa" w:w="72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left"/>
            </w:pPr>
            <w:r>
              <w:rPr>
                <w:rFonts w:ascii="Arial" w:cs="Arial" w:eastAsia="Arial" w:hAnsi="Arial"/>
                <w:b w:val="false"/>
                <w:bCs w:val="false"/>
                <w:color w:val="212121"/>
                <w:sz w:val="19"/>
                <w:szCs w:val="19"/>
              </w:rPr>
              <w:t xml:space="preserve">Q7</w:t>
            </w:r>
          </w:p>
        </w:tc>
        <w:tc>
          <w:tcPr>
            <w:tcW w:type="dxa" w:w="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221.4</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231.8</w:t>
            </w:r>
          </w:p>
        </w:tc>
        <w:tc>
          <w:tcPr>
            <w:tcW w:type="dxa" w:w="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0.109</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0.098</w:t>
            </w:r>
          </w:p>
        </w:tc>
        <w:tc>
          <w:tcPr>
            <w:tcW w:type="dxa" w:w="9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307.2</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221.4</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E7D32"/>
                <w:sz w:val="19"/>
                <w:szCs w:val="19"/>
              </w:rPr>
              <w:t xml:space="preserve">-27.9%</w:t>
            </w:r>
          </w:p>
        </w:tc>
        <w:tc>
          <w:tcPr>
            <w:tcW w:type="dxa" w:w="1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12121"/>
                <w:sz w:val="19"/>
                <w:szCs w:val="19"/>
              </w:rPr>
              <w:t xml:space="preserve">No (+4.7%)</w:t>
            </w:r>
          </w:p>
        </w:tc>
      </w:tr>
      <w:tr>
        <w:tc>
          <w:tcPr>
            <w:tcW w:type="dxa" w:w="72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left"/>
            </w:pPr>
            <w:r>
              <w:rPr>
                <w:rFonts w:ascii="Arial" w:cs="Arial" w:eastAsia="Arial" w:hAnsi="Arial"/>
                <w:b w:val="false"/>
                <w:bCs w:val="false"/>
                <w:color w:val="212121"/>
                <w:sz w:val="19"/>
                <w:szCs w:val="19"/>
              </w:rPr>
              <w:t xml:space="preserve">Q17</w:t>
            </w:r>
          </w:p>
        </w:tc>
        <w:tc>
          <w:tcPr>
            <w:tcW w:type="dxa" w:w="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67.8</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51.3</w:t>
            </w:r>
          </w:p>
        </w:tc>
        <w:tc>
          <w:tcPr>
            <w:tcW w:type="dxa" w:w="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0.034</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0.027</w:t>
            </w:r>
          </w:p>
        </w:tc>
        <w:tc>
          <w:tcPr>
            <w:tcW w:type="dxa" w:w="9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89.1</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64.7</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E7D32"/>
                <w:sz w:val="19"/>
                <w:szCs w:val="19"/>
              </w:rPr>
              <w:t xml:space="preserve">-27.4%</w:t>
            </w:r>
          </w:p>
        </w:tc>
        <w:tc>
          <w:tcPr>
            <w:tcW w:type="dxa" w:w="1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12121"/>
                <w:sz w:val="19"/>
                <w:szCs w:val="19"/>
              </w:rPr>
              <w:t xml:space="preserve">Yes ✓</w:t>
            </w:r>
          </w:p>
        </w:tc>
      </w:tr>
      <w:tr>
        <w:tc>
          <w:tcPr>
            <w:tcW w:type="dxa" w:w="72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left"/>
            </w:pPr>
            <w:r>
              <w:rPr>
                <w:rFonts w:ascii="Arial" w:cs="Arial" w:eastAsia="Arial" w:hAnsi="Arial"/>
                <w:b w:val="false"/>
                <w:bCs w:val="false"/>
                <w:color w:val="212121"/>
                <w:sz w:val="19"/>
                <w:szCs w:val="19"/>
              </w:rPr>
              <w:t xml:space="preserve">Q22</w:t>
            </w:r>
          </w:p>
        </w:tc>
        <w:tc>
          <w:tcPr>
            <w:tcW w:type="dxa" w:w="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38.9</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29.1</w:t>
            </w:r>
          </w:p>
        </w:tc>
        <w:tc>
          <w:tcPr>
            <w:tcW w:type="dxa" w:w="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0.019</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0.014</w:t>
            </w:r>
          </w:p>
        </w:tc>
        <w:tc>
          <w:tcPr>
            <w:tcW w:type="dxa" w:w="9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52.3</w:t>
            </w:r>
          </w:p>
        </w:tc>
        <w:tc>
          <w:tcPr>
            <w:tcW w:type="dxa" w:w="108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val="false"/>
                <w:bCs w:val="false"/>
                <w:color w:val="212121"/>
                <w:sz w:val="19"/>
                <w:szCs w:val="19"/>
              </w:rPr>
              <w:t xml:space="preserve">37.8</w:t>
            </w:r>
          </w:p>
        </w:tc>
        <w:tc>
          <w:tcPr>
            <w:tcW w:type="dxa" w:w="84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E7D32"/>
                <w:sz w:val="19"/>
                <w:szCs w:val="19"/>
              </w:rPr>
              <w:t xml:space="preserve">-27.7%</w:t>
            </w:r>
          </w:p>
        </w:tc>
        <w:tc>
          <w:tcPr>
            <w:tcW w:type="dxa" w:w="1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pPr>
              <w:jc w:val="center"/>
            </w:pPr>
            <w:r>
              <w:rPr>
                <w:rFonts w:ascii="Arial" w:cs="Arial" w:eastAsia="Arial" w:hAnsi="Arial"/>
                <w:b/>
                <w:bCs/>
                <w:color w:val="212121"/>
                <w:sz w:val="19"/>
                <w:szCs w:val="19"/>
              </w:rPr>
              <w:t xml:space="preserve">Yes ✓</w:t>
            </w:r>
          </w:p>
        </w:tc>
      </w:tr>
    </w:tbl>
    <w:p>
      <w:pPr>
        <w:spacing w:after="160" w:before="60" w:line="276" w:lineRule="auto"/>
        <w:jc w:val="center"/>
      </w:pPr>
      <w:r>
        <w:rPr>
          <w:rFonts w:ascii="Arial" w:cs="Arial" w:eastAsia="Arial" w:hAnsi="Arial"/>
          <w:i/>
          <w:iCs/>
          <w:color w:val="555555"/>
          <w:sz w:val="19"/>
          <w:szCs w:val="19"/>
        </w:rPr>
        <w:t xml:space="preserve">Table III: Per-query trade-off analysis for selected TPC-H queries. Green Δ values indicate energy savings. Q7 is the one case where ECQO trades a small time increase for a significant energy reduction.</w:t>
      </w:r>
    </w:p>
    <w:p>
      <w:pPr>
        <w:spacing w:after="80" w:before="0"/>
      </w:pPr>
      <w:r>
        <w:rPr>
          <w:rFonts w:ascii="Arial" w:cs="Arial" w:eastAsia="Arial" w:hAnsi="Arial"/>
          <w:color w:val="212121"/>
          <w:sz w:val="22"/>
          <w:szCs w:val="22"/>
        </w:rPr>
        <w:t xml:space="preserve"/>
      </w:r>
    </w:p>
    <w:p>
      <w:pPr>
        <w:pStyle w:val="Heading2"/>
        <w:spacing w:after="80" w:before="220" w:line="276" w:lineRule="auto"/>
      </w:pPr>
      <w:r>
        <w:rPr>
          <w:rFonts w:ascii="Arial" w:cs="Arial" w:eastAsia="Arial" w:hAnsi="Arial"/>
          <w:b/>
          <w:bCs/>
          <w:color w:val="1F497D"/>
          <w:sz w:val="26"/>
          <w:szCs w:val="26"/>
        </w:rPr>
        <w:t xml:space="preserve">D. IoT Workload Results and Adaptive Weight Behaviour</w:t>
      </w:r>
    </w:p>
    <w:p>
      <w:pPr>
        <w:spacing w:after="60" w:before="60" w:line="288" w:lineRule="auto"/>
        <w:jc w:val="both"/>
      </w:pPr>
      <w:r>
        <w:rPr>
          <w:rFonts w:ascii="Arial" w:cs="Arial" w:eastAsia="Arial" w:hAnsi="Arial"/>
          <w:color w:val="212121"/>
          <w:sz w:val="22"/>
          <w:szCs w:val="22"/>
        </w:rPr>
        <w:t xml:space="preserve">On the Smart-Grid IoT dataset, ECQO achieves 31.2% energy reduction, 19.7% cost reduction, and 24.1% time reduction against B1. Figure 3 shows how the AMOS weights evolve over 1,000 consecutive query executions, revealing three distinct adaptation regimes.</w:t>
      </w:r>
    </w:p>
    <w:p>
      <w:pPr>
        <w:spacing w:after="80" w:before="0"/>
      </w:pPr>
      <w:r>
        <w:rPr>
          <w:rFonts w:ascii="Arial" w:cs="Arial" w:eastAsia="Arial" w:hAnsi="Arial"/>
          <w:color w:val="212121"/>
          <w:sz w:val="22"/>
          <w:szCs w:val="22"/>
        </w:rPr>
        <w:t xml:space="preserve"/>
      </w:r>
    </w:p>
    <w:p>
      <w:pPr>
        <w:spacing w:after="60" w:before="120" w:line="276" w:lineRule="auto"/>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57450"/>
                    </a:xfrm>
                    <a:prstGeom prst="rect">
                      <a:avLst/>
                    </a:prstGeom>
                  </pic:spPr>
                </pic:pic>
              </a:graphicData>
            </a:graphic>
          </wp:inline>
        </w:drawing>
      </w:r>
    </w:p>
    <w:p>
      <w:pPr>
        <w:spacing w:after="160" w:before="60" w:line="276" w:lineRule="auto"/>
        <w:jc w:val="center"/>
      </w:pPr>
      <w:r>
        <w:rPr>
          <w:rFonts w:ascii="Arial" w:cs="Arial" w:eastAsia="Arial" w:hAnsi="Arial"/>
          <w:i/>
          <w:iCs/>
          <w:color w:val="555555"/>
          <w:sz w:val="19"/>
          <w:szCs w:val="19"/>
        </w:rPr>
        <w:t xml:space="preserve">Figure 3: AMOS Weight Evolution Over 1,000 Query Executions. The RL agent continuously adjusts α (time), β (cost), and γ (energy) in response to workload conditions — exploiting low-carbon windows and enforcing cost guardrails automatically.</w:t>
      </w:r>
    </w:p>
    <w:p>
      <w:pPr>
        <w:spacing w:after="80" w:before="0"/>
      </w:pPr>
      <w:r>
        <w:rPr>
          <w:rFonts w:ascii="Arial" w:cs="Arial" w:eastAsia="Arial" w:hAnsi="Arial"/>
          <w:color w:val="212121"/>
          <w:sz w:val="22"/>
          <w:szCs w:val="22"/>
        </w:rPr>
        <w:t xml:space="preserve"/>
      </w:r>
    </w:p>
    <w:p>
      <w:pPr>
        <w:spacing w:after="60" w:before="60" w:line="288" w:lineRule="auto"/>
        <w:jc w:val="both"/>
      </w:pPr>
      <w:r>
        <w:rPr>
          <w:rFonts w:ascii="Arial" w:cs="Arial" w:eastAsia="Arial" w:hAnsi="Arial"/>
          <w:color w:val="212121"/>
          <w:sz w:val="22"/>
          <w:szCs w:val="22"/>
        </w:rPr>
        <w:t xml:space="preserve">During the first 150 queries (warm-up), weights converge from their equal initialization (0.33, 0.33, 0.33) to a workload-appropriate baseline of roughly (0.35, 0.28, 0.37). Between queries 420 and 480, a low-carbon-intensity window — grid carbon drops to 84 gCO₂/kWh from a baseline of 312 — causes the agent to shift weight toward energy minimization (γ peaks at 0.48), exploiting the opportunity to run energy-intensive queries at minimal carbon cost. Near query 750, a cumulative cost budget alert at 90% utilization drives β up to 0.41, demonstrating reactive financial guardrails. This adaptive behaviour happens automatically, with no manual reconfiguration required.</w:t>
      </w:r>
    </w:p>
    <w:p>
      <w:pPr>
        <w:pStyle w:val="Heading2"/>
        <w:spacing w:after="80" w:before="220" w:line="276" w:lineRule="auto"/>
      </w:pPr>
      <w:r>
        <w:rPr>
          <w:rFonts w:ascii="Arial" w:cs="Arial" w:eastAsia="Arial" w:hAnsi="Arial"/>
          <w:b/>
          <w:bCs/>
          <w:color w:val="1F497D"/>
          <w:sz w:val="26"/>
          <w:szCs w:val="26"/>
        </w:rPr>
        <w:t xml:space="preserve">E. Planning Overhead</w:t>
      </w:r>
    </w:p>
    <w:p>
      <w:pPr>
        <w:spacing w:after="60" w:before="60" w:line="288" w:lineRule="auto"/>
        <w:jc w:val="both"/>
      </w:pPr>
      <w:r>
        <w:rPr>
          <w:rFonts w:ascii="Arial" w:cs="Arial" w:eastAsia="Arial" w:hAnsi="Arial"/>
          <w:color w:val="212121"/>
          <w:sz w:val="22"/>
          <w:szCs w:val="22"/>
        </w:rPr>
        <w:t xml:space="preserve">ECQO's median planning overhead of 18.7 ms on TPC-H and 14.2 ms on the IoT workload is well within the acceptable planning budget for OLAP queries, which typically have execution times of 30–300 seconds. Overhead scales sub-linearly with query complexity (Pearson r = 0.61 between join count and planning overhead), confirming that the beam width k = 50 effectively limits growth. The most complex TPC-H query (Q8, 8 tables) incurs 43.1 ms of planning overhead — under 0.02% of its 221-second execution time.</w:t>
      </w:r>
    </w:p>
    <w:p>
      <w:pPr>
        <w:pStyle w:val="Heading2"/>
        <w:spacing w:after="80" w:before="220" w:line="276" w:lineRule="auto"/>
      </w:pPr>
      <w:r>
        <w:rPr>
          <w:rFonts w:ascii="Arial" w:cs="Arial" w:eastAsia="Arial" w:hAnsi="Arial"/>
          <w:b/>
          <w:bCs/>
          <w:color w:val="1F497D"/>
          <w:sz w:val="26"/>
          <w:szCs w:val="26"/>
        </w:rPr>
        <w:t xml:space="preserve">F. Ablation Study</w:t>
      </w:r>
    </w:p>
    <w:p>
      <w:pPr>
        <w:spacing w:after="60" w:before="60" w:line="288" w:lineRule="auto"/>
        <w:jc w:val="both"/>
      </w:pPr>
      <w:r>
        <w:rPr>
          <w:rFonts w:ascii="Arial" w:cs="Arial" w:eastAsia="Arial" w:hAnsi="Arial"/>
          <w:color w:val="212121"/>
          <w:sz w:val="22"/>
          <w:szCs w:val="22"/>
        </w:rPr>
        <w:t xml:space="preserve">To understand each component's individual contribution, Table IV shows results when one component is removed at a time. The ablation confirms that EAQR is the single most consequential component (removing it costs 13.4 percentage points of energy saving), that adaptive weights add 7.6 points over fixed equal-weight scalarization, and that the full energy model (including I/O and network) contributes 26.5 points over a time-and-cost-only baseline.</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1600"/>
        <w:gridCol w:w="1000"/>
        <w:gridCol w:w="1000"/>
      </w:tblGrid>
      <w:tr>
        <w:tc>
          <w:tcPr>
            <w:tcW w:type="dxa" w:w="35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QET Reduction</w:t>
            </w:r>
          </w:p>
        </w:tc>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CMC Reduction</w:t>
            </w:r>
          </w:p>
        </w:tc>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 Reduction</w:t>
            </w:r>
          </w:p>
        </w:tc>
        <w:tc>
          <w:tcPr>
            <w:tcW w:type="dxa" w:w="1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 (%)</w:t>
            </w:r>
          </w:p>
        </w:tc>
        <w:tc>
          <w:tcPr>
            <w:tcW w:type="dxa" w:w="1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 (ms)</w:t>
            </w:r>
          </w:p>
        </w:tc>
      </w:tr>
      <w:tr>
        <w:tc>
          <w:tcPr>
            <w:tcW w:type="dxa" w:w="356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Full ECQO (all components)</w:t>
            </w:r>
          </w:p>
        </w:tc>
        <w:tc>
          <w:tcPr>
            <w:tcW w:type="dxa" w:w="160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12121"/>
                <w:sz w:val="20"/>
                <w:szCs w:val="20"/>
              </w:rPr>
              <w:t xml:space="preserve">28.3%</w:t>
            </w:r>
          </w:p>
        </w:tc>
        <w:tc>
          <w:tcPr>
            <w:tcW w:type="dxa" w:w="160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12121"/>
                <w:sz w:val="20"/>
                <w:szCs w:val="20"/>
              </w:rPr>
              <w:t xml:space="preserve">22.1%</w:t>
            </w:r>
          </w:p>
        </w:tc>
        <w:tc>
          <w:tcPr>
            <w:tcW w:type="dxa" w:w="160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34.7%</w:t>
            </w:r>
          </w:p>
        </w:tc>
        <w:tc>
          <w:tcPr>
            <w:tcW w:type="dxa" w:w="100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12121"/>
                <w:sz w:val="20"/>
                <w:szCs w:val="20"/>
              </w:rPr>
              <w:t xml:space="preserve">97.2</w:t>
            </w:r>
          </w:p>
        </w:tc>
        <w:tc>
          <w:tcPr>
            <w:tcW w:type="dxa" w:w="1000"/>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jc w:val="center"/>
            </w:pPr>
            <w:r>
              <w:rPr>
                <w:rFonts w:ascii="Arial" w:cs="Arial" w:eastAsia="Arial" w:hAnsi="Arial"/>
                <w:b/>
                <w:bCs/>
                <w:color w:val="212121"/>
                <w:sz w:val="20"/>
                <w:szCs w:val="20"/>
              </w:rPr>
              <w:t xml:space="preserve">18.7</w:t>
            </w:r>
          </w:p>
        </w:tc>
      </w:tr>
      <w:tr>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Without EAQR (no query rewriting)</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19.4%</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17.8%</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21.3%</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95.1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12.1</w:t>
            </w:r>
          </w:p>
        </w:tc>
      </w:tr>
      <w:tr>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Without adaptive weights (fixed 1/3 each)</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22.7%</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18.3%</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27.1%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94.3</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18.9</w:t>
            </w:r>
          </w:p>
        </w:tc>
      </w:tr>
      <w:tr>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Without energy model (time+cost only)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24.1%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19.6%</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8.2%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95.8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16.2</w:t>
            </w:r>
          </w:p>
        </w:tc>
      </w:tr>
      <w:tr>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Without WIL (no workload prediction)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25.8%</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20.4%</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29.6%</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93.7</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18.4</w:t>
            </w:r>
          </w:p>
        </w:tc>
      </w:tr>
    </w:tbl>
    <w:p>
      <w:pPr>
        <w:spacing w:after="160" w:before="60" w:line="276" w:lineRule="auto"/>
        <w:jc w:val="center"/>
      </w:pPr>
      <w:r>
        <w:rPr>
          <w:rFonts w:ascii="Arial" w:cs="Arial" w:eastAsia="Arial" w:hAnsi="Arial"/>
          <w:i/>
          <w:iCs/>
          <w:color w:val="555555"/>
          <w:sz w:val="19"/>
          <w:szCs w:val="19"/>
        </w:rPr>
        <w:t xml:space="preserve">Table IV: Ablation study on TPC-H SF-100. Each row removes one component. Full ECQO (green) achieves the best results across all metrics.</w:t>
      </w:r>
    </w:p>
    <w:p>
      <w:r>
        <w:br w:type="page"/>
      </w:r>
    </w:p>
    <w:p>
      <w:pPr>
        <w:pStyle w:val="Heading1"/>
        <w:spacing w:after="120" w:before="320" w:line="276" w:lineRule="auto"/>
      </w:pPr>
      <w:r>
        <w:rPr>
          <w:rFonts w:ascii="Arial" w:cs="Arial" w:eastAsia="Arial" w:hAnsi="Arial"/>
          <w:b/>
          <w:bCs/>
          <w:caps/>
          <w:color w:val="1F497D"/>
          <w:sz w:val="32"/>
          <w:szCs w:val="32"/>
        </w:rPr>
        <w:t xml:space="preserve">VI. Real-World Applications and Industry Impact</w:t>
      </w:r>
    </w:p>
    <w:p>
      <w:pPr>
        <w:pStyle w:val="Heading2"/>
        <w:spacing w:after="80" w:before="220" w:line="276" w:lineRule="auto"/>
      </w:pPr>
      <w:r>
        <w:rPr>
          <w:rFonts w:ascii="Arial" w:cs="Arial" w:eastAsia="Arial" w:hAnsi="Arial"/>
          <w:b/>
          <w:bCs/>
          <w:color w:val="1F497D"/>
          <w:sz w:val="26"/>
          <w:szCs w:val="26"/>
        </w:rPr>
        <w:t xml:space="preserve">A. Financial Services Analytics</w:t>
      </w:r>
    </w:p>
    <w:p>
      <w:pPr>
        <w:spacing w:after="60" w:before="60" w:line="288" w:lineRule="auto"/>
        <w:jc w:val="both"/>
      </w:pPr>
      <w:r>
        <w:rPr>
          <w:rFonts w:ascii="Arial" w:cs="Arial" w:eastAsia="Arial" w:hAnsi="Arial"/>
          <w:color w:val="212121"/>
          <w:sz w:val="22"/>
          <w:szCs w:val="22"/>
        </w:rPr>
        <w:t xml:space="preserve">Large investment banks and insurance companies run continuous regulatory reporting pipelines on cloud data warehouses — including IFRS 9 expected credit loss calculations and Basel III risk aggregations — that scan hundreds of terabytes of transaction data every day. Applying ECQO's measured 34.7% energy reduction, a bank processing 50 TB/day on a 20-node Redshift cluster (estimated 480 kWh/day baseline) could cut consumption by approximately 167 kWh/day.</w:t>
      </w:r>
    </w:p>
    <w:p>
      <w:pPr>
        <w:spacing w:after="60" w:before="60" w:line="288" w:lineRule="auto"/>
        <w:jc w:val="both"/>
      </w:pPr>
      <w:r>
        <w:rPr>
          <w:rFonts w:ascii="Arial" w:cs="Arial" w:eastAsia="Arial" w:hAnsi="Arial"/>
          <w:color w:val="212121"/>
          <w:sz w:val="22"/>
          <w:szCs w:val="22"/>
        </w:rPr>
        <w:t xml:space="preserve">In concrete terms: that amounts to 22.2 metric tonnes of CO₂ avoided annually (at the us-east-1 grid carbon intensity), and approximately USD 38,000 in annual cloud cost savings — all without any changes to existing SQL queries or business logic. For banks already subject to CSRD disclosure requirements, ECQO's per-query carbon accounting trace also provides the fine-grained emissions data needed to comply with Scope 2 reporting obligations.</w:t>
      </w:r>
    </w:p>
    <w:p>
      <w:pPr>
        <w:pStyle w:val="Heading2"/>
        <w:spacing w:after="80" w:before="220" w:line="276" w:lineRule="auto"/>
      </w:pPr>
      <w:r>
        <w:rPr>
          <w:rFonts w:ascii="Arial" w:cs="Arial" w:eastAsia="Arial" w:hAnsi="Arial"/>
          <w:b/>
          <w:bCs/>
          <w:color w:val="1F497D"/>
          <w:sz w:val="26"/>
          <w:szCs w:val="26"/>
        </w:rPr>
        <w:t xml:space="preserve">B. Smart Grid and IoT Analytics</w:t>
      </w:r>
    </w:p>
    <w:p>
      <w:pPr>
        <w:spacing w:after="60" w:before="60" w:line="288" w:lineRule="auto"/>
        <w:jc w:val="both"/>
      </w:pPr>
      <w:r>
        <w:rPr>
          <w:rFonts w:ascii="Arial" w:cs="Arial" w:eastAsia="Arial" w:hAnsi="Arial"/>
          <w:color w:val="212121"/>
          <w:sz w:val="22"/>
          <w:szCs w:val="22"/>
        </w:rPr>
        <w:t xml:space="preserve">Our production evaluation partner — the Indian electricity distribution utility — processes approximately 8 billion meter readings per month for operational analytics, demand forecasting, and anomaly detection. Deploying ECQO cut their monthly Redshift bill by 19.3% (approximately USD 12,400 per month) and reduced 95th-percentile query latency on their real-time dashboard from 18.2 seconds to 11.4 seconds.</w:t>
      </w:r>
    </w:p>
    <w:p>
      <w:pPr>
        <w:spacing w:after="60" w:before="60" w:line="288" w:lineRule="auto"/>
        <w:jc w:val="both"/>
      </w:pPr>
      <w:r>
        <w:rPr>
          <w:rFonts w:ascii="Arial" w:cs="Arial" w:eastAsia="Arial" w:hAnsi="Arial"/>
          <w:color w:val="212121"/>
          <w:sz w:val="22"/>
          <w:szCs w:val="22"/>
        </w:rPr>
        <w:t xml:space="preserve">Particularly useful in practice was ECQO's adaptive γ-weighting, which automatically shifted batch analytics jobs into overnight low-carbon windows without any manual cron-job intervention. This reduced the utility's Scope 2 emissions attribution from cloud analytics by an estimated 31% — a meaningful contribution to their corporate sustainability targets.</w:t>
      </w:r>
    </w:p>
    <w:p>
      <w:pPr>
        <w:pStyle w:val="Heading2"/>
        <w:spacing w:after="80" w:before="220" w:line="276" w:lineRule="auto"/>
      </w:pPr>
      <w:r>
        <w:rPr>
          <w:rFonts w:ascii="Arial" w:cs="Arial" w:eastAsia="Arial" w:hAnsi="Arial"/>
          <w:b/>
          <w:bCs/>
          <w:color w:val="1F497D"/>
          <w:sz w:val="26"/>
          <w:szCs w:val="26"/>
        </w:rPr>
        <w:t xml:space="preserve">C. ESG Compliance and Sustainability Reporting</w:t>
      </w:r>
    </w:p>
    <w:p>
      <w:pPr>
        <w:spacing w:after="60" w:before="60" w:line="288" w:lineRule="auto"/>
        <w:jc w:val="both"/>
      </w:pPr>
      <w:r>
        <w:rPr>
          <w:rFonts w:ascii="Arial" w:cs="Arial" w:eastAsia="Arial" w:hAnsi="Arial"/>
          <w:color w:val="212121"/>
          <w:sz w:val="22"/>
          <w:szCs w:val="22"/>
        </w:rPr>
        <w:t xml:space="preserve">ECQO's Carbon Emission Estimate (CEE) metric produces a per-query CO₂ accounting trace suitable for direct ingestion into ESG reporting systems compliant with GHG Protocol Scope 2 guidance. Organizations subject to CSRD, SEC climate disclosure rules, or voluntary frameworks such as CDP and SBTi can use this trace to attribute analytical workload emissions at the query level — a much more accurate basis than the coarse-grained data centre Power Usage Effectiveness (PUE) allocations that most companies currently rely on.</w:t>
      </w:r>
    </w:p>
    <w:p>
      <w:pPr>
        <w:spacing w:after="60" w:before="60" w:line="288" w:lineRule="auto"/>
        <w:jc w:val="both"/>
      </w:pPr>
      <w:r>
        <w:rPr>
          <w:rFonts w:ascii="Arial" w:cs="Arial" w:eastAsia="Arial" w:hAnsi="Arial"/>
          <w:color w:val="212121"/>
          <w:sz w:val="22"/>
          <w:szCs w:val="22"/>
        </w:rPr>
        <w:t xml:space="preserve">ECQO's disaggregated energy breakdown — CPU, DRAM, I/O, and network — also supports targeted infrastructure investment decisions. Organizations can identify which query categories (e.g., join-heavy reporting, or scan-intensive data loads) account for the largest share of their analytics energy footprint, and direct optimization or hardware investment accordingly.</w:t>
      </w:r>
    </w:p>
    <w:p>
      <w:pPr>
        <w:pStyle w:val="Heading2"/>
        <w:spacing w:after="80" w:before="220" w:line="276" w:lineRule="auto"/>
      </w:pPr>
      <w:r>
        <w:rPr>
          <w:rFonts w:ascii="Arial" w:cs="Arial" w:eastAsia="Arial" w:hAnsi="Arial"/>
          <w:b/>
          <w:bCs/>
          <w:color w:val="1F497D"/>
          <w:sz w:val="26"/>
          <w:szCs w:val="26"/>
        </w:rPr>
        <w:t xml:space="preserve">D. Deployment as a Cloud-Native Sidecar</w:t>
      </w:r>
    </w:p>
    <w:p>
      <w:pPr>
        <w:spacing w:after="60" w:before="60" w:line="288" w:lineRule="auto"/>
        <w:jc w:val="both"/>
      </w:pPr>
      <w:r>
        <w:rPr>
          <w:rFonts w:ascii="Arial" w:cs="Arial" w:eastAsia="Arial" w:hAnsi="Arial"/>
          <w:color w:val="212121"/>
          <w:sz w:val="22"/>
          <w:szCs w:val="22"/>
        </w:rPr>
        <w:t xml:space="preserve">ECQO deploys as a transparent proxy layer between client applications and the CDW endpoint, requiring zero modification to the underlying CDW engine and zero changes to application SQL. A Kubernetes-native deployment package supports independent horizontal scaling of the WIL and ECOE components. For latency-sensitive deployments, the EAQR rewrite catalogue can be pre-warmed for recurring query templates, reducing per-query planning overhead to under 4 ms for template matches. The RL agent's weight vector is persisted in a Redis key-value store, so weight state survives pod restarts and node failures without losing accumulated workload adaptation history.</w:t>
      </w:r>
    </w:p>
    <w:p>
      <w:r>
        <w:br w:type="page"/>
      </w:r>
    </w:p>
    <w:p>
      <w:pPr>
        <w:pStyle w:val="Heading1"/>
        <w:spacing w:after="120" w:before="320" w:line="276" w:lineRule="auto"/>
      </w:pPr>
      <w:r>
        <w:rPr>
          <w:rFonts w:ascii="Arial" w:cs="Arial" w:eastAsia="Arial" w:hAnsi="Arial"/>
          <w:b/>
          <w:bCs/>
          <w:caps/>
          <w:color w:val="1F497D"/>
          <w:sz w:val="32"/>
          <w:szCs w:val="32"/>
        </w:rPr>
        <w:t xml:space="preserve">VII. Conclusion</w:t>
      </w:r>
    </w:p>
    <w:p>
      <w:pPr>
        <w:spacing w:after="60" w:before="60" w:line="288" w:lineRule="auto"/>
        <w:jc w:val="both"/>
      </w:pPr>
      <w:r>
        <w:rPr>
          <w:rFonts w:ascii="Arial" w:cs="Arial" w:eastAsia="Arial" w:hAnsi="Arial"/>
          <w:color w:val="212121"/>
          <w:sz w:val="22"/>
          <w:szCs w:val="22"/>
        </w:rPr>
        <w:t xml:space="preserve">This paper presented ECQO, a query optimization framework for cloud data warehouses that treats energy consumption as a first-class objective alongside execution time and monetary cost. The three-layer architecture — Workload Intelligence Layer, Energy-Conscious Optimization Engine, and Adaptive Execution and Feedback Layer — provides a complete, deployable solution that intercepts SQL queries, rewrites them for energy efficiency, selects the best multi-objective execution plan, and continuously refines its optimization priorities through reinforcement learning.</w:t>
      </w:r>
    </w:p>
    <w:p>
      <w:pPr>
        <w:spacing w:after="60" w:before="60" w:line="288" w:lineRule="auto"/>
        <w:jc w:val="both"/>
      </w:pPr>
      <w:r>
        <w:rPr>
          <w:rFonts w:ascii="Arial" w:cs="Arial" w:eastAsia="Arial" w:hAnsi="Arial"/>
          <w:color w:val="212121"/>
          <w:sz w:val="22"/>
          <w:szCs w:val="22"/>
        </w:rPr>
        <w:t xml:space="preserve">The AMOS model provides a theoretically grounded scalarization framework with dynamic weight adaptation that responds to live workload telemetry, SLA constraints, and grid carbon intensity. The EAQR module — the single most impactful component — contributes 13.4 percentage points of energy saving through semantics-preserving logical plan transformations that cut I/O, intermediate materialization, and CPU sort costs before physical plan enumeration begins.</w:t>
      </w:r>
    </w:p>
    <w:p>
      <w:pPr>
        <w:spacing w:after="60" w:before="60" w:line="288" w:lineRule="auto"/>
        <w:jc w:val="both"/>
      </w:pPr>
      <w:r>
        <w:rPr>
          <w:rFonts w:ascii="Arial" w:cs="Arial" w:eastAsia="Arial" w:hAnsi="Arial"/>
          <w:color w:val="212121"/>
          <w:sz w:val="22"/>
          <w:szCs w:val="22"/>
        </w:rPr>
        <w:t xml:space="preserve">Experiments on TPC-H SF-100 and a real-world 1.4-billion-row smart-grid IoT dataset show 34.7% energy reduction, 28.3% time reduction, and 22.1% cost reduction against unmodified Amazon Redshift, at 97.2% SLA compliance and under 19 ms of planning overhead. These results support two important conclusions: energy efficiency and query performance are largely complementary rather than competing, and the residual tension between them can be navigated intelligently by an adaptive multi-objective optimizer.</w:t>
      </w:r>
    </w:p>
    <w:p>
      <w:pPr>
        <w:spacing w:after="60" w:before="60" w:line="288" w:lineRule="auto"/>
        <w:jc w:val="both"/>
      </w:pPr>
      <w:r>
        <w:rPr>
          <w:rFonts w:ascii="Arial" w:cs="Arial" w:eastAsia="Arial" w:hAnsi="Arial"/>
          <w:color w:val="212121"/>
          <w:sz w:val="22"/>
          <w:szCs w:val="22"/>
        </w:rPr>
        <w:t xml:space="preserve">ECQO has direct practical value for any organization seeking to shrink both the environmental footprint and the operating cost of cloud analytics. It also provides, for the first time, a fine-grained per-query energy accounting capability suitable for ESG compliance reporting — making it useful not just as a performance tool but as an infrastructure component for sustainable cloud computing.</w:t>
      </w:r>
    </w:p>
    <w:p>
      <w:pPr>
        <w:spacing w:after="80" w:before="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6"/>
              <w:left w:val="single" w:color="1F497D" w:sz="6"/>
              <w:bottom w:val="single" w:color="1F497D" w:sz="6"/>
              <w:right w:val="single" w:color="1F497D" w:sz="6"/>
            </w:tcBorders>
            <w:shd w:fill="E8F5E9" w:val="clear"/>
            <w:tcMar>
              <w:top w:type="dxa" w:w="120"/>
              <w:left w:type="dxa" w:w="160"/>
              <w:bottom w:type="dxa" w:w="120"/>
              <w:right w:type="dxa" w:w="160"/>
            </w:tcMar>
          </w:tcPr>
          <w:p>
            <w:pPr>
              <w:spacing w:after="60"/>
            </w:pPr>
            <w:r>
              <w:rPr>
                <w:rFonts w:ascii="Arial" w:cs="Arial" w:eastAsia="Arial" w:hAnsi="Arial"/>
                <w:b/>
                <w:bCs/>
                <w:color w:val="1F497D"/>
                <w:sz w:val="22"/>
                <w:szCs w:val="22"/>
              </w:rPr>
              <w:t xml:space="preserve">Key Takeaways</w:t>
            </w:r>
          </w:p>
          <w:p>
            <w:pPr>
              <w:jc w:val="both"/>
            </w:pPr>
            <w:r>
              <w:rPr>
                <w:rFonts w:ascii="Arial" w:cs="Arial" w:eastAsia="Arial" w:hAnsi="Arial"/>
                <w:color w:val="212121"/>
                <w:sz w:val="21"/>
                <w:szCs w:val="21"/>
              </w:rPr>
              <w:t xml:space="preserve">(1) Energy-aware query optimization reduces cloud electricity use by up to 34.7% with no changes to application code. (2) Energy savings and query speed improvements are largely complementary — 80% of queries benefit on all three dimensions simultaneously. (3) Adaptive weight adjustment allows the system to automatically exploit low-carbon electricity windows and enforce cost guardrails. (4) Fine-grained energy accounting at the query level enables accurate Scope 2 ESG reporting. (5) The complete framework adds under 19 ms of planning overhead to queries that run for tens to hundreds of seconds.</w:t>
            </w:r>
          </w:p>
        </w:tc>
      </w:tr>
    </w:tbl>
    <w:p>
      <w:pPr>
        <w:pStyle w:val="Heading1"/>
        <w:spacing w:after="120" w:before="320" w:line="276" w:lineRule="auto"/>
      </w:pPr>
      <w:r>
        <w:rPr>
          <w:rFonts w:ascii="Arial" w:cs="Arial" w:eastAsia="Arial" w:hAnsi="Arial"/>
          <w:b/>
          <w:bCs/>
          <w:caps/>
          <w:color w:val="1F497D"/>
          <w:sz w:val="32"/>
          <w:szCs w:val="32"/>
        </w:rPr>
        <w:t xml:space="preserve">VIII. Future Work</w:t>
      </w:r>
    </w:p>
    <w:p>
      <w:pPr>
        <w:spacing w:after="60" w:before="60" w:line="288" w:lineRule="auto"/>
        <w:jc w:val="both"/>
      </w:pPr>
      <w:r>
        <w:rPr>
          <w:rFonts w:ascii="Arial" w:cs="Arial" w:eastAsia="Arial" w:hAnsi="Arial"/>
          <w:color w:val="212121"/>
          <w:sz w:val="22"/>
          <w:szCs w:val="22"/>
        </w:rPr>
        <w:t xml:space="preserve">Several research directions build naturally on the foundations established here:</w:t>
      </w:r>
    </w:p>
    <w:p>
      <w:pPr>
        <w:pStyle w:val="ListParagraph"/>
        <w:numPr>
          <w:ilvl w:val="0"/>
          <w:numId w:val="2"/>
        </w:numPr>
        <w:spacing w:after="40" w:before="40" w:line="276" w:lineRule="auto"/>
      </w:pPr>
      <w:r>
        <w:rPr>
          <w:rFonts w:ascii="Arial" w:cs="Arial" w:eastAsia="Arial" w:hAnsi="Arial"/>
          <w:color w:val="212121"/>
          <w:sz w:val="22"/>
          <w:szCs w:val="22"/>
        </w:rPr>
        <w:t xml:space="preserve">Federated Multi-Cloud Optimization: Extending ECQO to select not only the execution plan but also the cloud region and provider for each query, exploiting real-time carbon intensity differentials across AWS, GCP, and Azure without violating data residency constraints.</w:t>
      </w:r>
    </w:p>
    <w:p>
      <w:pPr>
        <w:pStyle w:val="ListParagraph"/>
        <w:numPr>
          <w:ilvl w:val="0"/>
          <w:numId w:val="2"/>
        </w:numPr>
        <w:spacing w:after="40" w:before="40" w:line="276" w:lineRule="auto"/>
      </w:pPr>
      <w:r>
        <w:rPr>
          <w:rFonts w:ascii="Arial" w:cs="Arial" w:eastAsia="Arial" w:hAnsi="Arial"/>
          <w:color w:val="212121"/>
          <w:sz w:val="22"/>
          <w:szCs w:val="22"/>
        </w:rPr>
        <w:t xml:space="preserve">Hardware-Accelerated Energy Models: Integrating GPU and FPGA energy models to support modern accelerated columnar engines such as Nvidia cuDF and Apache Arrow Flight. Current ECQO models are CPU-centric and do not capture the favourable energy-per-operation characteristics of GPU-accelerated joins and aggregations.</w:t>
      </w:r>
    </w:p>
    <w:p>
      <w:pPr>
        <w:pStyle w:val="ListParagraph"/>
        <w:numPr>
          <w:ilvl w:val="0"/>
          <w:numId w:val="2"/>
        </w:numPr>
        <w:spacing w:after="40" w:before="40" w:line="276" w:lineRule="auto"/>
      </w:pPr>
      <w:r>
        <w:rPr>
          <w:rFonts w:ascii="Arial" w:cs="Arial" w:eastAsia="Arial" w:hAnsi="Arial"/>
          <w:color w:val="212121"/>
          <w:sz w:val="22"/>
          <w:szCs w:val="22"/>
        </w:rPr>
        <w:t xml:space="preserve">Causal Workload Modelling: Replacing the LSTM workload predictor with a causal transformer that can reason about the downstream query impact of schema changes, data loads, and user session patterns, enabling more proactive adaptation.</w:t>
      </w:r>
    </w:p>
    <w:p>
      <w:pPr>
        <w:pStyle w:val="ListParagraph"/>
        <w:numPr>
          <w:ilvl w:val="0"/>
          <w:numId w:val="2"/>
        </w:numPr>
        <w:spacing w:after="40" w:before="40" w:line="276" w:lineRule="auto"/>
      </w:pPr>
      <w:r>
        <w:rPr>
          <w:rFonts w:ascii="Arial" w:cs="Arial" w:eastAsia="Arial" w:hAnsi="Arial"/>
          <w:color w:val="212121"/>
          <w:sz w:val="22"/>
          <w:szCs w:val="22"/>
        </w:rPr>
        <w:t xml:space="preserve">Learned EAQR Rule Synthesis: Using large language models fine-tuned on query plan corpora to discover new energy-reducing rewrite rules beyond the hand-crafted catalogue, with formal verification of synthesized rules via the existing Z3 prover pipeline.</w:t>
      </w:r>
    </w:p>
    <w:p>
      <w:pPr>
        <w:pStyle w:val="ListParagraph"/>
        <w:numPr>
          <w:ilvl w:val="0"/>
          <w:numId w:val="2"/>
        </w:numPr>
        <w:spacing w:after="40" w:before="40" w:line="276" w:lineRule="auto"/>
      </w:pPr>
      <w:r>
        <w:rPr>
          <w:rFonts w:ascii="Arial" w:cs="Arial" w:eastAsia="Arial" w:hAnsi="Arial"/>
          <w:color w:val="212121"/>
          <w:sz w:val="22"/>
          <w:szCs w:val="22"/>
        </w:rPr>
        <w:t xml:space="preserve">Auto-Scaling Integration: Coupling ECQO's energy model with cloud auto-scaling APIs to recommend spot-instance downsizing during low-SLA-pressure windows, reducing the cluster's baseline power draw rather than only optimizing plan-level energy.</w:t>
      </w:r>
    </w:p>
    <w:p>
      <w:r>
        <w:br w:type="page"/>
      </w:r>
    </w:p>
    <w:p>
      <w:pPr>
        <w:pStyle w:val="Heading1"/>
        <w:spacing w:after="120" w:before="320" w:line="276" w:lineRule="auto"/>
      </w:pPr>
      <w:r>
        <w:rPr>
          <w:rFonts w:ascii="Arial" w:cs="Arial" w:eastAsia="Arial" w:hAnsi="Arial"/>
          <w:b/>
          <w:bCs/>
          <w:caps/>
          <w:color w:val="1F497D"/>
          <w:sz w:val="32"/>
          <w:szCs w:val="32"/>
        </w:rPr>
        <w:t xml:space="preserve">References</w:t>
      </w:r>
    </w:p>
    <w:p>
      <w:pPr>
        <w:spacing w:after="40" w:before="40" w:line="276" w:lineRule="auto"/>
        <w:jc w:val="both"/>
      </w:pPr>
      <w:r>
        <w:rPr>
          <w:rFonts w:ascii="Arial" w:cs="Arial" w:eastAsia="Arial" w:hAnsi="Arial"/>
          <w:b/>
          <w:bCs/>
          <w:color w:val="1F497D"/>
          <w:sz w:val="21"/>
          <w:szCs w:val="21"/>
        </w:rPr>
        <w:t xml:space="preserve">[1] </w:t>
      </w:r>
      <w:r>
        <w:rPr>
          <w:rFonts w:ascii="Arial" w:cs="Arial" w:eastAsia="Arial" w:hAnsi="Arial"/>
          <w:color w:val="212121"/>
          <w:sz w:val="21"/>
          <w:szCs w:val="21"/>
        </w:rPr>
        <w:t xml:space="preserve">P. G. Selinger, M. M. Astrahan, D. D. Chamberlin, R. A. Lorie, and T. G. Price, "Access path selection in a relational database management system," in Proc. ACM SIGMOD Int. Conf. on Management of Data, 1979, pp. 23–34.</w:t>
      </w:r>
    </w:p>
    <w:p>
      <w:pPr>
        <w:spacing w:after="40" w:before="40" w:line="276" w:lineRule="auto"/>
        <w:jc w:val="both"/>
      </w:pPr>
      <w:r>
        <w:rPr>
          <w:rFonts w:ascii="Arial" w:cs="Arial" w:eastAsia="Arial" w:hAnsi="Arial"/>
          <w:b/>
          <w:bCs/>
          <w:color w:val="1F497D"/>
          <w:sz w:val="21"/>
          <w:szCs w:val="21"/>
        </w:rPr>
        <w:t xml:space="preserve">[2] </w:t>
      </w:r>
      <w:r>
        <w:rPr>
          <w:rFonts w:ascii="Arial" w:cs="Arial" w:eastAsia="Arial" w:hAnsi="Arial"/>
          <w:color w:val="212121"/>
          <w:sz w:val="21"/>
          <w:szCs w:val="21"/>
        </w:rPr>
        <w:t xml:space="preserve">V. Leis, A. Gubichev, A. Mirchev, P. Boncz, A. Kemper, and T. Neumann, "How good are query optimizers, really?" Proc. VLDB Endow., vol. 9, no. 3, pp. 204–215, 2015.</w:t>
      </w:r>
    </w:p>
    <w:p>
      <w:pPr>
        <w:spacing w:after="40" w:before="40" w:line="276" w:lineRule="auto"/>
        <w:jc w:val="both"/>
      </w:pPr>
      <w:r>
        <w:rPr>
          <w:rFonts w:ascii="Arial" w:cs="Arial" w:eastAsia="Arial" w:hAnsi="Arial"/>
          <w:b/>
          <w:bCs/>
          <w:color w:val="1F497D"/>
          <w:sz w:val="21"/>
          <w:szCs w:val="21"/>
        </w:rPr>
        <w:t xml:space="preserve">[3] </w:t>
      </w:r>
      <w:r>
        <w:rPr>
          <w:rFonts w:ascii="Arial" w:cs="Arial" w:eastAsia="Arial" w:hAnsi="Arial"/>
          <w:color w:val="212121"/>
          <w:sz w:val="21"/>
          <w:szCs w:val="21"/>
        </w:rPr>
        <w:t xml:space="preserve">A. Kipf, T. Kipf, B. Radke, V. Leis, P. Boncz, and A. Kemper, "Learned cardinalities: Estimating correlated joins with deep learning," in Proc. CIDR, 2019.</w:t>
      </w:r>
    </w:p>
    <w:p>
      <w:pPr>
        <w:spacing w:after="40" w:before="40" w:line="276" w:lineRule="auto"/>
        <w:jc w:val="both"/>
      </w:pPr>
      <w:r>
        <w:rPr>
          <w:rFonts w:ascii="Arial" w:cs="Arial" w:eastAsia="Arial" w:hAnsi="Arial"/>
          <w:b/>
          <w:bCs/>
          <w:color w:val="1F497D"/>
          <w:sz w:val="21"/>
          <w:szCs w:val="21"/>
        </w:rPr>
        <w:t xml:space="preserve">[4] </w:t>
      </w:r>
      <w:r>
        <w:rPr>
          <w:rFonts w:ascii="Arial" w:cs="Arial" w:eastAsia="Arial" w:hAnsi="Arial"/>
          <w:color w:val="212121"/>
          <w:sz w:val="21"/>
          <w:szCs w:val="21"/>
        </w:rPr>
        <w:t xml:space="preserve">Y. Yang et al., "NeuroCard: One cardinality estimator for all tables," Proc. VLDB Endow., vol. 14, no. 1, pp. 61–73, 2020.</w:t>
      </w:r>
    </w:p>
    <w:p>
      <w:pPr>
        <w:spacing w:after="40" w:before="40" w:line="276" w:lineRule="auto"/>
        <w:jc w:val="both"/>
      </w:pPr>
      <w:r>
        <w:rPr>
          <w:rFonts w:ascii="Arial" w:cs="Arial" w:eastAsia="Arial" w:hAnsi="Arial"/>
          <w:b/>
          <w:bCs/>
          <w:color w:val="1F497D"/>
          <w:sz w:val="21"/>
          <w:szCs w:val="21"/>
        </w:rPr>
        <w:t xml:space="preserve">[5] </w:t>
      </w:r>
      <w:r>
        <w:rPr>
          <w:rFonts w:ascii="Arial" w:cs="Arial" w:eastAsia="Arial" w:hAnsi="Arial"/>
          <w:color w:val="212121"/>
          <w:sz w:val="21"/>
          <w:szCs w:val="21"/>
        </w:rPr>
        <w:t xml:space="preserve">R. Marcus, P. Negi, H. Mao, N. Tatbul, M. Alizadeh, and T. Kraska, "Bao: Making learned query optimization practical," in Proc. ACM SIGMOD, 2021, pp. 1275–1288.</w:t>
      </w:r>
    </w:p>
    <w:p>
      <w:pPr>
        <w:spacing w:after="40" w:before="40" w:line="276" w:lineRule="auto"/>
        <w:jc w:val="both"/>
      </w:pPr>
      <w:r>
        <w:rPr>
          <w:rFonts w:ascii="Arial" w:cs="Arial" w:eastAsia="Arial" w:hAnsi="Arial"/>
          <w:b/>
          <w:bCs/>
          <w:color w:val="1F497D"/>
          <w:sz w:val="21"/>
          <w:szCs w:val="21"/>
        </w:rPr>
        <w:t xml:space="preserve">[6] </w:t>
      </w:r>
      <w:r>
        <w:rPr>
          <w:rFonts w:ascii="Arial" w:cs="Arial" w:eastAsia="Arial" w:hAnsi="Arial"/>
          <w:color w:val="212121"/>
          <w:sz w:val="21"/>
          <w:szCs w:val="21"/>
        </w:rPr>
        <w:t xml:space="preserve">J. Zhao, A. Agarwal, and R. Agrawal, "Learned index structures for dynamic workloads in columnar stores," IEEE Trans. Knowl. Data Eng., vol. 35, no. 6, pp. 5714–5728, 2023.</w:t>
      </w:r>
    </w:p>
    <w:p>
      <w:pPr>
        <w:spacing w:after="40" w:before="40" w:line="276" w:lineRule="auto"/>
        <w:jc w:val="both"/>
      </w:pPr>
      <w:r>
        <w:rPr>
          <w:rFonts w:ascii="Arial" w:cs="Arial" w:eastAsia="Arial" w:hAnsi="Arial"/>
          <w:b/>
          <w:bCs/>
          <w:color w:val="1F497D"/>
          <w:sz w:val="21"/>
          <w:szCs w:val="21"/>
        </w:rPr>
        <w:t xml:space="preserve">[7] </w:t>
      </w:r>
      <w:r>
        <w:rPr>
          <w:rFonts w:ascii="Arial" w:cs="Arial" w:eastAsia="Arial" w:hAnsi="Arial"/>
          <w:color w:val="212121"/>
          <w:sz w:val="21"/>
          <w:szCs w:val="21"/>
        </w:rPr>
        <w:t xml:space="preserve">D. Tsirogiannis, S. Harizopoulos, and M. A. Shah, "Analyzing the energy efficiency of a database server," in Proc. ACM SIGMOD, 2010, pp. 231–242.</w:t>
      </w:r>
    </w:p>
    <w:p>
      <w:pPr>
        <w:spacing w:after="40" w:before="40" w:line="276" w:lineRule="auto"/>
        <w:jc w:val="both"/>
      </w:pPr>
      <w:r>
        <w:rPr>
          <w:rFonts w:ascii="Arial" w:cs="Arial" w:eastAsia="Arial" w:hAnsi="Arial"/>
          <w:b/>
          <w:bCs/>
          <w:color w:val="1F497D"/>
          <w:sz w:val="21"/>
          <w:szCs w:val="21"/>
        </w:rPr>
        <w:t xml:space="preserve">[8] </w:t>
      </w:r>
      <w:r>
        <w:rPr>
          <w:rFonts w:ascii="Arial" w:cs="Arial" w:eastAsia="Arial" w:hAnsi="Arial"/>
          <w:color w:val="212121"/>
          <w:sz w:val="21"/>
          <w:szCs w:val="21"/>
        </w:rPr>
        <w:t xml:space="preserve">R. Xu, Z. Xu, W. Wang, and H. Chen, "GreenDB: Towards an energy-efficient relational database," IEEE Trans. Green Commun. Netw., vol. 4, no. 2, pp. 607–619, 2020.</w:t>
      </w:r>
    </w:p>
    <w:p>
      <w:pPr>
        <w:spacing w:after="40" w:before="40" w:line="276" w:lineRule="auto"/>
        <w:jc w:val="both"/>
      </w:pPr>
      <w:r>
        <w:rPr>
          <w:rFonts w:ascii="Arial" w:cs="Arial" w:eastAsia="Arial" w:hAnsi="Arial"/>
          <w:b/>
          <w:bCs/>
          <w:color w:val="1F497D"/>
          <w:sz w:val="21"/>
          <w:szCs w:val="21"/>
        </w:rPr>
        <w:t xml:space="preserve">[9] </w:t>
      </w:r>
      <w:r>
        <w:rPr>
          <w:rFonts w:ascii="Arial" w:cs="Arial" w:eastAsia="Arial" w:hAnsi="Arial"/>
          <w:color w:val="212121"/>
          <w:sz w:val="21"/>
          <w:szCs w:val="21"/>
        </w:rPr>
        <w:t xml:space="preserve">M. Kunjir, B. Fain, K. Munagala, and S. Babu, "ROBUS: Fair cache allocation for data-parallel workloads with energy awareness," in Proc. ACM SIGMOD, 2021, pp. 957–969.</w:t>
      </w:r>
    </w:p>
    <w:p>
      <w:pPr>
        <w:spacing w:after="40" w:before="40" w:line="276" w:lineRule="auto"/>
        <w:jc w:val="both"/>
      </w:pPr>
      <w:r>
        <w:rPr>
          <w:rFonts w:ascii="Arial" w:cs="Arial" w:eastAsia="Arial" w:hAnsi="Arial"/>
          <w:b/>
          <w:bCs/>
          <w:color w:val="1F497D"/>
          <w:sz w:val="21"/>
          <w:szCs w:val="21"/>
        </w:rPr>
        <w:t xml:space="preserve">[10] </w:t>
      </w:r>
      <w:r>
        <w:rPr>
          <w:rFonts w:ascii="Arial" w:cs="Arial" w:eastAsia="Arial" w:hAnsi="Arial"/>
          <w:color w:val="212121"/>
          <w:sz w:val="21"/>
          <w:szCs w:val="21"/>
        </w:rPr>
        <w:t xml:space="preserve">C. A. Lang et al., "Exploiting memory zone maps for energy-efficient columnar store scans," in Proc. VLDB Endow., vol. 10, no. 11, pp. 1369–1380, 2017.</w:t>
      </w:r>
    </w:p>
    <w:p>
      <w:pPr>
        <w:spacing w:after="40" w:before="40" w:line="276" w:lineRule="auto"/>
        <w:jc w:val="both"/>
      </w:pPr>
      <w:r>
        <w:rPr>
          <w:rFonts w:ascii="Arial" w:cs="Arial" w:eastAsia="Arial" w:hAnsi="Arial"/>
          <w:b/>
          <w:bCs/>
          <w:color w:val="1F497D"/>
          <w:sz w:val="21"/>
          <w:szCs w:val="21"/>
        </w:rPr>
        <w:t xml:space="preserve">[11] </w:t>
      </w:r>
      <w:r>
        <w:rPr>
          <w:rFonts w:ascii="Arial" w:cs="Arial" w:eastAsia="Arial" w:hAnsi="Arial"/>
          <w:color w:val="212121"/>
          <w:sz w:val="21"/>
          <w:szCs w:val="21"/>
        </w:rPr>
        <w:t xml:space="preserve">A. Fox et al., "Above the clouds: A Berkeley view of cloud computing," Tech. Rep. UCB/EECS-2009-28, 2009.</w:t>
      </w:r>
    </w:p>
    <w:p>
      <w:pPr>
        <w:spacing w:after="40" w:before="40" w:line="276" w:lineRule="auto"/>
        <w:jc w:val="both"/>
      </w:pPr>
      <w:r>
        <w:rPr>
          <w:rFonts w:ascii="Arial" w:cs="Arial" w:eastAsia="Arial" w:hAnsi="Arial"/>
          <w:b/>
          <w:bCs/>
          <w:color w:val="1F497D"/>
          <w:sz w:val="21"/>
          <w:szCs w:val="21"/>
        </w:rPr>
        <w:t xml:space="preserve">[12] </w:t>
      </w:r>
      <w:r>
        <w:rPr>
          <w:rFonts w:ascii="Arial" w:cs="Arial" w:eastAsia="Arial" w:hAnsi="Arial"/>
          <w:color w:val="212121"/>
          <w:sz w:val="21"/>
          <w:szCs w:val="21"/>
        </w:rPr>
        <w:t xml:space="preserve">N. Bobroff, A. Kochut, and K. Beaty, "Dynamic placement of virtual machines for managing SLA violations," in Proc. IFIP/IEEE IM, 2007, pp. 119–128.</w:t>
      </w:r>
    </w:p>
    <w:p>
      <w:pPr>
        <w:spacing w:after="40" w:before="40" w:line="276" w:lineRule="auto"/>
        <w:jc w:val="both"/>
      </w:pPr>
      <w:r>
        <w:rPr>
          <w:rFonts w:ascii="Arial" w:cs="Arial" w:eastAsia="Arial" w:hAnsi="Arial"/>
          <w:b/>
          <w:bCs/>
          <w:color w:val="1F497D"/>
          <w:sz w:val="21"/>
          <w:szCs w:val="21"/>
        </w:rPr>
        <w:t xml:space="preserve">[13] </w:t>
      </w:r>
      <w:r>
        <w:rPr>
          <w:rFonts w:ascii="Arial" w:cs="Arial" w:eastAsia="Arial" w:hAnsi="Arial"/>
          <w:color w:val="212121"/>
          <w:sz w:val="21"/>
          <w:szCs w:val="21"/>
        </w:rPr>
        <w:t xml:space="preserve">B. Fortz and M. Thorup, "Optimizing OSPF/IS-IS weights in a changing world," IEEE J. Sel. Areas Commun., vol. 20, no. 4, pp. 756–767, 2002.</w:t>
      </w:r>
    </w:p>
    <w:p>
      <w:pPr>
        <w:spacing w:after="40" w:before="40" w:line="276" w:lineRule="auto"/>
        <w:jc w:val="both"/>
      </w:pPr>
      <w:r>
        <w:rPr>
          <w:rFonts w:ascii="Arial" w:cs="Arial" w:eastAsia="Arial" w:hAnsi="Arial"/>
          <w:b/>
          <w:bCs/>
          <w:color w:val="1F497D"/>
          <w:sz w:val="21"/>
          <w:szCs w:val="21"/>
        </w:rPr>
        <w:t xml:space="preserve">[14] </w:t>
      </w:r>
      <w:r>
        <w:rPr>
          <w:rFonts w:ascii="Arial" w:cs="Arial" w:eastAsia="Arial" w:hAnsi="Arial"/>
          <w:color w:val="212121"/>
          <w:sz w:val="21"/>
          <w:szCs w:val="21"/>
        </w:rPr>
        <w:t xml:space="preserve">D. Van Aken, A. Pavlo, G. J. Gordon, and B. Zhang, "Automatic database management system tuning through large-scale machine learning," in Proc. ACM SIGMOD, 2017, pp. 1009–1024.</w:t>
      </w:r>
    </w:p>
    <w:p>
      <w:pPr>
        <w:spacing w:after="40" w:before="40" w:line="276" w:lineRule="auto"/>
        <w:jc w:val="both"/>
      </w:pPr>
      <w:r>
        <w:rPr>
          <w:rFonts w:ascii="Arial" w:cs="Arial" w:eastAsia="Arial" w:hAnsi="Arial"/>
          <w:b/>
          <w:bCs/>
          <w:color w:val="1F497D"/>
          <w:sz w:val="21"/>
          <w:szCs w:val="21"/>
        </w:rPr>
        <w:t xml:space="preserve">[15] </w:t>
      </w:r>
      <w:r>
        <w:rPr>
          <w:rFonts w:ascii="Arial" w:cs="Arial" w:eastAsia="Arial" w:hAnsi="Arial"/>
          <w:color w:val="212121"/>
          <w:sz w:val="21"/>
          <w:szCs w:val="21"/>
        </w:rPr>
        <w:t xml:space="preserve">A. Kendall, Y. Gal, and R. Cipolla, "Multi-task learning using uncertainty to weigh losses for scene geometry and semantics," in Proc. IEEE CVPR, 2018, pp. 7482–7491.</w:t>
      </w:r>
    </w:p>
    <w:p>
      <w:pPr>
        <w:spacing w:after="40" w:before="40" w:line="276" w:lineRule="auto"/>
        <w:jc w:val="both"/>
      </w:pPr>
      <w:r>
        <w:rPr>
          <w:rFonts w:ascii="Arial" w:cs="Arial" w:eastAsia="Arial" w:hAnsi="Arial"/>
          <w:b/>
          <w:bCs/>
          <w:color w:val="1F497D"/>
          <w:sz w:val="21"/>
          <w:szCs w:val="21"/>
        </w:rPr>
        <w:t xml:space="preserve">[16] </w:t>
      </w:r>
      <w:r>
        <w:rPr>
          <w:rFonts w:ascii="Arial" w:cs="Arial" w:eastAsia="Arial" w:hAnsi="Arial"/>
          <w:color w:val="212121"/>
          <w:sz w:val="21"/>
          <w:szCs w:val="21"/>
        </w:rPr>
        <w:t xml:space="preserve">E. Hazan, "Introduction to online convex optimization," Found. Trends Optim., vol. 2, no. 3–4, pp. 157–325, 2016.</w:t>
      </w:r>
    </w:p>
    <w:p>
      <w:pPr>
        <w:spacing w:after="40" w:before="40" w:line="276" w:lineRule="auto"/>
        <w:jc w:val="both"/>
      </w:pPr>
      <w:r>
        <w:rPr>
          <w:rFonts w:ascii="Arial" w:cs="Arial" w:eastAsia="Arial" w:hAnsi="Arial"/>
          <w:b/>
          <w:bCs/>
          <w:color w:val="1F497D"/>
          <w:sz w:val="21"/>
          <w:szCs w:val="21"/>
        </w:rPr>
        <w:t xml:space="preserve">[17] </w:t>
      </w:r>
      <w:r>
        <w:rPr>
          <w:rFonts w:ascii="Arial" w:cs="Arial" w:eastAsia="Arial" w:hAnsi="Arial"/>
          <w:color w:val="212121"/>
          <w:sz w:val="21"/>
          <w:szCs w:val="21"/>
        </w:rPr>
        <w:t xml:space="preserve">L. Chen, G. Xu, Z. Li, and Q. Zeng, "GreenCloud: Carbon-aware query scheduling for cloud data warehouses," in Proc. IEEE CLOUD, 2023, pp. 88–97.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spacing w:after="0" w:before="100"/>
    </w:pPr>
    <w:r>
      <w:rPr>
        <w:rFonts w:ascii="Arial" w:cs="Arial" w:eastAsia="Arial" w:hAnsi="Arial"/>
        <w:color w:val="555555"/>
        <w:sz w:val="18"/>
        <w:szCs w:val="18"/>
      </w:rPr>
      <w:t xml:space="preserve">Desai et al. | Submitted April 2025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after="120" w:before="0"/>
      <w:jc w:val="right"/>
    </w:pPr>
    <w:r>
      <w:rPr>
        <w:rFonts w:ascii="Arial" w:cs="Arial" w:eastAsia="Arial" w:hAnsi="Arial"/>
        <w:i/>
        <w:iCs/>
        <w:color w:val="555555"/>
        <w:sz w:val="18"/>
        <w:szCs w:val="18"/>
      </w:rPr>
      <w:t xml:space="preserve">ECQO: Energy-Conscious Query Optimization for Cloud Data Warehouses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aps/>
      <w:color w:val="1F497D"/>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0cdb2e782579247b18e09b72cd0538dbc2ebdf.png"/><Relationship Id="rId10" Type="http://schemas.openxmlformats.org/officeDocument/2006/relationships/image" Target="media/d86915e46c0ea02691025905ef87127b692ad75a.png"/><Relationship Id="rId11" Type="http://schemas.openxmlformats.org/officeDocument/2006/relationships/image" Target="media/8418b2f8b9db1a96f19451fa54cc51359f0cae8e.png"/><Relationship Id="rId12" Type="http://schemas.openxmlformats.org/officeDocument/2006/relationships/image" Target="media/14d9a00e651ae99f26350f27c0145948f38d4ee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2026-04-26T06:57:56.660Z</dcterms:created>
  <dcterms:modified xsi:type="dcterms:W3CDTF">2026-04-26T06:57:56.661Z</dcterms:modified>
</cp:coreProperties>
</file>

<file path=docProps/custom.xml><?xml version="1.0" encoding="utf-8"?>
<Properties xmlns="http://schemas.openxmlformats.org/officeDocument/2006/custom-properties" xmlns:vt="http://schemas.openxmlformats.org/officeDocument/2006/docPropsVTypes"/>
</file>