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Default Extension="emf" ContentType="image/x-emf"/>
  <Default Extension="wmf" ContentType="image/x-wmf"/>
  <Default Extension="jpeg" ContentType="image/jpeg"/>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2B59B7" w:rsidP="00D81914">
      <w:pPr>
        <w:spacing w:before="120" w:after="120" w:line="240" w:lineRule="atLeast"/>
        <w:jc w:val="center"/>
        <w:rPr>
          <w:rFonts w:ascii="Arial" w:hAnsi="Arial" w:cs="Arial"/>
          <w:b/>
          <w:color w:val="0000FF"/>
          <w:sz w:val="40"/>
          <w:szCs w:val="40"/>
        </w:rPr>
      </w:pPr>
      <w:r w:rsidRPr="009413F6">
        <w:rPr>
          <w:rFonts w:ascii="Arial" w:hAnsi="Arial" w:cs="Arial"/>
          <w:b/>
          <w:color w:val="0000FF"/>
          <w:sz w:val="40"/>
          <w:szCs w:val="40"/>
        </w:rPr>
        <w:t>Level One Course in</w:t>
      </w:r>
    </w:p>
    <w:p w:rsidR="002B59B7" w:rsidRPr="009413F6" w:rsidRDefault="002B60DA" w:rsidP="00D81914">
      <w:pPr>
        <w:spacing w:before="120" w:after="120" w:line="240" w:lineRule="atLeast"/>
        <w:jc w:val="center"/>
        <w:rPr>
          <w:rFonts w:ascii="Arial" w:hAnsi="Arial" w:cs="Arial"/>
          <w:b/>
          <w:color w:val="0000FF"/>
          <w:sz w:val="40"/>
          <w:szCs w:val="40"/>
        </w:rPr>
      </w:pPr>
      <w:r>
        <w:rPr>
          <w:rFonts w:ascii="Arial" w:hAnsi="Arial" w:cs="Arial"/>
          <w:b/>
          <w:color w:val="0000FF"/>
          <w:sz w:val="40"/>
          <w:szCs w:val="40"/>
        </w:rPr>
        <w:t>Asset &amp; Wealth Management</w:t>
      </w:r>
    </w:p>
    <w:p w:rsidR="002B59B7" w:rsidRPr="009413F6" w:rsidRDefault="002B59B7" w:rsidP="003E3FB6">
      <w:pPr>
        <w:spacing w:before="120" w:after="120" w:line="240" w:lineRule="atLeast"/>
        <w:jc w:val="both"/>
        <w:rPr>
          <w:rFonts w:ascii="Arial" w:hAnsi="Arial" w:cs="Arial"/>
          <w:color w:val="0000FF"/>
        </w:rPr>
      </w:pPr>
    </w:p>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BD1F13" w:rsidP="00BD1F13">
      <w:pPr>
        <w:tabs>
          <w:tab w:val="left" w:pos="7125"/>
        </w:tabs>
        <w:spacing w:before="120" w:after="120" w:line="240" w:lineRule="atLeast"/>
        <w:jc w:val="both"/>
        <w:rPr>
          <w:rFonts w:ascii="Arial" w:hAnsi="Arial" w:cs="Arial"/>
        </w:rPr>
      </w:pPr>
      <w:r>
        <w:rPr>
          <w:rFonts w:ascii="Arial" w:hAnsi="Arial" w:cs="Arial"/>
        </w:rPr>
        <w:tab/>
      </w:r>
    </w:p>
    <w:p w:rsidR="002B59B7" w:rsidRPr="009413F6" w:rsidRDefault="002B59B7" w:rsidP="003E3FB6">
      <w:pPr>
        <w:spacing w:before="120" w:after="120" w:line="240" w:lineRule="atLeast"/>
        <w:jc w:val="both"/>
        <w:rPr>
          <w:rFonts w:ascii="Arial" w:hAnsi="Arial" w:cs="Arial"/>
        </w:rPr>
      </w:pPr>
    </w:p>
    <w:p w:rsidR="002B59B7" w:rsidRPr="009413F6" w:rsidRDefault="002B59B7" w:rsidP="003E3FB6">
      <w:pPr>
        <w:spacing w:before="120" w:after="120" w:line="240" w:lineRule="atLeast"/>
        <w:jc w:val="both"/>
        <w:rPr>
          <w:rFonts w:ascii="Arial" w:hAnsi="Arial" w:cs="Arial"/>
        </w:rPr>
      </w:pPr>
    </w:p>
    <w:p w:rsidR="002B59B7" w:rsidRPr="009413F6" w:rsidRDefault="00700E72" w:rsidP="0055549E">
      <w:pPr>
        <w:spacing w:before="120" w:after="120" w:line="240" w:lineRule="atLeast"/>
        <w:jc w:val="center"/>
        <w:rPr>
          <w:rFonts w:ascii="Arial" w:hAnsi="Arial" w:cs="Arial"/>
          <w:b/>
          <w:sz w:val="22"/>
          <w:szCs w:val="22"/>
        </w:rPr>
      </w:pPr>
      <w:r>
        <w:rPr>
          <w:rFonts w:ascii="Arial" w:hAnsi="Arial" w:cs="Arial"/>
          <w:b/>
          <w:sz w:val="22"/>
          <w:szCs w:val="22"/>
        </w:rPr>
        <w:t>Version:</w:t>
      </w:r>
      <w:r w:rsidR="002B59B7" w:rsidRPr="009413F6">
        <w:rPr>
          <w:rFonts w:ascii="Arial" w:hAnsi="Arial" w:cs="Arial"/>
          <w:b/>
          <w:sz w:val="22"/>
          <w:szCs w:val="22"/>
        </w:rPr>
        <w:t xml:space="preserve">  </w:t>
      </w:r>
      <w:r w:rsidR="008A1050">
        <w:rPr>
          <w:rFonts w:ascii="Arial" w:hAnsi="Arial" w:cs="Arial"/>
          <w:b/>
          <w:sz w:val="22"/>
          <w:szCs w:val="22"/>
        </w:rPr>
        <w:t>2.0</w:t>
      </w:r>
    </w:p>
    <w:p w:rsidR="002B59B7" w:rsidRPr="009413F6" w:rsidRDefault="0055549E" w:rsidP="0055549E">
      <w:pPr>
        <w:spacing w:before="120" w:after="120" w:line="240" w:lineRule="atLeast"/>
        <w:jc w:val="center"/>
        <w:rPr>
          <w:rFonts w:ascii="Arial" w:hAnsi="Arial" w:cs="Arial"/>
          <w:b/>
          <w:sz w:val="22"/>
          <w:szCs w:val="22"/>
        </w:rPr>
      </w:pPr>
      <w:r>
        <w:rPr>
          <w:rFonts w:ascii="Arial" w:hAnsi="Arial" w:cs="Arial"/>
          <w:b/>
          <w:sz w:val="22"/>
          <w:szCs w:val="22"/>
        </w:rPr>
        <w:t>Date</w:t>
      </w:r>
      <w:r>
        <w:rPr>
          <w:rFonts w:ascii="Arial" w:hAnsi="Arial" w:cs="Arial"/>
          <w:b/>
          <w:sz w:val="22"/>
          <w:szCs w:val="22"/>
        </w:rPr>
        <w:tab/>
      </w:r>
      <w:r w:rsidR="002B59B7" w:rsidRPr="009413F6">
        <w:rPr>
          <w:rFonts w:ascii="Arial" w:hAnsi="Arial" w:cs="Arial"/>
          <w:b/>
          <w:sz w:val="22"/>
          <w:szCs w:val="22"/>
        </w:rPr>
        <w:t xml:space="preserve">:  </w:t>
      </w:r>
      <w:r w:rsidR="00AD76CA">
        <w:rPr>
          <w:rFonts w:ascii="Arial" w:hAnsi="Arial" w:cs="Arial"/>
          <w:b/>
          <w:sz w:val="22"/>
          <w:szCs w:val="22"/>
        </w:rPr>
        <w:t>0</w:t>
      </w:r>
      <w:r w:rsidR="00CF39D7">
        <w:rPr>
          <w:rFonts w:ascii="Arial" w:hAnsi="Arial" w:cs="Arial"/>
          <w:b/>
          <w:sz w:val="22"/>
          <w:szCs w:val="22"/>
        </w:rPr>
        <w:t>3</w:t>
      </w:r>
      <w:r w:rsidR="00FC39C9" w:rsidRPr="009413F6">
        <w:rPr>
          <w:rFonts w:ascii="Arial" w:hAnsi="Arial" w:cs="Arial"/>
          <w:b/>
          <w:sz w:val="22"/>
          <w:szCs w:val="22"/>
        </w:rPr>
        <w:t>-</w:t>
      </w:r>
      <w:r w:rsidR="008A1050">
        <w:rPr>
          <w:rFonts w:ascii="Arial" w:hAnsi="Arial" w:cs="Arial"/>
          <w:b/>
          <w:sz w:val="22"/>
          <w:szCs w:val="22"/>
        </w:rPr>
        <w:t>April</w:t>
      </w:r>
      <w:r w:rsidR="00FC39C9" w:rsidRPr="009413F6">
        <w:rPr>
          <w:rFonts w:ascii="Arial" w:hAnsi="Arial" w:cs="Arial"/>
          <w:b/>
          <w:sz w:val="22"/>
          <w:szCs w:val="22"/>
        </w:rPr>
        <w:t>-200</w:t>
      </w:r>
      <w:r w:rsidR="008A1050">
        <w:rPr>
          <w:rFonts w:ascii="Arial" w:hAnsi="Arial" w:cs="Arial"/>
          <w:b/>
          <w:sz w:val="22"/>
          <w:szCs w:val="22"/>
        </w:rPr>
        <w:t>9</w:t>
      </w:r>
    </w:p>
    <w:p w:rsidR="002B59B7" w:rsidRPr="009413F6" w:rsidRDefault="002B59B7" w:rsidP="0055549E">
      <w:pPr>
        <w:spacing w:before="120" w:after="120" w:line="240" w:lineRule="atLeast"/>
        <w:jc w:val="center"/>
        <w:rPr>
          <w:rFonts w:ascii="Arial" w:hAnsi="Arial" w:cs="Arial"/>
          <w:b/>
          <w:sz w:val="22"/>
          <w:szCs w:val="22"/>
        </w:rPr>
      </w:pPr>
    </w:p>
    <w:p w:rsidR="002B59B7" w:rsidRPr="009413F6" w:rsidRDefault="002B59B7" w:rsidP="0055549E">
      <w:pPr>
        <w:spacing w:before="120" w:after="120" w:line="240" w:lineRule="atLeast"/>
        <w:jc w:val="center"/>
        <w:rPr>
          <w:rFonts w:ascii="Arial" w:hAnsi="Arial" w:cs="Arial"/>
          <w:b/>
          <w:sz w:val="22"/>
          <w:szCs w:val="22"/>
        </w:rPr>
      </w:pPr>
    </w:p>
    <w:p w:rsidR="002B59B7" w:rsidRPr="009413F6" w:rsidRDefault="002B59B7" w:rsidP="0055549E">
      <w:pPr>
        <w:spacing w:before="120" w:after="120" w:line="240" w:lineRule="atLeast"/>
        <w:jc w:val="center"/>
        <w:rPr>
          <w:rFonts w:ascii="Arial" w:hAnsi="Arial" w:cs="Arial"/>
          <w:b/>
          <w:sz w:val="22"/>
          <w:szCs w:val="22"/>
        </w:rPr>
      </w:pPr>
    </w:p>
    <w:p w:rsidR="002B59B7" w:rsidRPr="009413F6" w:rsidRDefault="002B59B7" w:rsidP="0055549E">
      <w:pPr>
        <w:spacing w:before="120" w:after="120" w:line="240" w:lineRule="atLeast"/>
        <w:jc w:val="center"/>
        <w:rPr>
          <w:rFonts w:ascii="Arial" w:hAnsi="Arial" w:cs="Arial"/>
          <w:b/>
          <w:sz w:val="22"/>
          <w:szCs w:val="22"/>
        </w:rPr>
      </w:pPr>
    </w:p>
    <w:p w:rsidR="002B59B7" w:rsidRPr="009413F6" w:rsidRDefault="00C164AF" w:rsidP="0055549E">
      <w:pPr>
        <w:spacing w:before="120" w:after="120" w:line="240" w:lineRule="atLeast"/>
        <w:jc w:val="center"/>
        <w:rPr>
          <w:rFonts w:ascii="Arial" w:hAnsi="Arial" w:cs="Arial"/>
          <w:sz w:val="22"/>
          <w:szCs w:val="22"/>
        </w:rPr>
      </w:pPr>
      <w:r>
        <w:rPr>
          <w:rFonts w:ascii="Arial" w:hAnsi="Arial" w:cs="Arial"/>
          <w:noProof/>
          <w:sz w:val="20"/>
        </w:rPr>
        <w:drawing>
          <wp:inline distT="0" distB="0" distL="0" distR="0">
            <wp:extent cx="1724025" cy="714375"/>
            <wp:effectExtent l="19050" t="0" r="9525" b="0"/>
            <wp:docPr id="13" name="Picture 1" descr="ctslogo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slogoleft"/>
                    <pic:cNvPicPr>
                      <a:picLocks noChangeAspect="1" noChangeArrowheads="1"/>
                    </pic:cNvPicPr>
                  </pic:nvPicPr>
                  <pic:blipFill>
                    <a:blip r:embed="rId10" cstate="print"/>
                    <a:srcRect/>
                    <a:stretch>
                      <a:fillRect/>
                    </a:stretch>
                  </pic:blipFill>
                  <pic:spPr bwMode="auto">
                    <a:xfrm>
                      <a:off x="0" y="0"/>
                      <a:ext cx="1724025" cy="714375"/>
                    </a:xfrm>
                    <a:prstGeom prst="rect">
                      <a:avLst/>
                    </a:prstGeom>
                    <a:noFill/>
                    <a:ln w="9525">
                      <a:noFill/>
                      <a:miter lim="800000"/>
                      <a:headEnd/>
                      <a:tailEnd/>
                    </a:ln>
                  </pic:spPr>
                </pic:pic>
              </a:graphicData>
            </a:graphic>
          </wp:inline>
        </w:drawing>
      </w:r>
    </w:p>
    <w:p w:rsidR="00512DC2" w:rsidRPr="009413F6" w:rsidRDefault="00512DC2" w:rsidP="0055549E">
      <w:pPr>
        <w:spacing w:before="120" w:after="120" w:line="240" w:lineRule="atLeast"/>
        <w:jc w:val="center"/>
        <w:rPr>
          <w:rFonts w:ascii="Arial" w:hAnsi="Arial" w:cs="Arial"/>
          <w:sz w:val="22"/>
          <w:szCs w:val="22"/>
        </w:rPr>
      </w:pPr>
    </w:p>
    <w:p w:rsidR="002B59B7" w:rsidRPr="009413F6" w:rsidRDefault="002B59B7" w:rsidP="0055549E">
      <w:pPr>
        <w:spacing w:before="120" w:after="120" w:line="240" w:lineRule="atLeast"/>
        <w:jc w:val="center"/>
        <w:rPr>
          <w:rFonts w:ascii="Arial" w:hAnsi="Arial" w:cs="Arial"/>
          <w:sz w:val="22"/>
          <w:szCs w:val="22"/>
        </w:rPr>
      </w:pPr>
      <w:proofErr w:type="gramStart"/>
      <w:r w:rsidRPr="009413F6">
        <w:rPr>
          <w:rFonts w:ascii="Arial" w:hAnsi="Arial" w:cs="Arial"/>
          <w:sz w:val="22"/>
          <w:szCs w:val="22"/>
        </w:rPr>
        <w:t>Cognizant</w:t>
      </w:r>
      <w:proofErr w:type="gramEnd"/>
      <w:r w:rsidRPr="009413F6">
        <w:rPr>
          <w:rFonts w:ascii="Arial" w:hAnsi="Arial" w:cs="Arial"/>
          <w:sz w:val="22"/>
          <w:szCs w:val="22"/>
        </w:rPr>
        <w:t xml:space="preserve"> Technology Solutions</w:t>
      </w:r>
    </w:p>
    <w:p w:rsidR="002B59B7" w:rsidRPr="009413F6" w:rsidRDefault="002B59B7" w:rsidP="0055549E">
      <w:pPr>
        <w:spacing w:before="120" w:after="120" w:line="240" w:lineRule="atLeast"/>
        <w:jc w:val="center"/>
        <w:rPr>
          <w:rFonts w:ascii="Arial" w:hAnsi="Arial" w:cs="Arial"/>
          <w:sz w:val="22"/>
          <w:szCs w:val="22"/>
        </w:rPr>
      </w:pPr>
      <w:r w:rsidRPr="009413F6">
        <w:rPr>
          <w:rFonts w:ascii="Arial" w:hAnsi="Arial" w:cs="Arial"/>
          <w:sz w:val="22"/>
          <w:szCs w:val="22"/>
        </w:rPr>
        <w:t xml:space="preserve">500 </w:t>
      </w:r>
      <w:proofErr w:type="spellStart"/>
      <w:r w:rsidRPr="009413F6">
        <w:rPr>
          <w:rFonts w:ascii="Arial" w:hAnsi="Arial" w:cs="Arial"/>
          <w:sz w:val="22"/>
          <w:szCs w:val="22"/>
        </w:rPr>
        <w:t>Glenpointe</w:t>
      </w:r>
      <w:proofErr w:type="spellEnd"/>
      <w:r w:rsidRPr="009413F6">
        <w:rPr>
          <w:rFonts w:ascii="Arial" w:hAnsi="Arial" w:cs="Arial"/>
          <w:sz w:val="22"/>
          <w:szCs w:val="22"/>
        </w:rPr>
        <w:t xml:space="preserve"> Centre West</w:t>
      </w:r>
    </w:p>
    <w:p w:rsidR="002B59B7" w:rsidRPr="009413F6" w:rsidRDefault="002B59B7" w:rsidP="0055549E">
      <w:pPr>
        <w:spacing w:before="120" w:after="120" w:line="240" w:lineRule="atLeast"/>
        <w:jc w:val="center"/>
        <w:rPr>
          <w:rFonts w:ascii="Arial" w:hAnsi="Arial" w:cs="Arial"/>
          <w:sz w:val="22"/>
          <w:szCs w:val="22"/>
        </w:rPr>
      </w:pPr>
      <w:smartTag w:uri="urn:schemas-microsoft-com:office:smarttags" w:element="place">
        <w:smartTag w:uri="urn:schemas-microsoft-com:office:smarttags" w:element="City">
          <w:r w:rsidRPr="009413F6">
            <w:rPr>
              <w:rFonts w:ascii="Arial" w:hAnsi="Arial" w:cs="Arial"/>
              <w:sz w:val="22"/>
              <w:szCs w:val="22"/>
            </w:rPr>
            <w:t>Teaneck</w:t>
          </w:r>
        </w:smartTag>
        <w:r w:rsidRPr="009413F6">
          <w:rPr>
            <w:rFonts w:ascii="Arial" w:hAnsi="Arial" w:cs="Arial"/>
            <w:sz w:val="22"/>
            <w:szCs w:val="22"/>
          </w:rPr>
          <w:t xml:space="preserve">, </w:t>
        </w:r>
        <w:smartTag w:uri="urn:schemas-microsoft-com:office:smarttags" w:element="State">
          <w:r w:rsidRPr="009413F6">
            <w:rPr>
              <w:rFonts w:ascii="Arial" w:hAnsi="Arial" w:cs="Arial"/>
              <w:sz w:val="22"/>
              <w:szCs w:val="22"/>
            </w:rPr>
            <w:t>NJ</w:t>
          </w:r>
        </w:smartTag>
        <w:r w:rsidRPr="009413F6">
          <w:rPr>
            <w:rFonts w:ascii="Arial" w:hAnsi="Arial" w:cs="Arial"/>
            <w:sz w:val="22"/>
            <w:szCs w:val="22"/>
          </w:rPr>
          <w:t xml:space="preserve"> </w:t>
        </w:r>
        <w:smartTag w:uri="urn:schemas-microsoft-com:office:smarttags" w:element="PostalCode">
          <w:r w:rsidRPr="009413F6">
            <w:rPr>
              <w:rFonts w:ascii="Arial" w:hAnsi="Arial" w:cs="Arial"/>
              <w:sz w:val="22"/>
              <w:szCs w:val="22"/>
            </w:rPr>
            <w:t>07666</w:t>
          </w:r>
        </w:smartTag>
      </w:smartTag>
    </w:p>
    <w:p w:rsidR="002B59B7" w:rsidRPr="009413F6" w:rsidRDefault="002B59B7" w:rsidP="0055549E">
      <w:pPr>
        <w:spacing w:before="120" w:after="120" w:line="240" w:lineRule="atLeast"/>
        <w:jc w:val="center"/>
        <w:rPr>
          <w:rFonts w:ascii="Arial" w:hAnsi="Arial" w:cs="Arial"/>
          <w:sz w:val="22"/>
          <w:szCs w:val="22"/>
        </w:rPr>
      </w:pPr>
      <w:r w:rsidRPr="009413F6">
        <w:rPr>
          <w:rFonts w:ascii="Arial" w:hAnsi="Arial" w:cs="Arial"/>
          <w:sz w:val="22"/>
          <w:szCs w:val="22"/>
        </w:rPr>
        <w:t>Ph: 201-801-0233</w:t>
      </w:r>
    </w:p>
    <w:p w:rsidR="001C433E" w:rsidRPr="009413F6" w:rsidRDefault="00FC0435" w:rsidP="0055549E">
      <w:pPr>
        <w:spacing w:before="120" w:after="120" w:line="240" w:lineRule="atLeast"/>
        <w:jc w:val="center"/>
        <w:rPr>
          <w:rFonts w:ascii="Arial" w:hAnsi="Arial" w:cs="Arial"/>
          <w:sz w:val="22"/>
          <w:szCs w:val="22"/>
        </w:rPr>
      </w:pPr>
      <w:hyperlink r:id="rId11" w:history="1">
        <w:r w:rsidR="00AA6424" w:rsidRPr="009413F6">
          <w:rPr>
            <w:rStyle w:val="Hyperlink"/>
            <w:rFonts w:ascii="Arial" w:hAnsi="Arial" w:cs="Arial"/>
            <w:sz w:val="22"/>
            <w:szCs w:val="22"/>
          </w:rPr>
          <w:t>www.cognizant.com</w:t>
        </w:r>
      </w:hyperlink>
    </w:p>
    <w:p w:rsidR="00AA6424" w:rsidRPr="009413F6" w:rsidRDefault="00AA6424" w:rsidP="003E3FB6">
      <w:pPr>
        <w:spacing w:before="120" w:after="120" w:line="240" w:lineRule="atLeast"/>
        <w:jc w:val="both"/>
        <w:rPr>
          <w:rFonts w:ascii="Arial" w:hAnsi="Arial" w:cs="Arial"/>
          <w:sz w:val="22"/>
          <w:szCs w:val="22"/>
        </w:rPr>
      </w:pPr>
    </w:p>
    <w:p w:rsidR="00AA6424" w:rsidRPr="009413F6" w:rsidRDefault="00AA6424" w:rsidP="0055549E">
      <w:pPr>
        <w:spacing w:before="120" w:after="120" w:line="240" w:lineRule="atLeast"/>
        <w:jc w:val="center"/>
        <w:rPr>
          <w:rFonts w:ascii="Arial" w:hAnsi="Arial" w:cs="Arial"/>
          <w:sz w:val="28"/>
          <w:szCs w:val="22"/>
        </w:rPr>
      </w:pPr>
      <w:r w:rsidRPr="009413F6">
        <w:rPr>
          <w:rFonts w:ascii="Arial" w:hAnsi="Arial" w:cs="Arial"/>
          <w:sz w:val="22"/>
          <w:szCs w:val="22"/>
        </w:rPr>
        <w:br w:type="page"/>
      </w:r>
      <w:r w:rsidR="00512DC2" w:rsidRPr="009413F6">
        <w:rPr>
          <w:rFonts w:ascii="Arial" w:hAnsi="Arial" w:cs="Arial"/>
          <w:sz w:val="28"/>
          <w:szCs w:val="22"/>
        </w:rPr>
        <w:lastRenderedPageBreak/>
        <w:t>Table of Contents</w:t>
      </w:r>
    </w:p>
    <w:p w:rsidR="00CF39D7" w:rsidRDefault="00FC0435">
      <w:pPr>
        <w:pStyle w:val="TOC1"/>
        <w:tabs>
          <w:tab w:val="right" w:leader="dot" w:pos="8630"/>
        </w:tabs>
        <w:rPr>
          <w:rFonts w:asciiTheme="minorHAnsi" w:eastAsiaTheme="minorEastAsia" w:hAnsiTheme="minorHAnsi" w:cstheme="minorBidi"/>
          <w:b w:val="0"/>
          <w:bCs w:val="0"/>
          <w:caps w:val="0"/>
          <w:noProof/>
          <w:sz w:val="22"/>
          <w:szCs w:val="22"/>
          <w:lang w:bidi="kn-IN"/>
        </w:rPr>
      </w:pPr>
      <w:r w:rsidRPr="00FC0435">
        <w:rPr>
          <w:rFonts w:ascii="Arial" w:hAnsi="Arial" w:cs="Arial"/>
          <w:b w:val="0"/>
          <w:bCs w:val="0"/>
          <w:caps w:val="0"/>
          <w:szCs w:val="22"/>
        </w:rPr>
        <w:fldChar w:fldCharType="begin"/>
      </w:r>
      <w:r w:rsidR="0043417B">
        <w:rPr>
          <w:rFonts w:ascii="Arial" w:hAnsi="Arial" w:cs="Arial"/>
          <w:b w:val="0"/>
          <w:bCs w:val="0"/>
          <w:caps w:val="0"/>
          <w:szCs w:val="22"/>
        </w:rPr>
        <w:instrText xml:space="preserve"> TOC \o "1-1" \h \z \t "Heading 2,2,SectionHeading,1" </w:instrText>
      </w:r>
      <w:r w:rsidRPr="00FC0435">
        <w:rPr>
          <w:rFonts w:ascii="Arial" w:hAnsi="Arial" w:cs="Arial"/>
          <w:b w:val="0"/>
          <w:bCs w:val="0"/>
          <w:caps w:val="0"/>
          <w:szCs w:val="22"/>
        </w:rPr>
        <w:fldChar w:fldCharType="separate"/>
      </w:r>
      <w:hyperlink w:anchor="_Toc226530507" w:history="1">
        <w:r w:rsidR="00CF39D7" w:rsidRPr="003A4A8B">
          <w:rPr>
            <w:rStyle w:val="Hyperlink"/>
            <w:rFonts w:cs="Arial"/>
            <w:noProof/>
          </w:rPr>
          <w:t>Section I:</w:t>
        </w:r>
        <w:r w:rsidR="00CF39D7">
          <w:rPr>
            <w:noProof/>
            <w:webHidden/>
          </w:rPr>
          <w:tab/>
        </w:r>
        <w:r>
          <w:rPr>
            <w:noProof/>
            <w:webHidden/>
          </w:rPr>
          <w:fldChar w:fldCharType="begin"/>
        </w:r>
        <w:r w:rsidR="00CF39D7">
          <w:rPr>
            <w:noProof/>
            <w:webHidden/>
          </w:rPr>
          <w:instrText xml:space="preserve"> PAGEREF _Toc226530507 \h </w:instrText>
        </w:r>
        <w:r>
          <w:rPr>
            <w:noProof/>
            <w:webHidden/>
          </w:rPr>
        </w:r>
        <w:r>
          <w:rPr>
            <w:noProof/>
            <w:webHidden/>
          </w:rPr>
          <w:fldChar w:fldCharType="separate"/>
        </w:r>
        <w:r w:rsidR="00DE3464">
          <w:rPr>
            <w:noProof/>
            <w:webHidden/>
          </w:rPr>
          <w:t>4</w:t>
        </w:r>
        <w:r>
          <w:rPr>
            <w:noProof/>
            <w:webHidden/>
          </w:rPr>
          <w:fldChar w:fldCharType="end"/>
        </w:r>
      </w:hyperlink>
    </w:p>
    <w:p w:rsidR="00CF39D7" w:rsidRDefault="00FC0435">
      <w:pPr>
        <w:pStyle w:val="TOC1"/>
        <w:tabs>
          <w:tab w:val="right" w:leader="dot" w:pos="8630"/>
        </w:tabs>
        <w:rPr>
          <w:rFonts w:asciiTheme="minorHAnsi" w:eastAsiaTheme="minorEastAsia" w:hAnsiTheme="minorHAnsi" w:cstheme="minorBidi"/>
          <w:b w:val="0"/>
          <w:bCs w:val="0"/>
          <w:caps w:val="0"/>
          <w:noProof/>
          <w:sz w:val="22"/>
          <w:szCs w:val="22"/>
          <w:lang w:bidi="kn-IN"/>
        </w:rPr>
      </w:pPr>
      <w:hyperlink w:anchor="_Toc226530508" w:history="1">
        <w:r w:rsidR="00CF39D7" w:rsidRPr="003A4A8B">
          <w:rPr>
            <w:rStyle w:val="Hyperlink"/>
            <w:rFonts w:cs="Arial"/>
            <w:noProof/>
          </w:rPr>
          <w:t>Theories of Portfolio Management</w:t>
        </w:r>
        <w:r w:rsidR="00CF39D7">
          <w:rPr>
            <w:noProof/>
            <w:webHidden/>
          </w:rPr>
          <w:tab/>
        </w:r>
        <w:r>
          <w:rPr>
            <w:noProof/>
            <w:webHidden/>
          </w:rPr>
          <w:fldChar w:fldCharType="begin"/>
        </w:r>
        <w:r w:rsidR="00CF39D7">
          <w:rPr>
            <w:noProof/>
            <w:webHidden/>
          </w:rPr>
          <w:instrText xml:space="preserve"> PAGEREF _Toc226530508 \h </w:instrText>
        </w:r>
        <w:r>
          <w:rPr>
            <w:noProof/>
            <w:webHidden/>
          </w:rPr>
        </w:r>
        <w:r>
          <w:rPr>
            <w:noProof/>
            <w:webHidden/>
          </w:rPr>
          <w:fldChar w:fldCharType="separate"/>
        </w:r>
        <w:r w:rsidR="00DE3464">
          <w:rPr>
            <w:noProof/>
            <w:webHidden/>
          </w:rPr>
          <w:t>4</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09" w:history="1">
        <w:r w:rsidR="00CF39D7" w:rsidRPr="003A4A8B">
          <w:rPr>
            <w:rStyle w:val="Hyperlink"/>
            <w:noProof/>
          </w:rPr>
          <w:t>1.</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Theories of Portfolio Management</w:t>
        </w:r>
        <w:r w:rsidR="00CF39D7">
          <w:rPr>
            <w:noProof/>
            <w:webHidden/>
          </w:rPr>
          <w:tab/>
        </w:r>
        <w:r>
          <w:rPr>
            <w:noProof/>
            <w:webHidden/>
          </w:rPr>
          <w:fldChar w:fldCharType="begin"/>
        </w:r>
        <w:r w:rsidR="00CF39D7">
          <w:rPr>
            <w:noProof/>
            <w:webHidden/>
          </w:rPr>
          <w:instrText xml:space="preserve"> PAGEREF _Toc226530509 \h </w:instrText>
        </w:r>
        <w:r>
          <w:rPr>
            <w:noProof/>
            <w:webHidden/>
          </w:rPr>
        </w:r>
        <w:r>
          <w:rPr>
            <w:noProof/>
            <w:webHidden/>
          </w:rPr>
          <w:fldChar w:fldCharType="separate"/>
        </w:r>
        <w:r w:rsidR="00DE3464">
          <w:rPr>
            <w:noProof/>
            <w:webHidden/>
          </w:rPr>
          <w:t>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10" w:history="1">
        <w:r w:rsidR="00CF39D7" w:rsidRPr="003A4A8B">
          <w:rPr>
            <w:rStyle w:val="Hyperlink"/>
            <w:noProof/>
          </w:rPr>
          <w:t>1.1.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Modern Portfolio Theory and CAPM</w:t>
        </w:r>
        <w:r w:rsidR="00CF39D7">
          <w:rPr>
            <w:noProof/>
            <w:webHidden/>
          </w:rPr>
          <w:tab/>
        </w:r>
        <w:r>
          <w:rPr>
            <w:noProof/>
            <w:webHidden/>
          </w:rPr>
          <w:fldChar w:fldCharType="begin"/>
        </w:r>
        <w:r w:rsidR="00CF39D7">
          <w:rPr>
            <w:noProof/>
            <w:webHidden/>
          </w:rPr>
          <w:instrText xml:space="preserve"> PAGEREF _Toc226530510 \h </w:instrText>
        </w:r>
        <w:r>
          <w:rPr>
            <w:noProof/>
            <w:webHidden/>
          </w:rPr>
        </w:r>
        <w:r>
          <w:rPr>
            <w:noProof/>
            <w:webHidden/>
          </w:rPr>
          <w:fldChar w:fldCharType="separate"/>
        </w:r>
        <w:r w:rsidR="00DE3464">
          <w:rPr>
            <w:noProof/>
            <w:webHidden/>
          </w:rPr>
          <w:t>5</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11" w:history="1">
        <w:r w:rsidR="00CF39D7" w:rsidRPr="003A4A8B">
          <w:rPr>
            <w:rStyle w:val="Hyperlink"/>
            <w:noProof/>
          </w:rPr>
          <w:t>2.</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Asset Classes</w:t>
        </w:r>
        <w:r w:rsidR="00CF39D7">
          <w:rPr>
            <w:noProof/>
            <w:webHidden/>
          </w:rPr>
          <w:tab/>
        </w:r>
        <w:r>
          <w:rPr>
            <w:noProof/>
            <w:webHidden/>
          </w:rPr>
          <w:fldChar w:fldCharType="begin"/>
        </w:r>
        <w:r w:rsidR="00CF39D7">
          <w:rPr>
            <w:noProof/>
            <w:webHidden/>
          </w:rPr>
          <w:instrText xml:space="preserve"> PAGEREF _Toc226530511 \h </w:instrText>
        </w:r>
        <w:r>
          <w:rPr>
            <w:noProof/>
            <w:webHidden/>
          </w:rPr>
        </w:r>
        <w:r>
          <w:rPr>
            <w:noProof/>
            <w:webHidden/>
          </w:rPr>
          <w:fldChar w:fldCharType="separate"/>
        </w:r>
        <w:r w:rsidR="00DE3464">
          <w:rPr>
            <w:noProof/>
            <w:webHidden/>
          </w:rPr>
          <w:t>7</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12" w:history="1">
        <w:r w:rsidR="00CF39D7" w:rsidRPr="003A4A8B">
          <w:rPr>
            <w:rStyle w:val="Hyperlink"/>
            <w:noProof/>
          </w:rPr>
          <w:t>2.1.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Physical assets:</w:t>
        </w:r>
        <w:r w:rsidR="00CF39D7">
          <w:rPr>
            <w:noProof/>
            <w:webHidden/>
          </w:rPr>
          <w:tab/>
        </w:r>
        <w:r>
          <w:rPr>
            <w:noProof/>
            <w:webHidden/>
          </w:rPr>
          <w:fldChar w:fldCharType="begin"/>
        </w:r>
        <w:r w:rsidR="00CF39D7">
          <w:rPr>
            <w:noProof/>
            <w:webHidden/>
          </w:rPr>
          <w:instrText xml:space="preserve"> PAGEREF _Toc226530512 \h </w:instrText>
        </w:r>
        <w:r>
          <w:rPr>
            <w:noProof/>
            <w:webHidden/>
          </w:rPr>
        </w:r>
        <w:r>
          <w:rPr>
            <w:noProof/>
            <w:webHidden/>
          </w:rPr>
          <w:fldChar w:fldCharType="separate"/>
        </w:r>
        <w:r w:rsidR="00DE3464">
          <w:rPr>
            <w:noProof/>
            <w:webHidden/>
          </w:rPr>
          <w:t>8</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13" w:history="1">
        <w:r w:rsidR="00CF39D7" w:rsidRPr="003A4A8B">
          <w:rPr>
            <w:rStyle w:val="Hyperlink"/>
            <w:noProof/>
          </w:rPr>
          <w:t>2.2.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Financial assets:</w:t>
        </w:r>
        <w:r w:rsidR="00CF39D7">
          <w:rPr>
            <w:noProof/>
            <w:webHidden/>
          </w:rPr>
          <w:tab/>
        </w:r>
        <w:r>
          <w:rPr>
            <w:noProof/>
            <w:webHidden/>
          </w:rPr>
          <w:fldChar w:fldCharType="begin"/>
        </w:r>
        <w:r w:rsidR="00CF39D7">
          <w:rPr>
            <w:noProof/>
            <w:webHidden/>
          </w:rPr>
          <w:instrText xml:space="preserve"> PAGEREF _Toc226530513 \h </w:instrText>
        </w:r>
        <w:r>
          <w:rPr>
            <w:noProof/>
            <w:webHidden/>
          </w:rPr>
        </w:r>
        <w:r>
          <w:rPr>
            <w:noProof/>
            <w:webHidden/>
          </w:rPr>
          <w:fldChar w:fldCharType="separate"/>
        </w:r>
        <w:r w:rsidR="00DE3464">
          <w:rPr>
            <w:noProof/>
            <w:webHidden/>
          </w:rPr>
          <w:t>9</w:t>
        </w:r>
        <w:r>
          <w:rPr>
            <w:noProof/>
            <w:webHidden/>
          </w:rPr>
          <w:fldChar w:fldCharType="end"/>
        </w:r>
      </w:hyperlink>
    </w:p>
    <w:p w:rsidR="00CF39D7" w:rsidRDefault="00FC0435">
      <w:pPr>
        <w:pStyle w:val="TOC1"/>
        <w:tabs>
          <w:tab w:val="right" w:leader="dot" w:pos="8630"/>
        </w:tabs>
        <w:rPr>
          <w:rFonts w:asciiTheme="minorHAnsi" w:eastAsiaTheme="minorEastAsia" w:hAnsiTheme="minorHAnsi" w:cstheme="minorBidi"/>
          <w:b w:val="0"/>
          <w:bCs w:val="0"/>
          <w:caps w:val="0"/>
          <w:noProof/>
          <w:sz w:val="22"/>
          <w:szCs w:val="22"/>
          <w:lang w:bidi="kn-IN"/>
        </w:rPr>
      </w:pPr>
      <w:hyperlink w:anchor="_Toc226530514" w:history="1">
        <w:r w:rsidR="00CF39D7" w:rsidRPr="003A4A8B">
          <w:rPr>
            <w:rStyle w:val="Hyperlink"/>
            <w:rFonts w:cs="Arial"/>
            <w:noProof/>
          </w:rPr>
          <w:t>Section II:</w:t>
        </w:r>
        <w:r w:rsidR="00CF39D7">
          <w:rPr>
            <w:noProof/>
            <w:webHidden/>
          </w:rPr>
          <w:tab/>
        </w:r>
        <w:r>
          <w:rPr>
            <w:noProof/>
            <w:webHidden/>
          </w:rPr>
          <w:fldChar w:fldCharType="begin"/>
        </w:r>
        <w:r w:rsidR="00CF39D7">
          <w:rPr>
            <w:noProof/>
            <w:webHidden/>
          </w:rPr>
          <w:instrText xml:space="preserve"> PAGEREF _Toc226530514 \h </w:instrText>
        </w:r>
        <w:r>
          <w:rPr>
            <w:noProof/>
            <w:webHidden/>
          </w:rPr>
        </w:r>
        <w:r>
          <w:rPr>
            <w:noProof/>
            <w:webHidden/>
          </w:rPr>
          <w:fldChar w:fldCharType="separate"/>
        </w:r>
        <w:r w:rsidR="00DE3464">
          <w:rPr>
            <w:noProof/>
            <w:webHidden/>
          </w:rPr>
          <w:t>16</w:t>
        </w:r>
        <w:r>
          <w:rPr>
            <w:noProof/>
            <w:webHidden/>
          </w:rPr>
          <w:fldChar w:fldCharType="end"/>
        </w:r>
      </w:hyperlink>
    </w:p>
    <w:p w:rsidR="00CF39D7" w:rsidRDefault="00FC0435">
      <w:pPr>
        <w:pStyle w:val="TOC1"/>
        <w:tabs>
          <w:tab w:val="right" w:leader="dot" w:pos="8630"/>
        </w:tabs>
        <w:rPr>
          <w:rFonts w:asciiTheme="minorHAnsi" w:eastAsiaTheme="minorEastAsia" w:hAnsiTheme="minorHAnsi" w:cstheme="minorBidi"/>
          <w:b w:val="0"/>
          <w:bCs w:val="0"/>
          <w:caps w:val="0"/>
          <w:noProof/>
          <w:sz w:val="22"/>
          <w:szCs w:val="22"/>
          <w:lang w:bidi="kn-IN"/>
        </w:rPr>
      </w:pPr>
      <w:hyperlink w:anchor="_Toc226530515" w:history="1">
        <w:r w:rsidR="00CF39D7" w:rsidRPr="003A4A8B">
          <w:rPr>
            <w:rStyle w:val="Hyperlink"/>
            <w:rFonts w:cs="Arial"/>
            <w:noProof/>
          </w:rPr>
          <w:t>Investment Management Definitions and Processes</w:t>
        </w:r>
        <w:r w:rsidR="00CF39D7">
          <w:rPr>
            <w:noProof/>
            <w:webHidden/>
          </w:rPr>
          <w:tab/>
        </w:r>
        <w:r>
          <w:rPr>
            <w:noProof/>
            <w:webHidden/>
          </w:rPr>
          <w:fldChar w:fldCharType="begin"/>
        </w:r>
        <w:r w:rsidR="00CF39D7">
          <w:rPr>
            <w:noProof/>
            <w:webHidden/>
          </w:rPr>
          <w:instrText xml:space="preserve"> PAGEREF _Toc226530515 \h </w:instrText>
        </w:r>
        <w:r>
          <w:rPr>
            <w:noProof/>
            <w:webHidden/>
          </w:rPr>
        </w:r>
        <w:r>
          <w:rPr>
            <w:noProof/>
            <w:webHidden/>
          </w:rPr>
          <w:fldChar w:fldCharType="separate"/>
        </w:r>
        <w:r w:rsidR="00DE3464">
          <w:rPr>
            <w:noProof/>
            <w:webHidden/>
          </w:rPr>
          <w:t>16</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16" w:history="1">
        <w:r w:rsidR="00CF39D7" w:rsidRPr="003A4A8B">
          <w:rPr>
            <w:rStyle w:val="Hyperlink"/>
            <w:noProof/>
          </w:rPr>
          <w:t>3.</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Investment Management: Overview</w:t>
        </w:r>
        <w:r w:rsidR="00CF39D7">
          <w:rPr>
            <w:noProof/>
            <w:webHidden/>
          </w:rPr>
          <w:tab/>
        </w:r>
        <w:r>
          <w:rPr>
            <w:noProof/>
            <w:webHidden/>
          </w:rPr>
          <w:fldChar w:fldCharType="begin"/>
        </w:r>
        <w:r w:rsidR="00CF39D7">
          <w:rPr>
            <w:noProof/>
            <w:webHidden/>
          </w:rPr>
          <w:instrText xml:space="preserve"> PAGEREF _Toc226530516 \h </w:instrText>
        </w:r>
        <w:r>
          <w:rPr>
            <w:noProof/>
            <w:webHidden/>
          </w:rPr>
        </w:r>
        <w:r>
          <w:rPr>
            <w:noProof/>
            <w:webHidden/>
          </w:rPr>
          <w:fldChar w:fldCharType="separate"/>
        </w:r>
        <w:r w:rsidR="00DE3464">
          <w:rPr>
            <w:noProof/>
            <w:webHidden/>
          </w:rPr>
          <w:t>17</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17" w:history="1">
        <w:r w:rsidR="00CF39D7" w:rsidRPr="003A4A8B">
          <w:rPr>
            <w:rStyle w:val="Hyperlink"/>
            <w:noProof/>
          </w:rPr>
          <w:t>3.1.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Major Business Entities</w:t>
        </w:r>
        <w:r w:rsidR="00CF39D7">
          <w:rPr>
            <w:noProof/>
            <w:webHidden/>
          </w:rPr>
          <w:tab/>
        </w:r>
        <w:r>
          <w:rPr>
            <w:noProof/>
            <w:webHidden/>
          </w:rPr>
          <w:fldChar w:fldCharType="begin"/>
        </w:r>
        <w:r w:rsidR="00CF39D7">
          <w:rPr>
            <w:noProof/>
            <w:webHidden/>
          </w:rPr>
          <w:instrText xml:space="preserve"> PAGEREF _Toc226530517 \h </w:instrText>
        </w:r>
        <w:r>
          <w:rPr>
            <w:noProof/>
            <w:webHidden/>
          </w:rPr>
        </w:r>
        <w:r>
          <w:rPr>
            <w:noProof/>
            <w:webHidden/>
          </w:rPr>
          <w:fldChar w:fldCharType="separate"/>
        </w:r>
        <w:r w:rsidR="00DE3464">
          <w:rPr>
            <w:noProof/>
            <w:webHidden/>
          </w:rPr>
          <w:t>17</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18" w:history="1">
        <w:r w:rsidR="00CF39D7" w:rsidRPr="003A4A8B">
          <w:rPr>
            <w:rStyle w:val="Hyperlink"/>
            <w:noProof/>
          </w:rPr>
          <w:t>3.2.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High-Level Processes</w:t>
        </w:r>
        <w:r w:rsidR="00CF39D7">
          <w:rPr>
            <w:noProof/>
            <w:webHidden/>
          </w:rPr>
          <w:tab/>
        </w:r>
        <w:r>
          <w:rPr>
            <w:noProof/>
            <w:webHidden/>
          </w:rPr>
          <w:fldChar w:fldCharType="begin"/>
        </w:r>
        <w:r w:rsidR="00CF39D7">
          <w:rPr>
            <w:noProof/>
            <w:webHidden/>
          </w:rPr>
          <w:instrText xml:space="preserve"> PAGEREF _Toc226530518 \h </w:instrText>
        </w:r>
        <w:r>
          <w:rPr>
            <w:noProof/>
            <w:webHidden/>
          </w:rPr>
        </w:r>
        <w:r>
          <w:rPr>
            <w:noProof/>
            <w:webHidden/>
          </w:rPr>
          <w:fldChar w:fldCharType="separate"/>
        </w:r>
        <w:r w:rsidR="00DE3464">
          <w:rPr>
            <w:noProof/>
            <w:webHidden/>
          </w:rPr>
          <w:t>20</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19" w:history="1">
        <w:r w:rsidR="00CF39D7" w:rsidRPr="003A4A8B">
          <w:rPr>
            <w:rStyle w:val="Hyperlink"/>
            <w:noProof/>
          </w:rPr>
          <w:t>3.3.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Areas of Service</w:t>
        </w:r>
        <w:r w:rsidR="00CF39D7">
          <w:rPr>
            <w:noProof/>
            <w:webHidden/>
          </w:rPr>
          <w:tab/>
        </w:r>
        <w:r>
          <w:rPr>
            <w:noProof/>
            <w:webHidden/>
          </w:rPr>
          <w:fldChar w:fldCharType="begin"/>
        </w:r>
        <w:r w:rsidR="00CF39D7">
          <w:rPr>
            <w:noProof/>
            <w:webHidden/>
          </w:rPr>
          <w:instrText xml:space="preserve"> PAGEREF _Toc226530519 \h </w:instrText>
        </w:r>
        <w:r>
          <w:rPr>
            <w:noProof/>
            <w:webHidden/>
          </w:rPr>
        </w:r>
        <w:r>
          <w:rPr>
            <w:noProof/>
            <w:webHidden/>
          </w:rPr>
          <w:fldChar w:fldCharType="separate"/>
        </w:r>
        <w:r w:rsidR="00DE3464">
          <w:rPr>
            <w:noProof/>
            <w:webHidden/>
          </w:rPr>
          <w:t>26</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20" w:history="1">
        <w:r w:rsidR="00CF39D7" w:rsidRPr="003A4A8B">
          <w:rPr>
            <w:rStyle w:val="Hyperlink"/>
            <w:noProof/>
          </w:rPr>
          <w:t>3.4.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Business Segmentation</w:t>
        </w:r>
        <w:r w:rsidR="00CF39D7">
          <w:rPr>
            <w:noProof/>
            <w:webHidden/>
          </w:rPr>
          <w:tab/>
        </w:r>
        <w:r>
          <w:rPr>
            <w:noProof/>
            <w:webHidden/>
          </w:rPr>
          <w:fldChar w:fldCharType="begin"/>
        </w:r>
        <w:r w:rsidR="00CF39D7">
          <w:rPr>
            <w:noProof/>
            <w:webHidden/>
          </w:rPr>
          <w:instrText xml:space="preserve"> PAGEREF _Toc226530520 \h </w:instrText>
        </w:r>
        <w:r>
          <w:rPr>
            <w:noProof/>
            <w:webHidden/>
          </w:rPr>
        </w:r>
        <w:r>
          <w:rPr>
            <w:noProof/>
            <w:webHidden/>
          </w:rPr>
          <w:fldChar w:fldCharType="separate"/>
        </w:r>
        <w:r w:rsidR="00DE3464">
          <w:rPr>
            <w:noProof/>
            <w:webHidden/>
          </w:rPr>
          <w:t>29</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21" w:history="1">
        <w:r w:rsidR="00CF39D7" w:rsidRPr="003A4A8B">
          <w:rPr>
            <w:rStyle w:val="Hyperlink"/>
            <w:noProof/>
          </w:rPr>
          <w:t>4.</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Investment Management – Front Office</w:t>
        </w:r>
        <w:r w:rsidR="00CF39D7">
          <w:rPr>
            <w:noProof/>
            <w:webHidden/>
          </w:rPr>
          <w:tab/>
        </w:r>
        <w:r>
          <w:rPr>
            <w:noProof/>
            <w:webHidden/>
          </w:rPr>
          <w:fldChar w:fldCharType="begin"/>
        </w:r>
        <w:r w:rsidR="00CF39D7">
          <w:rPr>
            <w:noProof/>
            <w:webHidden/>
          </w:rPr>
          <w:instrText xml:space="preserve"> PAGEREF _Toc226530521 \h </w:instrText>
        </w:r>
        <w:r>
          <w:rPr>
            <w:noProof/>
            <w:webHidden/>
          </w:rPr>
        </w:r>
        <w:r>
          <w:rPr>
            <w:noProof/>
            <w:webHidden/>
          </w:rPr>
          <w:fldChar w:fldCharType="separate"/>
        </w:r>
        <w:r w:rsidR="00DE3464">
          <w:rPr>
            <w:noProof/>
            <w:webHidden/>
          </w:rPr>
          <w:t>34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22" w:history="1">
        <w:r w:rsidR="00CF39D7" w:rsidRPr="003A4A8B">
          <w:rPr>
            <w:rStyle w:val="Hyperlink"/>
            <w:noProof/>
          </w:rPr>
          <w:t>4.1.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Sales, Marketing &amp; Advisory</w:t>
        </w:r>
        <w:r w:rsidR="00CF39D7">
          <w:rPr>
            <w:noProof/>
            <w:webHidden/>
          </w:rPr>
          <w:tab/>
        </w:r>
        <w:r>
          <w:rPr>
            <w:noProof/>
            <w:webHidden/>
          </w:rPr>
          <w:fldChar w:fldCharType="begin"/>
        </w:r>
        <w:r w:rsidR="00CF39D7">
          <w:rPr>
            <w:noProof/>
            <w:webHidden/>
          </w:rPr>
          <w:instrText xml:space="preserve"> PAGEREF _Toc226530522 \h </w:instrText>
        </w:r>
        <w:r>
          <w:rPr>
            <w:noProof/>
            <w:webHidden/>
          </w:rPr>
        </w:r>
        <w:r>
          <w:rPr>
            <w:noProof/>
            <w:webHidden/>
          </w:rPr>
          <w:fldChar w:fldCharType="separate"/>
        </w:r>
        <w:r w:rsidR="00DE3464">
          <w:rPr>
            <w:noProof/>
            <w:webHidden/>
          </w:rPr>
          <w:t>34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23" w:history="1">
        <w:r w:rsidR="00CF39D7" w:rsidRPr="003A4A8B">
          <w:rPr>
            <w:rStyle w:val="Hyperlink"/>
            <w:noProof/>
          </w:rPr>
          <w:t>4.2.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Needs Analysis &amp; Investor Profiling</w:t>
        </w:r>
        <w:r w:rsidR="00CF39D7">
          <w:rPr>
            <w:noProof/>
            <w:webHidden/>
          </w:rPr>
          <w:tab/>
        </w:r>
        <w:r>
          <w:rPr>
            <w:noProof/>
            <w:webHidden/>
          </w:rPr>
          <w:fldChar w:fldCharType="begin"/>
        </w:r>
        <w:r w:rsidR="00CF39D7">
          <w:rPr>
            <w:noProof/>
            <w:webHidden/>
          </w:rPr>
          <w:instrText xml:space="preserve"> PAGEREF _Toc226530523 \h </w:instrText>
        </w:r>
        <w:r>
          <w:rPr>
            <w:noProof/>
            <w:webHidden/>
          </w:rPr>
        </w:r>
        <w:r>
          <w:rPr>
            <w:noProof/>
            <w:webHidden/>
          </w:rPr>
          <w:fldChar w:fldCharType="separate"/>
        </w:r>
        <w:r w:rsidR="00DE3464">
          <w:rPr>
            <w:noProof/>
            <w:webHidden/>
          </w:rPr>
          <w:t>35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24" w:history="1">
        <w:r w:rsidR="00CF39D7" w:rsidRPr="003A4A8B">
          <w:rPr>
            <w:rStyle w:val="Hyperlink"/>
            <w:noProof/>
          </w:rPr>
          <w:t>4.3.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Asset Allocation</w:t>
        </w:r>
        <w:r w:rsidR="00CF39D7">
          <w:rPr>
            <w:noProof/>
            <w:webHidden/>
          </w:rPr>
          <w:tab/>
        </w:r>
        <w:r>
          <w:rPr>
            <w:noProof/>
            <w:webHidden/>
          </w:rPr>
          <w:fldChar w:fldCharType="begin"/>
        </w:r>
        <w:r w:rsidR="00CF39D7">
          <w:rPr>
            <w:noProof/>
            <w:webHidden/>
          </w:rPr>
          <w:instrText xml:space="preserve"> PAGEREF _Toc226530524 \h </w:instrText>
        </w:r>
        <w:r>
          <w:rPr>
            <w:noProof/>
            <w:webHidden/>
          </w:rPr>
        </w:r>
        <w:r>
          <w:rPr>
            <w:noProof/>
            <w:webHidden/>
          </w:rPr>
          <w:fldChar w:fldCharType="separate"/>
        </w:r>
        <w:r w:rsidR="00DE3464">
          <w:rPr>
            <w:noProof/>
            <w:webHidden/>
          </w:rPr>
          <w:t>36</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25" w:history="1">
        <w:r w:rsidR="00CF39D7" w:rsidRPr="003A4A8B">
          <w:rPr>
            <w:rStyle w:val="Hyperlink"/>
            <w:noProof/>
          </w:rPr>
          <w:t>5.</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Investment Management - Middle Office</w:t>
        </w:r>
        <w:r w:rsidR="00CF39D7">
          <w:rPr>
            <w:noProof/>
            <w:webHidden/>
          </w:rPr>
          <w:tab/>
        </w:r>
        <w:r>
          <w:rPr>
            <w:noProof/>
            <w:webHidden/>
          </w:rPr>
          <w:fldChar w:fldCharType="begin"/>
        </w:r>
        <w:r w:rsidR="00CF39D7">
          <w:rPr>
            <w:noProof/>
            <w:webHidden/>
          </w:rPr>
          <w:instrText xml:space="preserve"> PAGEREF _Toc226530525 \h </w:instrText>
        </w:r>
        <w:r>
          <w:rPr>
            <w:noProof/>
            <w:webHidden/>
          </w:rPr>
        </w:r>
        <w:r>
          <w:rPr>
            <w:noProof/>
            <w:webHidden/>
          </w:rPr>
          <w:fldChar w:fldCharType="separate"/>
        </w:r>
        <w:r w:rsidR="00DE3464">
          <w:rPr>
            <w:noProof/>
            <w:webHidden/>
          </w:rPr>
          <w:t>39</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26" w:history="1">
        <w:r w:rsidR="00CF39D7" w:rsidRPr="003A4A8B">
          <w:rPr>
            <w:rStyle w:val="Hyperlink"/>
            <w:noProof/>
          </w:rPr>
          <w:t>5.1.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Research</w:t>
        </w:r>
        <w:r w:rsidR="00CF39D7">
          <w:rPr>
            <w:noProof/>
            <w:webHidden/>
          </w:rPr>
          <w:tab/>
        </w:r>
        <w:r>
          <w:rPr>
            <w:noProof/>
            <w:webHidden/>
          </w:rPr>
          <w:fldChar w:fldCharType="begin"/>
        </w:r>
        <w:r w:rsidR="00CF39D7">
          <w:rPr>
            <w:noProof/>
            <w:webHidden/>
          </w:rPr>
          <w:instrText xml:space="preserve"> PAGEREF _Toc226530526 \h </w:instrText>
        </w:r>
        <w:r>
          <w:rPr>
            <w:noProof/>
            <w:webHidden/>
          </w:rPr>
        </w:r>
        <w:r>
          <w:rPr>
            <w:noProof/>
            <w:webHidden/>
          </w:rPr>
          <w:fldChar w:fldCharType="separate"/>
        </w:r>
        <w:r w:rsidR="00DE3464">
          <w:rPr>
            <w:noProof/>
            <w:webHidden/>
          </w:rPr>
          <w:t>39</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27" w:history="1">
        <w:r w:rsidR="00CF39D7" w:rsidRPr="003A4A8B">
          <w:rPr>
            <w:rStyle w:val="Hyperlink"/>
            <w:noProof/>
          </w:rPr>
          <w:t>5.2.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Portfolio Valuation and Rebalancing</w:t>
        </w:r>
        <w:r w:rsidR="00CF39D7">
          <w:rPr>
            <w:noProof/>
            <w:webHidden/>
          </w:rPr>
          <w:tab/>
        </w:r>
        <w:r>
          <w:rPr>
            <w:noProof/>
            <w:webHidden/>
          </w:rPr>
          <w:fldChar w:fldCharType="begin"/>
        </w:r>
        <w:r w:rsidR="00CF39D7">
          <w:rPr>
            <w:noProof/>
            <w:webHidden/>
          </w:rPr>
          <w:instrText xml:space="preserve"> PAGEREF _Toc226530527 \h </w:instrText>
        </w:r>
        <w:r>
          <w:rPr>
            <w:noProof/>
            <w:webHidden/>
          </w:rPr>
        </w:r>
        <w:r>
          <w:rPr>
            <w:noProof/>
            <w:webHidden/>
          </w:rPr>
          <w:fldChar w:fldCharType="separate"/>
        </w:r>
        <w:r w:rsidR="00DE3464">
          <w:rPr>
            <w:noProof/>
            <w:webHidden/>
          </w:rPr>
          <w:t>40</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28" w:history="1">
        <w:r w:rsidR="00CF39D7" w:rsidRPr="003A4A8B">
          <w:rPr>
            <w:rStyle w:val="Hyperlink"/>
            <w:noProof/>
          </w:rPr>
          <w:t>5.3.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Risk Management</w:t>
        </w:r>
        <w:r w:rsidR="00CF39D7">
          <w:rPr>
            <w:noProof/>
            <w:webHidden/>
          </w:rPr>
          <w:tab/>
        </w:r>
        <w:r>
          <w:rPr>
            <w:noProof/>
            <w:webHidden/>
          </w:rPr>
          <w:fldChar w:fldCharType="begin"/>
        </w:r>
        <w:r w:rsidR="00CF39D7">
          <w:rPr>
            <w:noProof/>
            <w:webHidden/>
          </w:rPr>
          <w:instrText xml:space="preserve"> PAGEREF _Toc226530528 \h </w:instrText>
        </w:r>
        <w:r>
          <w:rPr>
            <w:noProof/>
            <w:webHidden/>
          </w:rPr>
        </w:r>
        <w:r>
          <w:rPr>
            <w:noProof/>
            <w:webHidden/>
          </w:rPr>
          <w:fldChar w:fldCharType="separate"/>
        </w:r>
        <w:r w:rsidR="00DE3464">
          <w:rPr>
            <w:noProof/>
            <w:webHidden/>
          </w:rPr>
          <w:t>41</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29" w:history="1">
        <w:r w:rsidR="00CF39D7" w:rsidRPr="003A4A8B">
          <w:rPr>
            <w:rStyle w:val="Hyperlink"/>
            <w:noProof/>
          </w:rPr>
          <w:t>5.4.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Order Management</w:t>
        </w:r>
        <w:r w:rsidR="00CF39D7">
          <w:rPr>
            <w:noProof/>
            <w:webHidden/>
          </w:rPr>
          <w:tab/>
        </w:r>
        <w:r>
          <w:rPr>
            <w:noProof/>
            <w:webHidden/>
          </w:rPr>
          <w:fldChar w:fldCharType="begin"/>
        </w:r>
        <w:r w:rsidR="00CF39D7">
          <w:rPr>
            <w:noProof/>
            <w:webHidden/>
          </w:rPr>
          <w:instrText xml:space="preserve"> PAGEREF _Toc226530529 \h </w:instrText>
        </w:r>
        <w:r>
          <w:rPr>
            <w:noProof/>
            <w:webHidden/>
          </w:rPr>
        </w:r>
        <w:r>
          <w:rPr>
            <w:noProof/>
            <w:webHidden/>
          </w:rPr>
          <w:fldChar w:fldCharType="separate"/>
        </w:r>
        <w:r w:rsidR="00DE3464">
          <w:rPr>
            <w:noProof/>
            <w:webHidden/>
          </w:rPr>
          <w:t>43</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30" w:history="1">
        <w:r w:rsidR="00CF39D7" w:rsidRPr="003A4A8B">
          <w:rPr>
            <w:rStyle w:val="Hyperlink"/>
            <w:noProof/>
          </w:rPr>
          <w:t>6.</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Investment Management – Back Office</w:t>
        </w:r>
        <w:r w:rsidR="00CF39D7">
          <w:rPr>
            <w:noProof/>
            <w:webHidden/>
          </w:rPr>
          <w:tab/>
        </w:r>
        <w:r>
          <w:rPr>
            <w:noProof/>
            <w:webHidden/>
          </w:rPr>
          <w:fldChar w:fldCharType="begin"/>
        </w:r>
        <w:r w:rsidR="00CF39D7">
          <w:rPr>
            <w:noProof/>
            <w:webHidden/>
          </w:rPr>
          <w:instrText xml:space="preserve"> PAGEREF _Toc226530530 \h </w:instrText>
        </w:r>
        <w:r>
          <w:rPr>
            <w:noProof/>
            <w:webHidden/>
          </w:rPr>
        </w:r>
        <w:r>
          <w:rPr>
            <w:noProof/>
            <w:webHidden/>
          </w:rPr>
          <w:fldChar w:fldCharType="separate"/>
        </w:r>
        <w:r w:rsidR="00DE3464">
          <w:rPr>
            <w:noProof/>
            <w:webHidden/>
          </w:rPr>
          <w:t>45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31" w:history="1">
        <w:r w:rsidR="00CF39D7" w:rsidRPr="003A4A8B">
          <w:rPr>
            <w:rStyle w:val="Hyperlink"/>
            <w:noProof/>
          </w:rPr>
          <w:t>6.1.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Post Trade Processes</w:t>
        </w:r>
        <w:r w:rsidR="00CF39D7">
          <w:rPr>
            <w:noProof/>
            <w:webHidden/>
          </w:rPr>
          <w:tab/>
        </w:r>
        <w:r>
          <w:rPr>
            <w:noProof/>
            <w:webHidden/>
          </w:rPr>
          <w:fldChar w:fldCharType="begin"/>
        </w:r>
        <w:r w:rsidR="00CF39D7">
          <w:rPr>
            <w:noProof/>
            <w:webHidden/>
          </w:rPr>
          <w:instrText xml:space="preserve"> PAGEREF _Toc226530531 \h </w:instrText>
        </w:r>
        <w:r>
          <w:rPr>
            <w:noProof/>
            <w:webHidden/>
          </w:rPr>
        </w:r>
        <w:r>
          <w:rPr>
            <w:noProof/>
            <w:webHidden/>
          </w:rPr>
          <w:fldChar w:fldCharType="separate"/>
        </w:r>
        <w:r w:rsidR="00DE3464">
          <w:rPr>
            <w:noProof/>
            <w:webHidden/>
          </w:rPr>
          <w:t>45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32" w:history="1">
        <w:r w:rsidR="00CF39D7" w:rsidRPr="003A4A8B">
          <w:rPr>
            <w:rStyle w:val="Hyperlink"/>
            <w:noProof/>
          </w:rPr>
          <w:t>6.2.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Portfolio Accounting</w:t>
        </w:r>
        <w:r w:rsidR="00CF39D7">
          <w:rPr>
            <w:noProof/>
            <w:webHidden/>
          </w:rPr>
          <w:tab/>
        </w:r>
        <w:r>
          <w:rPr>
            <w:noProof/>
            <w:webHidden/>
          </w:rPr>
          <w:fldChar w:fldCharType="begin"/>
        </w:r>
        <w:r w:rsidR="00CF39D7">
          <w:rPr>
            <w:noProof/>
            <w:webHidden/>
          </w:rPr>
          <w:instrText xml:space="preserve"> PAGEREF _Toc226530532 \h </w:instrText>
        </w:r>
        <w:r>
          <w:rPr>
            <w:noProof/>
            <w:webHidden/>
          </w:rPr>
        </w:r>
        <w:r>
          <w:rPr>
            <w:noProof/>
            <w:webHidden/>
          </w:rPr>
          <w:fldChar w:fldCharType="separate"/>
        </w:r>
        <w:r w:rsidR="00DE3464">
          <w:rPr>
            <w:noProof/>
            <w:webHidden/>
          </w:rPr>
          <w:t>47</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33" w:history="1">
        <w:r w:rsidR="00CF39D7" w:rsidRPr="003A4A8B">
          <w:rPr>
            <w:rStyle w:val="Hyperlink"/>
            <w:noProof/>
          </w:rPr>
          <w:t>6.3.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Performance Measurement</w:t>
        </w:r>
        <w:r w:rsidR="00CF39D7">
          <w:rPr>
            <w:noProof/>
            <w:webHidden/>
          </w:rPr>
          <w:tab/>
        </w:r>
        <w:r>
          <w:rPr>
            <w:noProof/>
            <w:webHidden/>
          </w:rPr>
          <w:fldChar w:fldCharType="begin"/>
        </w:r>
        <w:r w:rsidR="00CF39D7">
          <w:rPr>
            <w:noProof/>
            <w:webHidden/>
          </w:rPr>
          <w:instrText xml:space="preserve"> PAGEREF _Toc226530533 \h </w:instrText>
        </w:r>
        <w:r>
          <w:rPr>
            <w:noProof/>
            <w:webHidden/>
          </w:rPr>
        </w:r>
        <w:r>
          <w:rPr>
            <w:noProof/>
            <w:webHidden/>
          </w:rPr>
          <w:fldChar w:fldCharType="separate"/>
        </w:r>
        <w:r w:rsidR="00DE3464">
          <w:rPr>
            <w:noProof/>
            <w:webHidden/>
          </w:rPr>
          <w:t>49</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34" w:history="1">
        <w:r w:rsidR="00CF39D7" w:rsidRPr="003A4A8B">
          <w:rPr>
            <w:rStyle w:val="Hyperlink"/>
            <w:noProof/>
          </w:rPr>
          <w:t>6.4.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Transaction Reporting and Compliance</w:t>
        </w:r>
        <w:r w:rsidR="00CF39D7">
          <w:rPr>
            <w:noProof/>
            <w:webHidden/>
          </w:rPr>
          <w:tab/>
        </w:r>
        <w:r>
          <w:rPr>
            <w:noProof/>
            <w:webHidden/>
          </w:rPr>
          <w:fldChar w:fldCharType="begin"/>
        </w:r>
        <w:r w:rsidR="00CF39D7">
          <w:rPr>
            <w:noProof/>
            <w:webHidden/>
          </w:rPr>
          <w:instrText xml:space="preserve"> PAGEREF _Toc226530534 \h </w:instrText>
        </w:r>
        <w:r>
          <w:rPr>
            <w:noProof/>
            <w:webHidden/>
          </w:rPr>
        </w:r>
        <w:r>
          <w:rPr>
            <w:noProof/>
            <w:webHidden/>
          </w:rPr>
          <w:fldChar w:fldCharType="separate"/>
        </w:r>
        <w:r w:rsidR="00DE3464">
          <w:rPr>
            <w:noProof/>
            <w:webHidden/>
          </w:rPr>
          <w:t>55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35" w:history="1">
        <w:r w:rsidR="00CF39D7" w:rsidRPr="003A4A8B">
          <w:rPr>
            <w:rStyle w:val="Hyperlink"/>
            <w:noProof/>
          </w:rPr>
          <w:t>6.5.</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Reference Data Management</w:t>
        </w:r>
        <w:r w:rsidR="00CF39D7">
          <w:rPr>
            <w:noProof/>
            <w:webHidden/>
          </w:rPr>
          <w:tab/>
        </w:r>
        <w:r>
          <w:rPr>
            <w:noProof/>
            <w:webHidden/>
          </w:rPr>
          <w:fldChar w:fldCharType="begin"/>
        </w:r>
        <w:r w:rsidR="00CF39D7">
          <w:rPr>
            <w:noProof/>
            <w:webHidden/>
          </w:rPr>
          <w:instrText xml:space="preserve"> PAGEREF _Toc226530535 \h </w:instrText>
        </w:r>
        <w:r>
          <w:rPr>
            <w:noProof/>
            <w:webHidden/>
          </w:rPr>
        </w:r>
        <w:r>
          <w:rPr>
            <w:noProof/>
            <w:webHidden/>
          </w:rPr>
          <w:fldChar w:fldCharType="separate"/>
        </w:r>
        <w:r w:rsidR="00DE3464">
          <w:rPr>
            <w:noProof/>
            <w:webHidden/>
          </w:rPr>
          <w:t>58</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36" w:history="1">
        <w:r w:rsidR="00CF39D7" w:rsidRPr="003A4A8B">
          <w:rPr>
            <w:rStyle w:val="Hyperlink"/>
            <w:noProof/>
          </w:rPr>
          <w:t>6.6.</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Fees and Billing</w:t>
        </w:r>
        <w:r w:rsidR="00CF39D7">
          <w:rPr>
            <w:noProof/>
            <w:webHidden/>
          </w:rPr>
          <w:tab/>
        </w:r>
        <w:r>
          <w:rPr>
            <w:noProof/>
            <w:webHidden/>
          </w:rPr>
          <w:fldChar w:fldCharType="begin"/>
        </w:r>
        <w:r w:rsidR="00CF39D7">
          <w:rPr>
            <w:noProof/>
            <w:webHidden/>
          </w:rPr>
          <w:instrText xml:space="preserve"> PAGEREF _Toc226530536 \h </w:instrText>
        </w:r>
        <w:r>
          <w:rPr>
            <w:noProof/>
            <w:webHidden/>
          </w:rPr>
        </w:r>
        <w:r>
          <w:rPr>
            <w:noProof/>
            <w:webHidden/>
          </w:rPr>
          <w:fldChar w:fldCharType="separate"/>
        </w:r>
        <w:r w:rsidR="00DE3464">
          <w:rPr>
            <w:noProof/>
            <w:webHidden/>
          </w:rPr>
          <w:t>61</w:t>
        </w:r>
        <w:r>
          <w:rPr>
            <w:noProof/>
            <w:webHidden/>
          </w:rPr>
          <w:fldChar w:fldCharType="end"/>
        </w:r>
      </w:hyperlink>
    </w:p>
    <w:p w:rsidR="00CF39D7" w:rsidRDefault="00FC0435">
      <w:pPr>
        <w:pStyle w:val="TOC1"/>
        <w:tabs>
          <w:tab w:val="right" w:leader="dot" w:pos="8630"/>
        </w:tabs>
        <w:rPr>
          <w:rFonts w:asciiTheme="minorHAnsi" w:eastAsiaTheme="minorEastAsia" w:hAnsiTheme="minorHAnsi" w:cstheme="minorBidi"/>
          <w:b w:val="0"/>
          <w:bCs w:val="0"/>
          <w:caps w:val="0"/>
          <w:noProof/>
          <w:sz w:val="22"/>
          <w:szCs w:val="22"/>
          <w:lang w:bidi="kn-IN"/>
        </w:rPr>
      </w:pPr>
      <w:hyperlink w:anchor="_Toc226530537" w:history="1">
        <w:r w:rsidR="00CF39D7" w:rsidRPr="003A4A8B">
          <w:rPr>
            <w:rStyle w:val="Hyperlink"/>
            <w:rFonts w:cs="Arial"/>
            <w:noProof/>
          </w:rPr>
          <w:t>Section III:</w:t>
        </w:r>
        <w:r w:rsidR="00CF39D7">
          <w:rPr>
            <w:noProof/>
            <w:webHidden/>
          </w:rPr>
          <w:tab/>
        </w:r>
        <w:r>
          <w:rPr>
            <w:noProof/>
            <w:webHidden/>
          </w:rPr>
          <w:fldChar w:fldCharType="begin"/>
        </w:r>
        <w:r w:rsidR="00CF39D7">
          <w:rPr>
            <w:noProof/>
            <w:webHidden/>
          </w:rPr>
          <w:instrText xml:space="preserve"> PAGEREF _Toc226530537 \h </w:instrText>
        </w:r>
        <w:r>
          <w:rPr>
            <w:noProof/>
            <w:webHidden/>
          </w:rPr>
        </w:r>
        <w:r>
          <w:rPr>
            <w:noProof/>
            <w:webHidden/>
          </w:rPr>
          <w:fldChar w:fldCharType="separate"/>
        </w:r>
        <w:r w:rsidR="00DE3464">
          <w:rPr>
            <w:noProof/>
            <w:webHidden/>
          </w:rPr>
          <w:t>63</w:t>
        </w:r>
        <w:r>
          <w:rPr>
            <w:noProof/>
            <w:webHidden/>
          </w:rPr>
          <w:fldChar w:fldCharType="end"/>
        </w:r>
      </w:hyperlink>
    </w:p>
    <w:p w:rsidR="00CF39D7" w:rsidRDefault="00FC0435">
      <w:pPr>
        <w:pStyle w:val="TOC1"/>
        <w:tabs>
          <w:tab w:val="right" w:leader="dot" w:pos="8630"/>
        </w:tabs>
        <w:rPr>
          <w:rFonts w:asciiTheme="minorHAnsi" w:eastAsiaTheme="minorEastAsia" w:hAnsiTheme="minorHAnsi" w:cstheme="minorBidi"/>
          <w:b w:val="0"/>
          <w:bCs w:val="0"/>
          <w:caps w:val="0"/>
          <w:noProof/>
          <w:sz w:val="22"/>
          <w:szCs w:val="22"/>
          <w:lang w:bidi="kn-IN"/>
        </w:rPr>
      </w:pPr>
      <w:hyperlink w:anchor="_Toc226530538" w:history="1">
        <w:r w:rsidR="00CF39D7" w:rsidRPr="003A4A8B">
          <w:rPr>
            <w:rStyle w:val="Hyperlink"/>
            <w:rFonts w:cs="Arial"/>
            <w:noProof/>
          </w:rPr>
          <w:t>Investment Management LOBs</w:t>
        </w:r>
        <w:r w:rsidR="00CF39D7">
          <w:rPr>
            <w:noProof/>
            <w:webHidden/>
          </w:rPr>
          <w:tab/>
        </w:r>
        <w:r>
          <w:rPr>
            <w:noProof/>
            <w:webHidden/>
          </w:rPr>
          <w:fldChar w:fldCharType="begin"/>
        </w:r>
        <w:r w:rsidR="00CF39D7">
          <w:rPr>
            <w:noProof/>
            <w:webHidden/>
          </w:rPr>
          <w:instrText xml:space="preserve"> PAGEREF _Toc226530538 \h </w:instrText>
        </w:r>
        <w:r>
          <w:rPr>
            <w:noProof/>
            <w:webHidden/>
          </w:rPr>
        </w:r>
        <w:r>
          <w:rPr>
            <w:noProof/>
            <w:webHidden/>
          </w:rPr>
          <w:fldChar w:fldCharType="separate"/>
        </w:r>
        <w:r w:rsidR="00DE3464">
          <w:rPr>
            <w:noProof/>
            <w:webHidden/>
          </w:rPr>
          <w:t>63</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39" w:history="1">
        <w:r w:rsidR="00CF39D7" w:rsidRPr="003A4A8B">
          <w:rPr>
            <w:rStyle w:val="Hyperlink"/>
            <w:noProof/>
          </w:rPr>
          <w:t>7.</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Wealth Management</w:t>
        </w:r>
        <w:r w:rsidR="00CF39D7">
          <w:rPr>
            <w:noProof/>
            <w:webHidden/>
          </w:rPr>
          <w:tab/>
        </w:r>
        <w:r>
          <w:rPr>
            <w:noProof/>
            <w:webHidden/>
          </w:rPr>
          <w:fldChar w:fldCharType="begin"/>
        </w:r>
        <w:r w:rsidR="00CF39D7">
          <w:rPr>
            <w:noProof/>
            <w:webHidden/>
          </w:rPr>
          <w:instrText xml:space="preserve"> PAGEREF _Toc226530539 \h </w:instrText>
        </w:r>
        <w:r>
          <w:rPr>
            <w:noProof/>
            <w:webHidden/>
          </w:rPr>
        </w:r>
        <w:r>
          <w:rPr>
            <w:noProof/>
            <w:webHidden/>
          </w:rPr>
          <w:fldChar w:fldCharType="separate"/>
        </w:r>
        <w:r w:rsidR="00DE3464">
          <w:rPr>
            <w:noProof/>
            <w:webHidden/>
          </w:rPr>
          <w:t>64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40" w:history="1">
        <w:r w:rsidR="00CF39D7" w:rsidRPr="003A4A8B">
          <w:rPr>
            <w:rStyle w:val="Hyperlink"/>
            <w:noProof/>
          </w:rPr>
          <w:t>7.1.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Introduction</w:t>
        </w:r>
        <w:r w:rsidR="00CF39D7">
          <w:rPr>
            <w:noProof/>
            <w:webHidden/>
          </w:rPr>
          <w:tab/>
        </w:r>
        <w:r>
          <w:rPr>
            <w:noProof/>
            <w:webHidden/>
          </w:rPr>
          <w:fldChar w:fldCharType="begin"/>
        </w:r>
        <w:r w:rsidR="00CF39D7">
          <w:rPr>
            <w:noProof/>
            <w:webHidden/>
          </w:rPr>
          <w:instrText xml:space="preserve"> PAGEREF _Toc226530540 \h </w:instrText>
        </w:r>
        <w:r>
          <w:rPr>
            <w:noProof/>
            <w:webHidden/>
          </w:rPr>
        </w:r>
        <w:r>
          <w:rPr>
            <w:noProof/>
            <w:webHidden/>
          </w:rPr>
          <w:fldChar w:fldCharType="separate"/>
        </w:r>
        <w:r w:rsidR="00DE3464">
          <w:rPr>
            <w:noProof/>
            <w:webHidden/>
          </w:rPr>
          <w:t>64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41" w:history="1">
        <w:r w:rsidR="00CF39D7" w:rsidRPr="003A4A8B">
          <w:rPr>
            <w:rStyle w:val="Hyperlink"/>
            <w:noProof/>
          </w:rPr>
          <w:t>7.2.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Business Overview</w:t>
        </w:r>
        <w:r w:rsidR="00CF39D7">
          <w:rPr>
            <w:noProof/>
            <w:webHidden/>
          </w:rPr>
          <w:tab/>
        </w:r>
        <w:r>
          <w:rPr>
            <w:noProof/>
            <w:webHidden/>
          </w:rPr>
          <w:fldChar w:fldCharType="begin"/>
        </w:r>
        <w:r w:rsidR="00CF39D7">
          <w:rPr>
            <w:noProof/>
            <w:webHidden/>
          </w:rPr>
          <w:instrText xml:space="preserve"> PAGEREF _Toc226530541 \h </w:instrText>
        </w:r>
        <w:r>
          <w:rPr>
            <w:noProof/>
            <w:webHidden/>
          </w:rPr>
        </w:r>
        <w:r>
          <w:rPr>
            <w:noProof/>
            <w:webHidden/>
          </w:rPr>
          <w:fldChar w:fldCharType="separate"/>
        </w:r>
        <w:r w:rsidR="00DE3464">
          <w:rPr>
            <w:noProof/>
            <w:webHidden/>
          </w:rPr>
          <w:t>64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42" w:history="1">
        <w:r w:rsidR="00CF39D7" w:rsidRPr="003A4A8B">
          <w:rPr>
            <w:rStyle w:val="Hyperlink"/>
            <w:noProof/>
          </w:rPr>
          <w:t>7.3.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Organization Structure</w:t>
        </w:r>
        <w:r w:rsidR="00CF39D7">
          <w:rPr>
            <w:noProof/>
            <w:webHidden/>
          </w:rPr>
          <w:tab/>
        </w:r>
        <w:r>
          <w:rPr>
            <w:noProof/>
            <w:webHidden/>
          </w:rPr>
          <w:fldChar w:fldCharType="begin"/>
        </w:r>
        <w:r w:rsidR="00CF39D7">
          <w:rPr>
            <w:noProof/>
            <w:webHidden/>
          </w:rPr>
          <w:instrText xml:space="preserve"> PAGEREF _Toc226530542 \h </w:instrText>
        </w:r>
        <w:r>
          <w:rPr>
            <w:noProof/>
            <w:webHidden/>
          </w:rPr>
        </w:r>
        <w:r>
          <w:rPr>
            <w:noProof/>
            <w:webHidden/>
          </w:rPr>
          <w:fldChar w:fldCharType="separate"/>
        </w:r>
        <w:r w:rsidR="00DE3464">
          <w:rPr>
            <w:noProof/>
            <w:webHidden/>
          </w:rPr>
          <w:t>66</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43" w:history="1">
        <w:r w:rsidR="00CF39D7" w:rsidRPr="003A4A8B">
          <w:rPr>
            <w:rStyle w:val="Hyperlink"/>
            <w:noProof/>
          </w:rPr>
          <w:t>7.4.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Key Processes</w:t>
        </w:r>
        <w:r w:rsidR="00CF39D7">
          <w:rPr>
            <w:noProof/>
            <w:webHidden/>
          </w:rPr>
          <w:tab/>
        </w:r>
        <w:r>
          <w:rPr>
            <w:noProof/>
            <w:webHidden/>
          </w:rPr>
          <w:fldChar w:fldCharType="begin"/>
        </w:r>
        <w:r w:rsidR="00CF39D7">
          <w:rPr>
            <w:noProof/>
            <w:webHidden/>
          </w:rPr>
          <w:instrText xml:space="preserve"> PAGEREF _Toc226530543 \h </w:instrText>
        </w:r>
        <w:r>
          <w:rPr>
            <w:noProof/>
            <w:webHidden/>
          </w:rPr>
        </w:r>
        <w:r>
          <w:rPr>
            <w:noProof/>
            <w:webHidden/>
          </w:rPr>
          <w:fldChar w:fldCharType="separate"/>
        </w:r>
        <w:r w:rsidR="00DE3464">
          <w:rPr>
            <w:noProof/>
            <w:webHidden/>
          </w:rPr>
          <w:t>69</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44" w:history="1">
        <w:r w:rsidR="00CF39D7" w:rsidRPr="003A4A8B">
          <w:rPr>
            <w:rStyle w:val="Hyperlink"/>
            <w:noProof/>
          </w:rPr>
          <w:t>8.</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Institutional Asset Management</w:t>
        </w:r>
        <w:r w:rsidR="00CF39D7">
          <w:rPr>
            <w:noProof/>
            <w:webHidden/>
          </w:rPr>
          <w:tab/>
        </w:r>
        <w:r>
          <w:rPr>
            <w:noProof/>
            <w:webHidden/>
          </w:rPr>
          <w:fldChar w:fldCharType="begin"/>
        </w:r>
        <w:r w:rsidR="00CF39D7">
          <w:rPr>
            <w:noProof/>
            <w:webHidden/>
          </w:rPr>
          <w:instrText xml:space="preserve"> PAGEREF _Toc226530544 \h </w:instrText>
        </w:r>
        <w:r>
          <w:rPr>
            <w:noProof/>
            <w:webHidden/>
          </w:rPr>
        </w:r>
        <w:r>
          <w:rPr>
            <w:noProof/>
            <w:webHidden/>
          </w:rPr>
          <w:fldChar w:fldCharType="separate"/>
        </w:r>
        <w:r w:rsidR="00DE3464">
          <w:rPr>
            <w:noProof/>
            <w:webHidden/>
          </w:rPr>
          <w:t>74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45" w:history="1">
        <w:r w:rsidR="00CF39D7" w:rsidRPr="003A4A8B">
          <w:rPr>
            <w:rStyle w:val="Hyperlink"/>
            <w:noProof/>
          </w:rPr>
          <w:t>8.1.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Introduction</w:t>
        </w:r>
        <w:r w:rsidR="00CF39D7">
          <w:rPr>
            <w:noProof/>
            <w:webHidden/>
          </w:rPr>
          <w:tab/>
        </w:r>
        <w:r>
          <w:rPr>
            <w:noProof/>
            <w:webHidden/>
          </w:rPr>
          <w:fldChar w:fldCharType="begin"/>
        </w:r>
        <w:r w:rsidR="00CF39D7">
          <w:rPr>
            <w:noProof/>
            <w:webHidden/>
          </w:rPr>
          <w:instrText xml:space="preserve"> PAGEREF _Toc226530545 \h </w:instrText>
        </w:r>
        <w:r>
          <w:rPr>
            <w:noProof/>
            <w:webHidden/>
          </w:rPr>
        </w:r>
        <w:r>
          <w:rPr>
            <w:noProof/>
            <w:webHidden/>
          </w:rPr>
          <w:fldChar w:fldCharType="separate"/>
        </w:r>
        <w:r w:rsidR="00DE3464">
          <w:rPr>
            <w:noProof/>
            <w:webHidden/>
          </w:rPr>
          <w:t>74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46" w:history="1">
        <w:r w:rsidR="00CF39D7" w:rsidRPr="003A4A8B">
          <w:rPr>
            <w:rStyle w:val="Hyperlink"/>
            <w:noProof/>
          </w:rPr>
          <w:t>8.2.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Business Overview</w:t>
        </w:r>
        <w:r w:rsidR="00CF39D7">
          <w:rPr>
            <w:noProof/>
            <w:webHidden/>
          </w:rPr>
          <w:tab/>
        </w:r>
        <w:r>
          <w:rPr>
            <w:noProof/>
            <w:webHidden/>
          </w:rPr>
          <w:fldChar w:fldCharType="begin"/>
        </w:r>
        <w:r w:rsidR="00CF39D7">
          <w:rPr>
            <w:noProof/>
            <w:webHidden/>
          </w:rPr>
          <w:instrText xml:space="preserve"> PAGEREF _Toc226530546 \h </w:instrText>
        </w:r>
        <w:r>
          <w:rPr>
            <w:noProof/>
            <w:webHidden/>
          </w:rPr>
        </w:r>
        <w:r>
          <w:rPr>
            <w:noProof/>
            <w:webHidden/>
          </w:rPr>
          <w:fldChar w:fldCharType="separate"/>
        </w:r>
        <w:r w:rsidR="00DE3464">
          <w:rPr>
            <w:noProof/>
            <w:webHidden/>
          </w:rPr>
          <w:t>74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47" w:history="1">
        <w:r w:rsidR="00CF39D7" w:rsidRPr="003A4A8B">
          <w:rPr>
            <w:rStyle w:val="Hyperlink"/>
            <w:noProof/>
          </w:rPr>
          <w:t>8.3.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Organization Structure</w:t>
        </w:r>
        <w:r w:rsidR="00CF39D7">
          <w:rPr>
            <w:noProof/>
            <w:webHidden/>
          </w:rPr>
          <w:tab/>
        </w:r>
        <w:r>
          <w:rPr>
            <w:noProof/>
            <w:webHidden/>
          </w:rPr>
          <w:fldChar w:fldCharType="begin"/>
        </w:r>
        <w:r w:rsidR="00CF39D7">
          <w:rPr>
            <w:noProof/>
            <w:webHidden/>
          </w:rPr>
          <w:instrText xml:space="preserve"> PAGEREF _Toc226530547 \h </w:instrText>
        </w:r>
        <w:r>
          <w:rPr>
            <w:noProof/>
            <w:webHidden/>
          </w:rPr>
        </w:r>
        <w:r>
          <w:rPr>
            <w:noProof/>
            <w:webHidden/>
          </w:rPr>
          <w:fldChar w:fldCharType="separate"/>
        </w:r>
        <w:r w:rsidR="00DE3464">
          <w:rPr>
            <w:noProof/>
            <w:webHidden/>
          </w:rPr>
          <w:t>76</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48" w:history="1">
        <w:r w:rsidR="00CF39D7" w:rsidRPr="003A4A8B">
          <w:rPr>
            <w:rStyle w:val="Hyperlink"/>
            <w:noProof/>
          </w:rPr>
          <w:t>8.4.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Products and Services</w:t>
        </w:r>
        <w:r w:rsidR="00CF39D7">
          <w:rPr>
            <w:noProof/>
            <w:webHidden/>
          </w:rPr>
          <w:tab/>
        </w:r>
        <w:r>
          <w:rPr>
            <w:noProof/>
            <w:webHidden/>
          </w:rPr>
          <w:fldChar w:fldCharType="begin"/>
        </w:r>
        <w:r w:rsidR="00CF39D7">
          <w:rPr>
            <w:noProof/>
            <w:webHidden/>
          </w:rPr>
          <w:instrText xml:space="preserve"> PAGEREF _Toc226530548 \h </w:instrText>
        </w:r>
        <w:r>
          <w:rPr>
            <w:noProof/>
            <w:webHidden/>
          </w:rPr>
        </w:r>
        <w:r>
          <w:rPr>
            <w:noProof/>
            <w:webHidden/>
          </w:rPr>
          <w:fldChar w:fldCharType="separate"/>
        </w:r>
        <w:r w:rsidR="00DE3464">
          <w:rPr>
            <w:noProof/>
            <w:webHidden/>
          </w:rPr>
          <w:t>80</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49" w:history="1">
        <w:r w:rsidR="00CF39D7" w:rsidRPr="003A4A8B">
          <w:rPr>
            <w:rStyle w:val="Hyperlink"/>
            <w:noProof/>
          </w:rPr>
          <w:t>9.</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Mutual Funds</w:t>
        </w:r>
        <w:r w:rsidR="00CF39D7">
          <w:rPr>
            <w:noProof/>
            <w:webHidden/>
          </w:rPr>
          <w:tab/>
        </w:r>
        <w:r>
          <w:rPr>
            <w:noProof/>
            <w:webHidden/>
          </w:rPr>
          <w:fldChar w:fldCharType="begin"/>
        </w:r>
        <w:r w:rsidR="00CF39D7">
          <w:rPr>
            <w:noProof/>
            <w:webHidden/>
          </w:rPr>
          <w:instrText xml:space="preserve"> PAGEREF _Toc226530549 \h </w:instrText>
        </w:r>
        <w:r>
          <w:rPr>
            <w:noProof/>
            <w:webHidden/>
          </w:rPr>
        </w:r>
        <w:r>
          <w:rPr>
            <w:noProof/>
            <w:webHidden/>
          </w:rPr>
          <w:fldChar w:fldCharType="separate"/>
        </w:r>
        <w:r w:rsidR="00DE3464">
          <w:rPr>
            <w:noProof/>
            <w:webHidden/>
          </w:rPr>
          <w:t>85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0" w:history="1">
        <w:r w:rsidR="00CF39D7" w:rsidRPr="003A4A8B">
          <w:rPr>
            <w:rStyle w:val="Hyperlink"/>
            <w:noProof/>
          </w:rPr>
          <w:t>9.1.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Introduction</w:t>
        </w:r>
        <w:r w:rsidR="00CF39D7">
          <w:rPr>
            <w:noProof/>
            <w:webHidden/>
          </w:rPr>
          <w:tab/>
        </w:r>
        <w:r>
          <w:rPr>
            <w:noProof/>
            <w:webHidden/>
          </w:rPr>
          <w:fldChar w:fldCharType="begin"/>
        </w:r>
        <w:r w:rsidR="00CF39D7">
          <w:rPr>
            <w:noProof/>
            <w:webHidden/>
          </w:rPr>
          <w:instrText xml:space="preserve"> PAGEREF _Toc226530550 \h </w:instrText>
        </w:r>
        <w:r>
          <w:rPr>
            <w:noProof/>
            <w:webHidden/>
          </w:rPr>
        </w:r>
        <w:r>
          <w:rPr>
            <w:noProof/>
            <w:webHidden/>
          </w:rPr>
          <w:fldChar w:fldCharType="separate"/>
        </w:r>
        <w:r w:rsidR="00DE3464">
          <w:rPr>
            <w:noProof/>
            <w:webHidden/>
          </w:rPr>
          <w:t>85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1" w:history="1">
        <w:r w:rsidR="00CF39D7" w:rsidRPr="003A4A8B">
          <w:rPr>
            <w:rStyle w:val="Hyperlink"/>
            <w:noProof/>
          </w:rPr>
          <w:t>9.2.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Business Overview</w:t>
        </w:r>
        <w:r w:rsidR="00CF39D7">
          <w:rPr>
            <w:noProof/>
            <w:webHidden/>
          </w:rPr>
          <w:tab/>
        </w:r>
        <w:r>
          <w:rPr>
            <w:noProof/>
            <w:webHidden/>
          </w:rPr>
          <w:fldChar w:fldCharType="begin"/>
        </w:r>
        <w:r w:rsidR="00CF39D7">
          <w:rPr>
            <w:noProof/>
            <w:webHidden/>
          </w:rPr>
          <w:instrText xml:space="preserve"> PAGEREF _Toc226530551 \h </w:instrText>
        </w:r>
        <w:r>
          <w:rPr>
            <w:noProof/>
            <w:webHidden/>
          </w:rPr>
        </w:r>
        <w:r>
          <w:rPr>
            <w:noProof/>
            <w:webHidden/>
          </w:rPr>
          <w:fldChar w:fldCharType="separate"/>
        </w:r>
        <w:r w:rsidR="00DE3464">
          <w:rPr>
            <w:noProof/>
            <w:webHidden/>
          </w:rPr>
          <w:t>85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2" w:history="1">
        <w:r w:rsidR="00CF39D7" w:rsidRPr="003A4A8B">
          <w:rPr>
            <w:rStyle w:val="Hyperlink"/>
            <w:noProof/>
          </w:rPr>
          <w:t>9.3.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Organization Structure</w:t>
        </w:r>
        <w:r w:rsidR="00CF39D7">
          <w:rPr>
            <w:noProof/>
            <w:webHidden/>
          </w:rPr>
          <w:tab/>
        </w:r>
        <w:r>
          <w:rPr>
            <w:noProof/>
            <w:webHidden/>
          </w:rPr>
          <w:fldChar w:fldCharType="begin"/>
        </w:r>
        <w:r w:rsidR="00CF39D7">
          <w:rPr>
            <w:noProof/>
            <w:webHidden/>
          </w:rPr>
          <w:instrText xml:space="preserve"> PAGEREF _Toc226530552 \h </w:instrText>
        </w:r>
        <w:r>
          <w:rPr>
            <w:noProof/>
            <w:webHidden/>
          </w:rPr>
        </w:r>
        <w:r>
          <w:rPr>
            <w:noProof/>
            <w:webHidden/>
          </w:rPr>
          <w:fldChar w:fldCharType="separate"/>
        </w:r>
        <w:r w:rsidR="00DE3464">
          <w:rPr>
            <w:noProof/>
            <w:webHidden/>
          </w:rPr>
          <w:t>90</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3" w:history="1">
        <w:r w:rsidR="00CF39D7" w:rsidRPr="003A4A8B">
          <w:rPr>
            <w:rStyle w:val="Hyperlink"/>
            <w:noProof/>
          </w:rPr>
          <w:t>9.4.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Key Business Processes</w:t>
        </w:r>
        <w:r w:rsidR="00CF39D7">
          <w:rPr>
            <w:noProof/>
            <w:webHidden/>
          </w:rPr>
          <w:tab/>
        </w:r>
        <w:r>
          <w:rPr>
            <w:noProof/>
            <w:webHidden/>
          </w:rPr>
          <w:fldChar w:fldCharType="begin"/>
        </w:r>
        <w:r w:rsidR="00CF39D7">
          <w:rPr>
            <w:noProof/>
            <w:webHidden/>
          </w:rPr>
          <w:instrText xml:space="preserve"> PAGEREF _Toc226530553 \h </w:instrText>
        </w:r>
        <w:r>
          <w:rPr>
            <w:noProof/>
            <w:webHidden/>
          </w:rPr>
        </w:r>
        <w:r>
          <w:rPr>
            <w:noProof/>
            <w:webHidden/>
          </w:rPr>
          <w:fldChar w:fldCharType="separate"/>
        </w:r>
        <w:r w:rsidR="00DE3464">
          <w:rPr>
            <w:noProof/>
            <w:webHidden/>
          </w:rPr>
          <w:t>91</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4" w:history="1">
        <w:r w:rsidR="00CF39D7" w:rsidRPr="003A4A8B">
          <w:rPr>
            <w:rStyle w:val="Hyperlink"/>
            <w:noProof/>
          </w:rPr>
          <w:t>9.5.</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Products and Services</w:t>
        </w:r>
        <w:r w:rsidR="00CF39D7">
          <w:rPr>
            <w:noProof/>
            <w:webHidden/>
          </w:rPr>
          <w:tab/>
        </w:r>
        <w:r>
          <w:rPr>
            <w:noProof/>
            <w:webHidden/>
          </w:rPr>
          <w:fldChar w:fldCharType="begin"/>
        </w:r>
        <w:r w:rsidR="00CF39D7">
          <w:rPr>
            <w:noProof/>
            <w:webHidden/>
          </w:rPr>
          <w:instrText xml:space="preserve"> PAGEREF _Toc226530554 \h </w:instrText>
        </w:r>
        <w:r>
          <w:rPr>
            <w:noProof/>
            <w:webHidden/>
          </w:rPr>
        </w:r>
        <w:r>
          <w:rPr>
            <w:noProof/>
            <w:webHidden/>
          </w:rPr>
          <w:fldChar w:fldCharType="separate"/>
        </w:r>
        <w:r w:rsidR="00DE3464">
          <w:rPr>
            <w:noProof/>
            <w:webHidden/>
          </w:rPr>
          <w:t>93</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5" w:history="1">
        <w:r w:rsidR="00CF39D7" w:rsidRPr="003A4A8B">
          <w:rPr>
            <w:rStyle w:val="Hyperlink"/>
            <w:noProof/>
          </w:rPr>
          <w:t>9.6.</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Distribution of Mutual Funds</w:t>
        </w:r>
        <w:r w:rsidR="00CF39D7">
          <w:rPr>
            <w:noProof/>
            <w:webHidden/>
          </w:rPr>
          <w:tab/>
        </w:r>
        <w:r>
          <w:rPr>
            <w:noProof/>
            <w:webHidden/>
          </w:rPr>
          <w:fldChar w:fldCharType="begin"/>
        </w:r>
        <w:r w:rsidR="00CF39D7">
          <w:rPr>
            <w:noProof/>
            <w:webHidden/>
          </w:rPr>
          <w:instrText xml:space="preserve"> PAGEREF _Toc226530555 \h </w:instrText>
        </w:r>
        <w:r>
          <w:rPr>
            <w:noProof/>
            <w:webHidden/>
          </w:rPr>
        </w:r>
        <w:r>
          <w:rPr>
            <w:noProof/>
            <w:webHidden/>
          </w:rPr>
          <w:fldChar w:fldCharType="separate"/>
        </w:r>
        <w:r w:rsidR="00DE3464">
          <w:rPr>
            <w:noProof/>
            <w:webHidden/>
          </w:rPr>
          <w:t>99</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56" w:history="1">
        <w:r w:rsidR="00CF39D7" w:rsidRPr="003A4A8B">
          <w:rPr>
            <w:rStyle w:val="Hyperlink"/>
            <w:noProof/>
          </w:rPr>
          <w:t>10.</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Separately Managed Accounts (SMA)</w:t>
        </w:r>
        <w:r w:rsidR="00CF39D7">
          <w:rPr>
            <w:noProof/>
            <w:webHidden/>
          </w:rPr>
          <w:tab/>
        </w:r>
        <w:r>
          <w:rPr>
            <w:noProof/>
            <w:webHidden/>
          </w:rPr>
          <w:fldChar w:fldCharType="begin"/>
        </w:r>
        <w:r w:rsidR="00CF39D7">
          <w:rPr>
            <w:noProof/>
            <w:webHidden/>
          </w:rPr>
          <w:instrText xml:space="preserve"> PAGEREF _Toc226530556 \h </w:instrText>
        </w:r>
        <w:r>
          <w:rPr>
            <w:noProof/>
            <w:webHidden/>
          </w:rPr>
        </w:r>
        <w:r>
          <w:rPr>
            <w:noProof/>
            <w:webHidden/>
          </w:rPr>
          <w:fldChar w:fldCharType="separate"/>
        </w:r>
        <w:r w:rsidR="00DE3464">
          <w:rPr>
            <w:noProof/>
            <w:webHidden/>
          </w:rPr>
          <w:t>102</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7" w:history="1">
        <w:r w:rsidR="00CF39D7" w:rsidRPr="003A4A8B">
          <w:rPr>
            <w:rStyle w:val="Hyperlink"/>
            <w:noProof/>
          </w:rPr>
          <w:t>10.1.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Introduction</w:t>
        </w:r>
        <w:r w:rsidR="00CF39D7">
          <w:rPr>
            <w:noProof/>
            <w:webHidden/>
          </w:rPr>
          <w:tab/>
        </w:r>
        <w:r>
          <w:rPr>
            <w:noProof/>
            <w:webHidden/>
          </w:rPr>
          <w:fldChar w:fldCharType="begin"/>
        </w:r>
        <w:r w:rsidR="00CF39D7">
          <w:rPr>
            <w:noProof/>
            <w:webHidden/>
          </w:rPr>
          <w:instrText xml:space="preserve"> PAGEREF _Toc226530557 \h </w:instrText>
        </w:r>
        <w:r>
          <w:rPr>
            <w:noProof/>
            <w:webHidden/>
          </w:rPr>
        </w:r>
        <w:r>
          <w:rPr>
            <w:noProof/>
            <w:webHidden/>
          </w:rPr>
          <w:fldChar w:fldCharType="separate"/>
        </w:r>
        <w:r w:rsidR="00DE3464">
          <w:rPr>
            <w:noProof/>
            <w:webHidden/>
          </w:rPr>
          <w:t>102</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8" w:history="1">
        <w:r w:rsidR="00CF39D7" w:rsidRPr="003A4A8B">
          <w:rPr>
            <w:rStyle w:val="Hyperlink"/>
            <w:noProof/>
          </w:rPr>
          <w:t>10.2.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Industry Overview</w:t>
        </w:r>
        <w:r w:rsidR="00CF39D7">
          <w:rPr>
            <w:noProof/>
            <w:webHidden/>
          </w:rPr>
          <w:tab/>
        </w:r>
        <w:r>
          <w:rPr>
            <w:noProof/>
            <w:webHidden/>
          </w:rPr>
          <w:fldChar w:fldCharType="begin"/>
        </w:r>
        <w:r w:rsidR="00CF39D7">
          <w:rPr>
            <w:noProof/>
            <w:webHidden/>
          </w:rPr>
          <w:instrText xml:space="preserve"> PAGEREF _Toc226530558 \h </w:instrText>
        </w:r>
        <w:r>
          <w:rPr>
            <w:noProof/>
            <w:webHidden/>
          </w:rPr>
        </w:r>
        <w:r>
          <w:rPr>
            <w:noProof/>
            <w:webHidden/>
          </w:rPr>
          <w:fldChar w:fldCharType="separate"/>
        </w:r>
        <w:r w:rsidR="00DE3464">
          <w:rPr>
            <w:noProof/>
            <w:webHidden/>
          </w:rPr>
          <w:t>102</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59" w:history="1">
        <w:r w:rsidR="00CF39D7" w:rsidRPr="003A4A8B">
          <w:rPr>
            <w:rStyle w:val="Hyperlink"/>
            <w:noProof/>
          </w:rPr>
          <w:t>10.3.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Organization Structure ( Sponsor)</w:t>
        </w:r>
        <w:r w:rsidR="00CF39D7">
          <w:rPr>
            <w:noProof/>
            <w:webHidden/>
          </w:rPr>
          <w:tab/>
        </w:r>
        <w:r>
          <w:rPr>
            <w:noProof/>
            <w:webHidden/>
          </w:rPr>
          <w:fldChar w:fldCharType="begin"/>
        </w:r>
        <w:r w:rsidR="00CF39D7">
          <w:rPr>
            <w:noProof/>
            <w:webHidden/>
          </w:rPr>
          <w:instrText xml:space="preserve"> PAGEREF _Toc226530559 \h </w:instrText>
        </w:r>
        <w:r>
          <w:rPr>
            <w:noProof/>
            <w:webHidden/>
          </w:rPr>
        </w:r>
        <w:r>
          <w:rPr>
            <w:noProof/>
            <w:webHidden/>
          </w:rPr>
          <w:fldChar w:fldCharType="separate"/>
        </w:r>
        <w:r w:rsidR="00DE3464">
          <w:rPr>
            <w:noProof/>
            <w:webHidden/>
          </w:rPr>
          <w:t>104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60" w:history="1">
        <w:r w:rsidR="00CF39D7" w:rsidRPr="003A4A8B">
          <w:rPr>
            <w:rStyle w:val="Hyperlink"/>
            <w:noProof/>
          </w:rPr>
          <w:t>10.4.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Products and Services</w:t>
        </w:r>
        <w:r w:rsidR="00CF39D7">
          <w:rPr>
            <w:noProof/>
            <w:webHidden/>
          </w:rPr>
          <w:tab/>
        </w:r>
        <w:r>
          <w:rPr>
            <w:noProof/>
            <w:webHidden/>
          </w:rPr>
          <w:fldChar w:fldCharType="begin"/>
        </w:r>
        <w:r w:rsidR="00CF39D7">
          <w:rPr>
            <w:noProof/>
            <w:webHidden/>
          </w:rPr>
          <w:instrText xml:space="preserve"> PAGEREF _Toc226530560 \h </w:instrText>
        </w:r>
        <w:r>
          <w:rPr>
            <w:noProof/>
            <w:webHidden/>
          </w:rPr>
        </w:r>
        <w:r>
          <w:rPr>
            <w:noProof/>
            <w:webHidden/>
          </w:rPr>
          <w:fldChar w:fldCharType="separate"/>
        </w:r>
        <w:r w:rsidR="00DE3464">
          <w:rPr>
            <w:noProof/>
            <w:webHidden/>
          </w:rPr>
          <w:t>105</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61" w:history="1">
        <w:r w:rsidR="00CF39D7" w:rsidRPr="003A4A8B">
          <w:rPr>
            <w:rStyle w:val="Hyperlink"/>
            <w:noProof/>
          </w:rPr>
          <w:t>11.</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Hedge Funds</w:t>
        </w:r>
        <w:r w:rsidR="00CF39D7">
          <w:rPr>
            <w:noProof/>
            <w:webHidden/>
          </w:rPr>
          <w:tab/>
        </w:r>
        <w:r>
          <w:rPr>
            <w:noProof/>
            <w:webHidden/>
          </w:rPr>
          <w:fldChar w:fldCharType="begin"/>
        </w:r>
        <w:r w:rsidR="00CF39D7">
          <w:rPr>
            <w:noProof/>
            <w:webHidden/>
          </w:rPr>
          <w:instrText xml:space="preserve"> PAGEREF _Toc226530561 \h </w:instrText>
        </w:r>
        <w:r>
          <w:rPr>
            <w:noProof/>
            <w:webHidden/>
          </w:rPr>
        </w:r>
        <w:r>
          <w:rPr>
            <w:noProof/>
            <w:webHidden/>
          </w:rPr>
          <w:fldChar w:fldCharType="separate"/>
        </w:r>
        <w:r w:rsidR="00DE3464">
          <w:rPr>
            <w:noProof/>
            <w:webHidden/>
          </w:rPr>
          <w:t>112</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62" w:history="1">
        <w:r w:rsidR="00CF39D7" w:rsidRPr="003A4A8B">
          <w:rPr>
            <w:rStyle w:val="Hyperlink"/>
            <w:noProof/>
          </w:rPr>
          <w:t>11.1.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Introduction</w:t>
        </w:r>
        <w:r w:rsidR="00CF39D7">
          <w:rPr>
            <w:noProof/>
            <w:webHidden/>
          </w:rPr>
          <w:tab/>
        </w:r>
        <w:r>
          <w:rPr>
            <w:noProof/>
            <w:webHidden/>
          </w:rPr>
          <w:fldChar w:fldCharType="begin"/>
        </w:r>
        <w:r w:rsidR="00CF39D7">
          <w:rPr>
            <w:noProof/>
            <w:webHidden/>
          </w:rPr>
          <w:instrText xml:space="preserve"> PAGEREF _Toc226530562 \h </w:instrText>
        </w:r>
        <w:r>
          <w:rPr>
            <w:noProof/>
            <w:webHidden/>
          </w:rPr>
        </w:r>
        <w:r>
          <w:rPr>
            <w:noProof/>
            <w:webHidden/>
          </w:rPr>
          <w:fldChar w:fldCharType="separate"/>
        </w:r>
        <w:r w:rsidR="00DE3464">
          <w:rPr>
            <w:noProof/>
            <w:webHidden/>
          </w:rPr>
          <w:t>112</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63" w:history="1">
        <w:r w:rsidR="00CF39D7" w:rsidRPr="003A4A8B">
          <w:rPr>
            <w:rStyle w:val="Hyperlink"/>
            <w:noProof/>
          </w:rPr>
          <w:t>11.2.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Key Business Process</w:t>
        </w:r>
        <w:r w:rsidR="00CF39D7">
          <w:rPr>
            <w:noProof/>
            <w:webHidden/>
          </w:rPr>
          <w:tab/>
        </w:r>
        <w:r>
          <w:rPr>
            <w:noProof/>
            <w:webHidden/>
          </w:rPr>
          <w:fldChar w:fldCharType="begin"/>
        </w:r>
        <w:r w:rsidR="00CF39D7">
          <w:rPr>
            <w:noProof/>
            <w:webHidden/>
          </w:rPr>
          <w:instrText xml:space="preserve"> PAGEREF _Toc226530563 \h </w:instrText>
        </w:r>
        <w:r>
          <w:rPr>
            <w:noProof/>
            <w:webHidden/>
          </w:rPr>
        </w:r>
        <w:r>
          <w:rPr>
            <w:noProof/>
            <w:webHidden/>
          </w:rPr>
          <w:fldChar w:fldCharType="separate"/>
        </w:r>
        <w:r w:rsidR="00DE3464">
          <w:rPr>
            <w:noProof/>
            <w:webHidden/>
          </w:rPr>
          <w:t>115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64" w:history="1">
        <w:r w:rsidR="00CF39D7" w:rsidRPr="003A4A8B">
          <w:rPr>
            <w:rStyle w:val="Hyperlink"/>
            <w:noProof/>
          </w:rPr>
          <w:t>11.3.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Regulatory Framework, Accounting &amp; Taxation Issues</w:t>
        </w:r>
        <w:r w:rsidR="00CF39D7">
          <w:rPr>
            <w:noProof/>
            <w:webHidden/>
          </w:rPr>
          <w:tab/>
        </w:r>
        <w:r>
          <w:rPr>
            <w:noProof/>
            <w:webHidden/>
          </w:rPr>
          <w:fldChar w:fldCharType="begin"/>
        </w:r>
        <w:r w:rsidR="00CF39D7">
          <w:rPr>
            <w:noProof/>
            <w:webHidden/>
          </w:rPr>
          <w:instrText xml:space="preserve"> PAGEREF _Toc226530564 \h </w:instrText>
        </w:r>
        <w:r>
          <w:rPr>
            <w:noProof/>
            <w:webHidden/>
          </w:rPr>
        </w:r>
        <w:r>
          <w:rPr>
            <w:noProof/>
            <w:webHidden/>
          </w:rPr>
          <w:fldChar w:fldCharType="separate"/>
        </w:r>
        <w:r w:rsidR="00DE3464">
          <w:rPr>
            <w:noProof/>
            <w:webHidden/>
          </w:rPr>
          <w:t>115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65" w:history="1">
        <w:r w:rsidR="00CF39D7" w:rsidRPr="003A4A8B">
          <w:rPr>
            <w:rStyle w:val="Hyperlink"/>
            <w:noProof/>
          </w:rPr>
          <w:t>11.4.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Technology, Eco-system &amp; Interfaces and Trends</w:t>
        </w:r>
        <w:r w:rsidR="00CF39D7">
          <w:rPr>
            <w:noProof/>
            <w:webHidden/>
          </w:rPr>
          <w:tab/>
        </w:r>
        <w:r>
          <w:rPr>
            <w:noProof/>
            <w:webHidden/>
          </w:rPr>
          <w:fldChar w:fldCharType="begin"/>
        </w:r>
        <w:r w:rsidR="00CF39D7">
          <w:rPr>
            <w:noProof/>
            <w:webHidden/>
          </w:rPr>
          <w:instrText xml:space="preserve"> PAGEREF _Toc226530565 \h </w:instrText>
        </w:r>
        <w:r>
          <w:rPr>
            <w:noProof/>
            <w:webHidden/>
          </w:rPr>
        </w:r>
        <w:r>
          <w:rPr>
            <w:noProof/>
            <w:webHidden/>
          </w:rPr>
          <w:fldChar w:fldCharType="separate"/>
        </w:r>
        <w:r w:rsidR="00DE3464">
          <w:rPr>
            <w:noProof/>
            <w:webHidden/>
          </w:rPr>
          <w:t>118</w:t>
        </w:r>
        <w:r>
          <w:rPr>
            <w:noProof/>
            <w:webHidden/>
          </w:rPr>
          <w:fldChar w:fldCharType="end"/>
        </w:r>
      </w:hyperlink>
    </w:p>
    <w:p w:rsidR="00CF39D7" w:rsidRDefault="00FC0435">
      <w:pPr>
        <w:pStyle w:val="TOC1"/>
        <w:tabs>
          <w:tab w:val="right" w:leader="dot" w:pos="8630"/>
        </w:tabs>
        <w:rPr>
          <w:rFonts w:asciiTheme="minorHAnsi" w:eastAsiaTheme="minorEastAsia" w:hAnsiTheme="minorHAnsi" w:cstheme="minorBidi"/>
          <w:b w:val="0"/>
          <w:bCs w:val="0"/>
          <w:caps w:val="0"/>
          <w:noProof/>
          <w:sz w:val="22"/>
          <w:szCs w:val="22"/>
          <w:lang w:bidi="kn-IN"/>
        </w:rPr>
      </w:pPr>
      <w:hyperlink w:anchor="_Toc226530566" w:history="1">
        <w:r w:rsidR="00CF39D7" w:rsidRPr="003A4A8B">
          <w:rPr>
            <w:rStyle w:val="Hyperlink"/>
            <w:rFonts w:cs="Arial"/>
            <w:noProof/>
          </w:rPr>
          <w:t>Section IV:</w:t>
        </w:r>
        <w:r w:rsidR="00CF39D7">
          <w:rPr>
            <w:noProof/>
            <w:webHidden/>
          </w:rPr>
          <w:tab/>
        </w:r>
        <w:r>
          <w:rPr>
            <w:noProof/>
            <w:webHidden/>
          </w:rPr>
          <w:fldChar w:fldCharType="begin"/>
        </w:r>
        <w:r w:rsidR="00CF39D7">
          <w:rPr>
            <w:noProof/>
            <w:webHidden/>
          </w:rPr>
          <w:instrText xml:space="preserve"> PAGEREF _Toc226530566 \h </w:instrText>
        </w:r>
        <w:r>
          <w:rPr>
            <w:noProof/>
            <w:webHidden/>
          </w:rPr>
        </w:r>
        <w:r>
          <w:rPr>
            <w:noProof/>
            <w:webHidden/>
          </w:rPr>
          <w:fldChar w:fldCharType="separate"/>
        </w:r>
        <w:r w:rsidR="00DE3464">
          <w:rPr>
            <w:noProof/>
            <w:webHidden/>
          </w:rPr>
          <w:t>119</w:t>
        </w:r>
        <w:r>
          <w:rPr>
            <w:noProof/>
            <w:webHidden/>
          </w:rPr>
          <w:fldChar w:fldCharType="end"/>
        </w:r>
      </w:hyperlink>
    </w:p>
    <w:p w:rsidR="00CF39D7" w:rsidRDefault="00FC0435">
      <w:pPr>
        <w:pStyle w:val="TOC1"/>
        <w:tabs>
          <w:tab w:val="right" w:leader="dot" w:pos="8630"/>
        </w:tabs>
        <w:rPr>
          <w:rFonts w:asciiTheme="minorHAnsi" w:eastAsiaTheme="minorEastAsia" w:hAnsiTheme="minorHAnsi" w:cstheme="minorBidi"/>
          <w:b w:val="0"/>
          <w:bCs w:val="0"/>
          <w:caps w:val="0"/>
          <w:noProof/>
          <w:sz w:val="22"/>
          <w:szCs w:val="22"/>
          <w:lang w:bidi="kn-IN"/>
        </w:rPr>
      </w:pPr>
      <w:hyperlink w:anchor="_Toc226530567" w:history="1">
        <w:r w:rsidR="00CF39D7" w:rsidRPr="003A4A8B">
          <w:rPr>
            <w:rStyle w:val="Hyperlink"/>
            <w:rFonts w:cs="Arial"/>
            <w:noProof/>
          </w:rPr>
          <w:t>Asset and Wealth Management Technology and Trends</w:t>
        </w:r>
        <w:r w:rsidR="00CF39D7">
          <w:rPr>
            <w:noProof/>
            <w:webHidden/>
          </w:rPr>
          <w:tab/>
        </w:r>
        <w:r>
          <w:rPr>
            <w:noProof/>
            <w:webHidden/>
          </w:rPr>
          <w:fldChar w:fldCharType="begin"/>
        </w:r>
        <w:r w:rsidR="00CF39D7">
          <w:rPr>
            <w:noProof/>
            <w:webHidden/>
          </w:rPr>
          <w:instrText xml:space="preserve"> PAGEREF _Toc226530567 \h </w:instrText>
        </w:r>
        <w:r>
          <w:rPr>
            <w:noProof/>
            <w:webHidden/>
          </w:rPr>
        </w:r>
        <w:r>
          <w:rPr>
            <w:noProof/>
            <w:webHidden/>
          </w:rPr>
          <w:fldChar w:fldCharType="separate"/>
        </w:r>
        <w:r w:rsidR="00DE3464">
          <w:rPr>
            <w:noProof/>
            <w:webHidden/>
          </w:rPr>
          <w:t>119</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68" w:history="1">
        <w:r w:rsidR="00CF39D7" w:rsidRPr="003A4A8B">
          <w:rPr>
            <w:rStyle w:val="Hyperlink"/>
            <w:noProof/>
          </w:rPr>
          <w:t>12.</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AWM Application Landscape</w:t>
        </w:r>
        <w:r w:rsidR="00CF39D7">
          <w:rPr>
            <w:noProof/>
            <w:webHidden/>
          </w:rPr>
          <w:tab/>
        </w:r>
        <w:r>
          <w:rPr>
            <w:noProof/>
            <w:webHidden/>
          </w:rPr>
          <w:fldChar w:fldCharType="begin"/>
        </w:r>
        <w:r w:rsidR="00CF39D7">
          <w:rPr>
            <w:noProof/>
            <w:webHidden/>
          </w:rPr>
          <w:instrText xml:space="preserve"> PAGEREF _Toc226530568 \h </w:instrText>
        </w:r>
        <w:r>
          <w:rPr>
            <w:noProof/>
            <w:webHidden/>
          </w:rPr>
        </w:r>
        <w:r>
          <w:rPr>
            <w:noProof/>
            <w:webHidden/>
          </w:rPr>
          <w:fldChar w:fldCharType="separate"/>
        </w:r>
        <w:r w:rsidR="00DE3464">
          <w:rPr>
            <w:noProof/>
            <w:webHidden/>
          </w:rPr>
          <w:t>120</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69" w:history="1">
        <w:r w:rsidR="00CF39D7" w:rsidRPr="003A4A8B">
          <w:rPr>
            <w:rStyle w:val="Hyperlink"/>
            <w:noProof/>
          </w:rPr>
          <w:t>12.1.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Front Office</w:t>
        </w:r>
        <w:r w:rsidR="00CF39D7">
          <w:rPr>
            <w:noProof/>
            <w:webHidden/>
          </w:rPr>
          <w:tab/>
        </w:r>
        <w:r>
          <w:rPr>
            <w:noProof/>
            <w:webHidden/>
          </w:rPr>
          <w:fldChar w:fldCharType="begin"/>
        </w:r>
        <w:r w:rsidR="00CF39D7">
          <w:rPr>
            <w:noProof/>
            <w:webHidden/>
          </w:rPr>
          <w:instrText xml:space="preserve"> PAGEREF _Toc226530569 \h </w:instrText>
        </w:r>
        <w:r>
          <w:rPr>
            <w:noProof/>
            <w:webHidden/>
          </w:rPr>
        </w:r>
        <w:r>
          <w:rPr>
            <w:noProof/>
            <w:webHidden/>
          </w:rPr>
          <w:fldChar w:fldCharType="separate"/>
        </w:r>
        <w:r w:rsidR="00DE3464">
          <w:rPr>
            <w:noProof/>
            <w:webHidden/>
          </w:rPr>
          <w:t>120</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70" w:history="1">
        <w:r w:rsidR="00CF39D7" w:rsidRPr="003A4A8B">
          <w:rPr>
            <w:rStyle w:val="Hyperlink"/>
            <w:noProof/>
          </w:rPr>
          <w:t>12.2.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Middle Office</w:t>
        </w:r>
        <w:r w:rsidR="00CF39D7">
          <w:rPr>
            <w:noProof/>
            <w:webHidden/>
          </w:rPr>
          <w:tab/>
        </w:r>
        <w:r>
          <w:rPr>
            <w:noProof/>
            <w:webHidden/>
          </w:rPr>
          <w:fldChar w:fldCharType="begin"/>
        </w:r>
        <w:r w:rsidR="00CF39D7">
          <w:rPr>
            <w:noProof/>
            <w:webHidden/>
          </w:rPr>
          <w:instrText xml:space="preserve"> PAGEREF _Toc226530570 \h </w:instrText>
        </w:r>
        <w:r>
          <w:rPr>
            <w:noProof/>
            <w:webHidden/>
          </w:rPr>
        </w:r>
        <w:r>
          <w:rPr>
            <w:noProof/>
            <w:webHidden/>
          </w:rPr>
          <w:fldChar w:fldCharType="separate"/>
        </w:r>
        <w:r w:rsidR="00DE3464">
          <w:rPr>
            <w:noProof/>
            <w:webHidden/>
          </w:rPr>
          <w:t>122</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71" w:history="1">
        <w:r w:rsidR="00CF39D7" w:rsidRPr="003A4A8B">
          <w:rPr>
            <w:rStyle w:val="Hyperlink"/>
            <w:noProof/>
          </w:rPr>
          <w:t>12.3.</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Back office</w:t>
        </w:r>
        <w:r w:rsidR="00CF39D7">
          <w:rPr>
            <w:noProof/>
            <w:webHidden/>
          </w:rPr>
          <w:tab/>
        </w:r>
        <w:r>
          <w:rPr>
            <w:noProof/>
            <w:webHidden/>
          </w:rPr>
          <w:fldChar w:fldCharType="begin"/>
        </w:r>
        <w:r w:rsidR="00CF39D7">
          <w:rPr>
            <w:noProof/>
            <w:webHidden/>
          </w:rPr>
          <w:instrText xml:space="preserve"> PAGEREF _Toc226530571 \h </w:instrText>
        </w:r>
        <w:r>
          <w:rPr>
            <w:noProof/>
            <w:webHidden/>
          </w:rPr>
        </w:r>
        <w:r>
          <w:rPr>
            <w:noProof/>
            <w:webHidden/>
          </w:rPr>
          <w:fldChar w:fldCharType="separate"/>
        </w:r>
        <w:r w:rsidR="00DE3464">
          <w:rPr>
            <w:noProof/>
            <w:webHidden/>
          </w:rPr>
          <w:t>124</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72" w:history="1">
        <w:r w:rsidR="00CF39D7" w:rsidRPr="003A4A8B">
          <w:rPr>
            <w:rStyle w:val="Hyperlink"/>
            <w:noProof/>
          </w:rPr>
          <w:t>12.4.</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Consolidated View</w:t>
        </w:r>
        <w:r w:rsidR="00CF39D7">
          <w:rPr>
            <w:noProof/>
            <w:webHidden/>
          </w:rPr>
          <w:tab/>
        </w:r>
        <w:r>
          <w:rPr>
            <w:noProof/>
            <w:webHidden/>
          </w:rPr>
          <w:fldChar w:fldCharType="begin"/>
        </w:r>
        <w:r w:rsidR="00CF39D7">
          <w:rPr>
            <w:noProof/>
            <w:webHidden/>
          </w:rPr>
          <w:instrText xml:space="preserve"> PAGEREF _Toc226530572 \h </w:instrText>
        </w:r>
        <w:r>
          <w:rPr>
            <w:noProof/>
            <w:webHidden/>
          </w:rPr>
        </w:r>
        <w:r>
          <w:rPr>
            <w:noProof/>
            <w:webHidden/>
          </w:rPr>
          <w:fldChar w:fldCharType="separate"/>
        </w:r>
        <w:r w:rsidR="00DE3464">
          <w:rPr>
            <w:noProof/>
            <w:webHidden/>
          </w:rPr>
          <w:t>127</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73" w:history="1">
        <w:r w:rsidR="00CF39D7" w:rsidRPr="003A4A8B">
          <w:rPr>
            <w:rStyle w:val="Hyperlink"/>
            <w:noProof/>
          </w:rPr>
          <w:t>12.5.</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Emergence of SOA in AWM Technology</w:t>
        </w:r>
        <w:r w:rsidR="00CF39D7">
          <w:rPr>
            <w:noProof/>
            <w:webHidden/>
          </w:rPr>
          <w:tab/>
        </w:r>
        <w:r>
          <w:rPr>
            <w:noProof/>
            <w:webHidden/>
          </w:rPr>
          <w:fldChar w:fldCharType="begin"/>
        </w:r>
        <w:r w:rsidR="00CF39D7">
          <w:rPr>
            <w:noProof/>
            <w:webHidden/>
          </w:rPr>
          <w:instrText xml:space="preserve"> PAGEREF _Toc226530573 \h </w:instrText>
        </w:r>
        <w:r>
          <w:rPr>
            <w:noProof/>
            <w:webHidden/>
          </w:rPr>
        </w:r>
        <w:r>
          <w:rPr>
            <w:noProof/>
            <w:webHidden/>
          </w:rPr>
          <w:fldChar w:fldCharType="separate"/>
        </w:r>
        <w:r w:rsidR="00DE3464">
          <w:rPr>
            <w:noProof/>
            <w:webHidden/>
          </w:rPr>
          <w:t>129</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74" w:history="1">
        <w:r w:rsidR="00CF39D7" w:rsidRPr="003A4A8B">
          <w:rPr>
            <w:rStyle w:val="Hyperlink"/>
            <w:noProof/>
          </w:rPr>
          <w:t>12.6.</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Technology Trends in AWM</w:t>
        </w:r>
        <w:r w:rsidR="00CF39D7">
          <w:rPr>
            <w:noProof/>
            <w:webHidden/>
          </w:rPr>
          <w:tab/>
        </w:r>
        <w:r>
          <w:rPr>
            <w:noProof/>
            <w:webHidden/>
          </w:rPr>
          <w:fldChar w:fldCharType="begin"/>
        </w:r>
        <w:r w:rsidR="00CF39D7">
          <w:rPr>
            <w:noProof/>
            <w:webHidden/>
          </w:rPr>
          <w:instrText xml:space="preserve"> PAGEREF _Toc226530574 \h </w:instrText>
        </w:r>
        <w:r>
          <w:rPr>
            <w:noProof/>
            <w:webHidden/>
          </w:rPr>
        </w:r>
        <w:r>
          <w:rPr>
            <w:noProof/>
            <w:webHidden/>
          </w:rPr>
          <w:fldChar w:fldCharType="separate"/>
        </w:r>
        <w:r w:rsidR="00DE3464">
          <w:rPr>
            <w:noProof/>
            <w:webHidden/>
          </w:rPr>
          <w:t>130</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75" w:history="1">
        <w:r w:rsidR="00CF39D7" w:rsidRPr="003A4A8B">
          <w:rPr>
            <w:rStyle w:val="Hyperlink"/>
            <w:noProof/>
          </w:rPr>
          <w:t>12.7.</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Case Study: Business – IT Assessment of an Investment Manager</w:t>
        </w:r>
        <w:r w:rsidR="00CF39D7">
          <w:rPr>
            <w:noProof/>
            <w:webHidden/>
          </w:rPr>
          <w:tab/>
        </w:r>
        <w:r>
          <w:rPr>
            <w:noProof/>
            <w:webHidden/>
          </w:rPr>
          <w:fldChar w:fldCharType="begin"/>
        </w:r>
        <w:r w:rsidR="00CF39D7">
          <w:rPr>
            <w:noProof/>
            <w:webHidden/>
          </w:rPr>
          <w:instrText xml:space="preserve"> PAGEREF _Toc226530575 \h </w:instrText>
        </w:r>
        <w:r>
          <w:rPr>
            <w:noProof/>
            <w:webHidden/>
          </w:rPr>
        </w:r>
        <w:r>
          <w:rPr>
            <w:noProof/>
            <w:webHidden/>
          </w:rPr>
          <w:fldChar w:fldCharType="separate"/>
        </w:r>
        <w:r w:rsidR="00DE3464">
          <w:rPr>
            <w:noProof/>
            <w:webHidden/>
          </w:rPr>
          <w:t>130</w:t>
        </w:r>
        <w:r>
          <w:rPr>
            <w:noProof/>
            <w:webHidden/>
          </w:rPr>
          <w:fldChar w:fldCharType="end"/>
        </w:r>
      </w:hyperlink>
    </w:p>
    <w:p w:rsidR="00CF39D7" w:rsidRDefault="00FC0435">
      <w:pPr>
        <w:pStyle w:val="TOC1"/>
        <w:tabs>
          <w:tab w:val="left" w:pos="480"/>
          <w:tab w:val="right" w:leader="dot" w:pos="8630"/>
        </w:tabs>
        <w:rPr>
          <w:rFonts w:asciiTheme="minorHAnsi" w:eastAsiaTheme="minorEastAsia" w:hAnsiTheme="minorHAnsi" w:cstheme="minorBidi"/>
          <w:b w:val="0"/>
          <w:bCs w:val="0"/>
          <w:caps w:val="0"/>
          <w:noProof/>
          <w:sz w:val="22"/>
          <w:szCs w:val="22"/>
          <w:lang w:bidi="kn-IN"/>
        </w:rPr>
      </w:pPr>
      <w:hyperlink w:anchor="_Toc226530576" w:history="1">
        <w:r w:rsidR="00CF39D7" w:rsidRPr="003A4A8B">
          <w:rPr>
            <w:rStyle w:val="Hyperlink"/>
            <w:noProof/>
          </w:rPr>
          <w:t>13.</w:t>
        </w:r>
        <w:r w:rsidR="00CF39D7">
          <w:rPr>
            <w:rFonts w:asciiTheme="minorHAnsi" w:eastAsiaTheme="minorEastAsia" w:hAnsiTheme="minorHAnsi" w:cstheme="minorBidi"/>
            <w:b w:val="0"/>
            <w:bCs w:val="0"/>
            <w:caps w:val="0"/>
            <w:noProof/>
            <w:sz w:val="22"/>
            <w:szCs w:val="22"/>
            <w:lang w:bidi="kn-IN"/>
          </w:rPr>
          <w:tab/>
        </w:r>
        <w:r w:rsidR="00CF39D7" w:rsidRPr="003A4A8B">
          <w:rPr>
            <w:rStyle w:val="Hyperlink"/>
            <w:noProof/>
          </w:rPr>
          <w:t>Glossary and References</w:t>
        </w:r>
        <w:r w:rsidR="00CF39D7">
          <w:rPr>
            <w:noProof/>
            <w:webHidden/>
          </w:rPr>
          <w:tab/>
        </w:r>
        <w:r>
          <w:rPr>
            <w:noProof/>
            <w:webHidden/>
          </w:rPr>
          <w:fldChar w:fldCharType="begin"/>
        </w:r>
        <w:r w:rsidR="00CF39D7">
          <w:rPr>
            <w:noProof/>
            <w:webHidden/>
          </w:rPr>
          <w:instrText xml:space="preserve"> PAGEREF _Toc226530576 \h </w:instrText>
        </w:r>
        <w:r>
          <w:rPr>
            <w:noProof/>
            <w:webHidden/>
          </w:rPr>
        </w:r>
        <w:r>
          <w:rPr>
            <w:noProof/>
            <w:webHidden/>
          </w:rPr>
          <w:fldChar w:fldCharType="separate"/>
        </w:r>
        <w:r w:rsidR="00DE3464">
          <w:rPr>
            <w:noProof/>
            <w:webHidden/>
          </w:rPr>
          <w:t>135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77" w:history="1">
        <w:r w:rsidR="00CF39D7" w:rsidRPr="003A4A8B">
          <w:rPr>
            <w:rStyle w:val="Hyperlink"/>
            <w:noProof/>
          </w:rPr>
          <w:t>13.1.</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Glossary</w:t>
        </w:r>
        <w:r w:rsidR="00CF39D7">
          <w:rPr>
            <w:noProof/>
            <w:webHidden/>
          </w:rPr>
          <w:tab/>
        </w:r>
        <w:r>
          <w:rPr>
            <w:noProof/>
            <w:webHidden/>
          </w:rPr>
          <w:fldChar w:fldCharType="begin"/>
        </w:r>
        <w:r w:rsidR="00CF39D7">
          <w:rPr>
            <w:noProof/>
            <w:webHidden/>
          </w:rPr>
          <w:instrText xml:space="preserve"> PAGEREF _Toc226530577 \h </w:instrText>
        </w:r>
        <w:r>
          <w:rPr>
            <w:noProof/>
            <w:webHidden/>
          </w:rPr>
        </w:r>
        <w:r>
          <w:rPr>
            <w:noProof/>
            <w:webHidden/>
          </w:rPr>
          <w:fldChar w:fldCharType="separate"/>
        </w:r>
        <w:r w:rsidR="00DE3464">
          <w:rPr>
            <w:noProof/>
            <w:webHidden/>
          </w:rPr>
          <w:t>135</w:t>
        </w:r>
        <w:r>
          <w:rPr>
            <w:noProof/>
            <w:webHidden/>
          </w:rPr>
          <w:fldChar w:fldCharType="end"/>
        </w:r>
      </w:hyperlink>
    </w:p>
    <w:p w:rsidR="00CF39D7" w:rsidRDefault="00FC0435">
      <w:pPr>
        <w:pStyle w:val="TOC2"/>
        <w:tabs>
          <w:tab w:val="left" w:pos="960"/>
          <w:tab w:val="right" w:leader="dot" w:pos="8630"/>
        </w:tabs>
        <w:rPr>
          <w:rFonts w:asciiTheme="minorHAnsi" w:eastAsiaTheme="minorEastAsia" w:hAnsiTheme="minorHAnsi" w:cstheme="minorBidi"/>
          <w:smallCaps w:val="0"/>
          <w:noProof/>
          <w:sz w:val="22"/>
          <w:szCs w:val="22"/>
          <w:lang w:bidi="kn-IN"/>
        </w:rPr>
      </w:pPr>
      <w:hyperlink w:anchor="_Toc226530578" w:history="1">
        <w:r w:rsidR="00CF39D7" w:rsidRPr="003A4A8B">
          <w:rPr>
            <w:rStyle w:val="Hyperlink"/>
            <w:noProof/>
          </w:rPr>
          <w:t>13.2.</w:t>
        </w:r>
        <w:r w:rsidR="00CF39D7">
          <w:rPr>
            <w:rFonts w:asciiTheme="minorHAnsi" w:eastAsiaTheme="minorEastAsia" w:hAnsiTheme="minorHAnsi" w:cstheme="minorBidi"/>
            <w:smallCaps w:val="0"/>
            <w:noProof/>
            <w:sz w:val="22"/>
            <w:szCs w:val="22"/>
            <w:lang w:bidi="kn-IN"/>
          </w:rPr>
          <w:tab/>
        </w:r>
        <w:r w:rsidR="00CF39D7" w:rsidRPr="003A4A8B">
          <w:rPr>
            <w:rStyle w:val="Hyperlink"/>
            <w:noProof/>
          </w:rPr>
          <w:t>References and Suggested Readings</w:t>
        </w:r>
        <w:r w:rsidR="00CF39D7">
          <w:rPr>
            <w:noProof/>
            <w:webHidden/>
          </w:rPr>
          <w:tab/>
        </w:r>
        <w:r>
          <w:rPr>
            <w:noProof/>
            <w:webHidden/>
          </w:rPr>
          <w:fldChar w:fldCharType="begin"/>
        </w:r>
        <w:r w:rsidR="00CF39D7">
          <w:rPr>
            <w:noProof/>
            <w:webHidden/>
          </w:rPr>
          <w:instrText xml:space="preserve"> PAGEREF _Toc226530578 \h </w:instrText>
        </w:r>
        <w:r>
          <w:rPr>
            <w:noProof/>
            <w:webHidden/>
          </w:rPr>
        </w:r>
        <w:r>
          <w:rPr>
            <w:noProof/>
            <w:webHidden/>
          </w:rPr>
          <w:fldChar w:fldCharType="separate"/>
        </w:r>
        <w:r w:rsidR="00DE3464">
          <w:rPr>
            <w:noProof/>
            <w:webHidden/>
          </w:rPr>
          <w:t>153</w:t>
        </w:r>
        <w:r>
          <w:rPr>
            <w:noProof/>
            <w:webHidden/>
          </w:rPr>
          <w:fldChar w:fldCharType="end"/>
        </w:r>
      </w:hyperlink>
    </w:p>
    <w:p w:rsidR="00512DC2" w:rsidRPr="009413F6" w:rsidRDefault="00FC0435" w:rsidP="003E3FB6">
      <w:pPr>
        <w:pStyle w:val="body"/>
        <w:spacing w:before="120" w:after="120" w:line="240" w:lineRule="atLeast"/>
        <w:jc w:val="both"/>
        <w:rPr>
          <w:rFonts w:ascii="Arial" w:hAnsi="Arial" w:cs="Arial"/>
          <w:szCs w:val="22"/>
        </w:rPr>
      </w:pPr>
      <w:r>
        <w:rPr>
          <w:rFonts w:ascii="Arial" w:hAnsi="Arial" w:cs="Arial"/>
          <w:b/>
          <w:bCs/>
          <w:caps/>
          <w:color w:val="auto"/>
          <w:sz w:val="20"/>
          <w:szCs w:val="22"/>
        </w:rPr>
        <w:fldChar w:fldCharType="end"/>
      </w:r>
    </w:p>
    <w:p w:rsidR="005F7119" w:rsidRPr="009413F6" w:rsidRDefault="005F7119" w:rsidP="00B83B4C">
      <w:pPr>
        <w:spacing w:before="120" w:after="120" w:line="240" w:lineRule="atLeast"/>
        <w:jc w:val="center"/>
        <w:rPr>
          <w:rFonts w:ascii="Arial" w:hAnsi="Arial" w:cs="Arial"/>
          <w:szCs w:val="22"/>
        </w:rPr>
      </w:pPr>
      <w:r w:rsidRPr="009413F6">
        <w:rPr>
          <w:rFonts w:ascii="Arial" w:hAnsi="Arial" w:cs="Arial"/>
          <w:szCs w:val="22"/>
        </w:rPr>
        <w:br w:type="page"/>
      </w:r>
    </w:p>
    <w:p w:rsidR="005F7119" w:rsidRPr="009413F6" w:rsidRDefault="005F7119" w:rsidP="003E3FB6">
      <w:pPr>
        <w:pStyle w:val="body"/>
        <w:spacing w:before="120" w:after="120" w:line="240" w:lineRule="atLeast"/>
        <w:jc w:val="both"/>
        <w:rPr>
          <w:rFonts w:ascii="Arial" w:hAnsi="Arial" w:cs="Arial"/>
          <w:szCs w:val="22"/>
        </w:rPr>
      </w:pPr>
    </w:p>
    <w:p w:rsidR="005F7119" w:rsidRPr="009413F6" w:rsidRDefault="00B11E0A" w:rsidP="0055549E">
      <w:pPr>
        <w:pStyle w:val="SectionHeading"/>
        <w:spacing w:before="120" w:line="240" w:lineRule="atLeast"/>
        <w:rPr>
          <w:rFonts w:cs="Arial"/>
        </w:rPr>
      </w:pPr>
      <w:bookmarkStart w:id="0" w:name="_Toc134366440"/>
      <w:bookmarkStart w:id="1" w:name="_Toc226530507"/>
      <w:r w:rsidRPr="009413F6">
        <w:rPr>
          <w:rFonts w:cs="Arial"/>
        </w:rPr>
        <w:t>Section I</w:t>
      </w:r>
      <w:r w:rsidR="00FA319A" w:rsidRPr="009413F6">
        <w:rPr>
          <w:rFonts w:cs="Arial"/>
        </w:rPr>
        <w:t>:</w:t>
      </w:r>
      <w:bookmarkEnd w:id="0"/>
      <w:bookmarkEnd w:id="1"/>
    </w:p>
    <w:p w:rsidR="00391A6A" w:rsidRPr="009413F6" w:rsidRDefault="006A137D" w:rsidP="0055549E">
      <w:pPr>
        <w:pStyle w:val="SectionHeading"/>
        <w:spacing w:before="120" w:line="240" w:lineRule="atLeast"/>
        <w:rPr>
          <w:rFonts w:cs="Arial"/>
        </w:rPr>
      </w:pPr>
      <w:bookmarkStart w:id="2" w:name="_Toc134366441"/>
      <w:bookmarkStart w:id="3" w:name="_Toc226530508"/>
      <w:r w:rsidRPr="009413F6">
        <w:rPr>
          <w:rFonts w:cs="Arial"/>
        </w:rPr>
        <w:t xml:space="preserve">Theories of </w:t>
      </w:r>
      <w:r w:rsidR="00391A6A" w:rsidRPr="009413F6">
        <w:rPr>
          <w:rFonts w:cs="Arial"/>
        </w:rPr>
        <w:t xml:space="preserve">Portfolio </w:t>
      </w:r>
      <w:r w:rsidRPr="009413F6">
        <w:rPr>
          <w:rFonts w:cs="Arial"/>
        </w:rPr>
        <w:t>Management</w:t>
      </w:r>
      <w:bookmarkEnd w:id="2"/>
      <w:bookmarkEnd w:id="3"/>
    </w:p>
    <w:p w:rsidR="005F7119" w:rsidRPr="009413F6" w:rsidRDefault="005F7119" w:rsidP="003E3FB6">
      <w:pPr>
        <w:pStyle w:val="body"/>
        <w:spacing w:before="120" w:after="120" w:line="240" w:lineRule="atLeast"/>
        <w:jc w:val="both"/>
        <w:rPr>
          <w:rFonts w:ascii="Arial" w:hAnsi="Arial" w:cs="Arial"/>
        </w:rPr>
      </w:pPr>
    </w:p>
    <w:p w:rsidR="00391A6A" w:rsidRPr="009413F6" w:rsidRDefault="0055549E" w:rsidP="00B83B4C">
      <w:pPr>
        <w:pStyle w:val="body"/>
        <w:spacing w:line="240" w:lineRule="atLeast"/>
        <w:jc w:val="both"/>
        <w:rPr>
          <w:rFonts w:ascii="Arial" w:hAnsi="Arial" w:cs="Arial"/>
        </w:rPr>
      </w:pPr>
      <w:r>
        <w:rPr>
          <w:rFonts w:ascii="Arial" w:hAnsi="Arial" w:cs="Arial"/>
        </w:rPr>
        <w:br w:type="page"/>
      </w:r>
    </w:p>
    <w:p w:rsidR="00440E29" w:rsidRPr="004B3BDF" w:rsidRDefault="00440E29" w:rsidP="00440E29">
      <w:pPr>
        <w:pStyle w:val="Heading1"/>
        <w:keepNext w:val="0"/>
        <w:pageBreakBefore w:val="0"/>
        <w:spacing w:before="120" w:after="120"/>
        <w:ind w:left="0" w:firstLine="0"/>
        <w:jc w:val="both"/>
        <w:rPr>
          <w:sz w:val="22"/>
          <w:szCs w:val="22"/>
        </w:rPr>
      </w:pPr>
      <w:bookmarkStart w:id="4" w:name="_Toc226530509"/>
      <w:bookmarkStart w:id="5" w:name="_Toc134366442"/>
      <w:r w:rsidRPr="004B3BDF">
        <w:rPr>
          <w:sz w:val="22"/>
          <w:szCs w:val="22"/>
        </w:rPr>
        <w:lastRenderedPageBreak/>
        <w:t>Theories of Portfolio Management</w:t>
      </w:r>
      <w:bookmarkEnd w:id="4"/>
    </w:p>
    <w:p w:rsidR="00440E29" w:rsidRPr="00FA58A1" w:rsidRDefault="00440E29" w:rsidP="00FA58A1">
      <w:pPr>
        <w:pStyle w:val="Body1"/>
        <w:rPr>
          <w:rFonts w:cs="Arial"/>
        </w:rPr>
      </w:pPr>
      <w:r w:rsidRPr="00FA58A1">
        <w:rPr>
          <w:rFonts w:cs="Arial"/>
        </w:rPr>
        <w:t>There are various theories used by portfolio managers to explain the behavior of the market and in turn, to make and support investment decisions designed to achieve certain investment goals. The main theories in this regard are:</w:t>
      </w:r>
    </w:p>
    <w:p w:rsidR="00440E29" w:rsidRPr="00FA58A1" w:rsidRDefault="00440E29" w:rsidP="00FA58A1">
      <w:pPr>
        <w:pStyle w:val="BodyText-Bullets2"/>
        <w:spacing w:before="120" w:line="240" w:lineRule="auto"/>
        <w:ind w:left="0" w:firstLine="0"/>
        <w:outlineLvl w:val="9"/>
        <w:rPr>
          <w:szCs w:val="20"/>
        </w:rPr>
      </w:pPr>
      <w:r w:rsidRPr="00FA58A1">
        <w:rPr>
          <w:szCs w:val="20"/>
        </w:rPr>
        <w:t xml:space="preserve">Modern Portfolio Theory (MPT) based on Markowitz’s </w:t>
      </w:r>
      <w:r w:rsidRPr="00FA58A1">
        <w:rPr>
          <w:i/>
          <w:szCs w:val="20"/>
        </w:rPr>
        <w:t>Efficient Frontier</w:t>
      </w:r>
      <w:r w:rsidRPr="00FA58A1">
        <w:rPr>
          <w:szCs w:val="20"/>
        </w:rPr>
        <w:t>,</w:t>
      </w:r>
    </w:p>
    <w:p w:rsidR="00440E29" w:rsidRPr="00FA58A1" w:rsidRDefault="00440E29" w:rsidP="00FA58A1">
      <w:pPr>
        <w:pStyle w:val="BodyText-Bullets2"/>
        <w:spacing w:before="120" w:line="240" w:lineRule="auto"/>
        <w:ind w:left="0" w:firstLine="0"/>
        <w:outlineLvl w:val="9"/>
        <w:rPr>
          <w:szCs w:val="20"/>
        </w:rPr>
      </w:pPr>
      <w:r w:rsidRPr="00FA58A1">
        <w:rPr>
          <w:szCs w:val="20"/>
        </w:rPr>
        <w:t>Capital Asset Pricing Model (CAPM), and</w:t>
      </w:r>
    </w:p>
    <w:p w:rsidR="00440E29" w:rsidRPr="00FA58A1" w:rsidRDefault="00440E29" w:rsidP="00FA58A1">
      <w:pPr>
        <w:pStyle w:val="BodyText-Bullets2"/>
        <w:spacing w:before="120" w:line="240" w:lineRule="auto"/>
        <w:ind w:left="0" w:firstLine="0"/>
        <w:outlineLvl w:val="9"/>
        <w:rPr>
          <w:szCs w:val="20"/>
        </w:rPr>
      </w:pPr>
      <w:r w:rsidRPr="00FA58A1">
        <w:rPr>
          <w:szCs w:val="20"/>
        </w:rPr>
        <w:t>Arbitrage Pricing Theory</w:t>
      </w:r>
    </w:p>
    <w:p w:rsidR="00440E29" w:rsidRPr="004B3BDF" w:rsidRDefault="00440E29" w:rsidP="00440E29">
      <w:pPr>
        <w:pStyle w:val="Heading2"/>
        <w:keepNext w:val="0"/>
        <w:spacing w:before="120" w:after="120"/>
        <w:ind w:left="0" w:firstLine="0"/>
        <w:jc w:val="both"/>
        <w:rPr>
          <w:sz w:val="22"/>
          <w:szCs w:val="22"/>
        </w:rPr>
      </w:pPr>
      <w:bookmarkStart w:id="6" w:name="_Toc226530510"/>
      <w:r w:rsidRPr="004B3BDF">
        <w:rPr>
          <w:sz w:val="22"/>
          <w:szCs w:val="22"/>
        </w:rPr>
        <w:t>Modern Portfolio Theory and CAPM</w:t>
      </w:r>
      <w:bookmarkEnd w:id="6"/>
    </w:p>
    <w:p w:rsidR="00440E29" w:rsidRPr="00FA58A1" w:rsidRDefault="00440E29" w:rsidP="00FA58A1">
      <w:pPr>
        <w:pStyle w:val="body"/>
        <w:spacing w:line="240" w:lineRule="auto"/>
        <w:jc w:val="both"/>
        <w:rPr>
          <w:rFonts w:ascii="Arial" w:hAnsi="Arial" w:cs="Arial"/>
          <w:sz w:val="20"/>
          <w:szCs w:val="20"/>
        </w:rPr>
      </w:pPr>
      <w:r w:rsidRPr="00FA58A1">
        <w:rPr>
          <w:rFonts w:ascii="Arial" w:hAnsi="Arial" w:cs="Arial"/>
          <w:sz w:val="20"/>
          <w:szCs w:val="20"/>
        </w:rPr>
        <w:t xml:space="preserve">Modern portfolio theory is the philosophical opposite of traditional stock picking. It is the creation of economists, who try to understand the market as a whole, rather than business analysts, who look for what makes each investment opportunity unique. Investments are described statistically, </w:t>
      </w:r>
      <w:proofErr w:type="gramStart"/>
      <w:r w:rsidRPr="00FA58A1">
        <w:rPr>
          <w:rFonts w:ascii="Arial" w:hAnsi="Arial" w:cs="Arial"/>
          <w:sz w:val="20"/>
          <w:szCs w:val="20"/>
        </w:rPr>
        <w:t>in</w:t>
      </w:r>
      <w:proofErr w:type="gramEnd"/>
      <w:r w:rsidRPr="00FA58A1">
        <w:rPr>
          <w:rFonts w:ascii="Arial" w:hAnsi="Arial" w:cs="Arial"/>
          <w:sz w:val="20"/>
          <w:szCs w:val="20"/>
        </w:rPr>
        <w:t xml:space="preserve"> terms of their expected long-term return rate and their expected short-term volatility. The volatility is equated with "risk", measuring how much worse than average an investment's bad years are likely to be. The goal is to identify your acceptable level of risk tolerance, and then to find a portfolio with the maximum expected return for that level of risk</w:t>
      </w:r>
      <w:r w:rsidRPr="00FA58A1">
        <w:rPr>
          <w:rStyle w:val="FootnoteReference"/>
          <w:rFonts w:ascii="Arial" w:hAnsi="Arial" w:cs="Arial"/>
          <w:sz w:val="20"/>
          <w:szCs w:val="20"/>
        </w:rPr>
        <w:footnoteReference w:id="1"/>
      </w:r>
      <w:r w:rsidRPr="00FA58A1">
        <w:rPr>
          <w:rFonts w:ascii="Arial" w:hAnsi="Arial" w:cs="Arial"/>
          <w:sz w:val="20"/>
          <w:szCs w:val="20"/>
        </w:rPr>
        <w:t>.</w:t>
      </w:r>
    </w:p>
    <w:p w:rsidR="00440E29" w:rsidRPr="004B3BDF" w:rsidRDefault="00440E29" w:rsidP="00440E29">
      <w:pPr>
        <w:pStyle w:val="Heading3"/>
        <w:keepNext w:val="0"/>
        <w:tabs>
          <w:tab w:val="clear" w:pos="6444"/>
          <w:tab w:val="num" w:pos="540"/>
        </w:tabs>
        <w:spacing w:before="120" w:after="120"/>
        <w:ind w:left="0" w:firstLine="0"/>
        <w:jc w:val="both"/>
        <w:rPr>
          <w:sz w:val="22"/>
          <w:szCs w:val="22"/>
        </w:rPr>
      </w:pPr>
      <w:r w:rsidRPr="004B3BDF">
        <w:rPr>
          <w:sz w:val="22"/>
          <w:szCs w:val="22"/>
        </w:rPr>
        <w:t>Efficient Portfolio</w:t>
      </w:r>
    </w:p>
    <w:p w:rsidR="00440E29" w:rsidRPr="00FA58A1" w:rsidRDefault="00440E29" w:rsidP="00FA58A1">
      <w:pPr>
        <w:pStyle w:val="body"/>
        <w:spacing w:line="240" w:lineRule="auto"/>
        <w:jc w:val="both"/>
        <w:rPr>
          <w:rFonts w:ascii="Arial" w:hAnsi="Arial" w:cs="Arial"/>
          <w:sz w:val="20"/>
          <w:szCs w:val="20"/>
        </w:rPr>
      </w:pPr>
      <w:r w:rsidRPr="00FA58A1">
        <w:rPr>
          <w:rFonts w:ascii="Arial" w:hAnsi="Arial" w:cs="Arial"/>
          <w:sz w:val="20"/>
          <w:szCs w:val="20"/>
        </w:rPr>
        <w:t xml:space="preserve">The science of risk-efficient portfolios is associated with a couple of guys (a couple of Nobel laureates, actually) named Harry Markowitz and Bill Sharpe. </w:t>
      </w:r>
    </w:p>
    <w:p w:rsidR="00440E29" w:rsidRPr="00FA58A1" w:rsidRDefault="00440E29" w:rsidP="00FA58A1">
      <w:pPr>
        <w:pStyle w:val="body"/>
        <w:spacing w:line="240" w:lineRule="auto"/>
        <w:jc w:val="both"/>
        <w:rPr>
          <w:rFonts w:ascii="Arial" w:hAnsi="Arial" w:cs="Arial"/>
          <w:sz w:val="20"/>
          <w:szCs w:val="20"/>
        </w:rPr>
      </w:pPr>
      <w:r w:rsidRPr="00FA58A1">
        <w:rPr>
          <w:rFonts w:ascii="Arial" w:hAnsi="Arial" w:cs="Arial"/>
          <w:sz w:val="20"/>
          <w:szCs w:val="20"/>
        </w:rPr>
        <w:t>Suppose you have data for a collection of securities (like the S &amp; P 500 stocks, for example), and you graph the return rates and standard deviations for these securities, and for all portfolios you can get by allocating among them. Markowitz showed that you get a region bounded by an upward-sloping curve, which he called the efficient frontier.</w:t>
      </w:r>
    </w:p>
    <w:p w:rsidR="00440E29" w:rsidRPr="004B3BDF" w:rsidRDefault="00440E29" w:rsidP="00440E29">
      <w:pPr>
        <w:pStyle w:val="Caption"/>
        <w:jc w:val="center"/>
        <w:rPr>
          <w:rFonts w:ascii="Arial" w:hAnsi="Arial" w:cs="Arial"/>
          <w:sz w:val="22"/>
          <w:szCs w:val="22"/>
        </w:rPr>
      </w:pPr>
      <w:bookmarkStart w:id="7" w:name="_Toc207007207"/>
      <w:r w:rsidRPr="004B3BDF">
        <w:rPr>
          <w:rFonts w:ascii="Arial" w:hAnsi="Arial" w:cs="Arial"/>
          <w:sz w:val="22"/>
          <w:szCs w:val="22"/>
        </w:rPr>
        <w:t xml:space="preserve">Figure </w:t>
      </w:r>
      <w:r w:rsidR="00FC0435" w:rsidRPr="004B3BDF">
        <w:rPr>
          <w:rFonts w:ascii="Arial" w:hAnsi="Arial" w:cs="Arial"/>
          <w:sz w:val="22"/>
          <w:szCs w:val="22"/>
        </w:rPr>
        <w:fldChar w:fldCharType="begin"/>
      </w:r>
      <w:r w:rsidRPr="004B3BDF">
        <w:rPr>
          <w:rFonts w:ascii="Arial" w:hAnsi="Arial" w:cs="Arial"/>
          <w:sz w:val="22"/>
          <w:szCs w:val="22"/>
        </w:rPr>
        <w:instrText xml:space="preserve"> STYLEREF 1 \s </w:instrText>
      </w:r>
      <w:r w:rsidR="00FC0435" w:rsidRPr="004B3BDF">
        <w:rPr>
          <w:rFonts w:ascii="Arial" w:hAnsi="Arial" w:cs="Arial"/>
          <w:sz w:val="22"/>
          <w:szCs w:val="22"/>
        </w:rPr>
        <w:fldChar w:fldCharType="separate"/>
      </w:r>
      <w:r w:rsidR="0060131C">
        <w:rPr>
          <w:rFonts w:ascii="Arial" w:hAnsi="Arial" w:cs="Arial"/>
          <w:noProof/>
          <w:sz w:val="22"/>
          <w:szCs w:val="22"/>
        </w:rPr>
        <w:t>1</w:t>
      </w:r>
      <w:r w:rsidR="00FC0435" w:rsidRPr="004B3BDF">
        <w:rPr>
          <w:rFonts w:ascii="Arial" w:hAnsi="Arial" w:cs="Arial"/>
          <w:sz w:val="22"/>
          <w:szCs w:val="22"/>
        </w:rPr>
        <w:fldChar w:fldCharType="end"/>
      </w:r>
      <w:r w:rsidRPr="004B3BDF">
        <w:rPr>
          <w:rFonts w:ascii="Arial" w:hAnsi="Arial" w:cs="Arial"/>
          <w:sz w:val="22"/>
          <w:szCs w:val="22"/>
        </w:rPr>
        <w:noBreakHyphen/>
      </w:r>
      <w:r w:rsidR="00FC0435" w:rsidRPr="004B3BDF">
        <w:rPr>
          <w:rFonts w:ascii="Arial" w:hAnsi="Arial" w:cs="Arial"/>
          <w:sz w:val="22"/>
          <w:szCs w:val="22"/>
        </w:rPr>
        <w:fldChar w:fldCharType="begin"/>
      </w:r>
      <w:r w:rsidRPr="004B3BDF">
        <w:rPr>
          <w:rFonts w:ascii="Arial" w:hAnsi="Arial" w:cs="Arial"/>
          <w:sz w:val="22"/>
          <w:szCs w:val="22"/>
        </w:rPr>
        <w:instrText xml:space="preserve"> SEQ Figure \* ARABIC \s 1 </w:instrText>
      </w:r>
      <w:r w:rsidR="00FC0435" w:rsidRPr="004B3BDF">
        <w:rPr>
          <w:rFonts w:ascii="Arial" w:hAnsi="Arial" w:cs="Arial"/>
          <w:sz w:val="22"/>
          <w:szCs w:val="22"/>
        </w:rPr>
        <w:fldChar w:fldCharType="separate"/>
      </w:r>
      <w:r w:rsidR="0060131C">
        <w:rPr>
          <w:rFonts w:ascii="Arial" w:hAnsi="Arial" w:cs="Arial"/>
          <w:noProof/>
          <w:sz w:val="22"/>
          <w:szCs w:val="22"/>
        </w:rPr>
        <w:t>1</w:t>
      </w:r>
      <w:r w:rsidR="00FC0435" w:rsidRPr="004B3BDF">
        <w:rPr>
          <w:rFonts w:ascii="Arial" w:hAnsi="Arial" w:cs="Arial"/>
          <w:sz w:val="22"/>
          <w:szCs w:val="22"/>
        </w:rPr>
        <w:fldChar w:fldCharType="end"/>
      </w:r>
      <w:r w:rsidRPr="004B3BDF">
        <w:rPr>
          <w:rFonts w:ascii="Arial" w:hAnsi="Arial" w:cs="Arial"/>
          <w:sz w:val="22"/>
          <w:szCs w:val="22"/>
        </w:rPr>
        <w:t>: E</w:t>
      </w:r>
      <w:r w:rsidR="00395D31">
        <w:rPr>
          <w:rFonts w:ascii="Arial" w:hAnsi="Arial" w:cs="Arial"/>
          <w:sz w:val="22"/>
          <w:szCs w:val="22"/>
        </w:rPr>
        <w:t>FFICIENT</w:t>
      </w:r>
      <w:r w:rsidRPr="004B3BDF">
        <w:rPr>
          <w:rFonts w:ascii="Arial" w:hAnsi="Arial" w:cs="Arial"/>
          <w:sz w:val="22"/>
          <w:szCs w:val="22"/>
        </w:rPr>
        <w:t xml:space="preserve"> F</w:t>
      </w:r>
      <w:r w:rsidR="00395D31">
        <w:rPr>
          <w:rFonts w:ascii="Arial" w:hAnsi="Arial" w:cs="Arial"/>
          <w:sz w:val="22"/>
          <w:szCs w:val="22"/>
        </w:rPr>
        <w:t>RONTIER</w:t>
      </w:r>
      <w:r w:rsidR="00C164AF">
        <w:rPr>
          <w:rFonts w:ascii="Arial" w:hAnsi="Arial" w:cs="Arial"/>
          <w:noProof/>
          <w:sz w:val="22"/>
          <w:szCs w:val="22"/>
        </w:rPr>
        <w:drawing>
          <wp:anchor distT="91440" distB="91440" distL="114300" distR="114300" simplePos="0" relativeHeight="251653632" behindDoc="0" locked="0" layoutInCell="1" allowOverlap="0">
            <wp:simplePos x="0" y="0"/>
            <wp:positionH relativeFrom="column">
              <wp:align>center</wp:align>
            </wp:positionH>
            <wp:positionV relativeFrom="paragraph">
              <wp:posOffset>179705</wp:posOffset>
            </wp:positionV>
            <wp:extent cx="3905250" cy="2333625"/>
            <wp:effectExtent l="19050" t="0" r="0" b="0"/>
            <wp:wrapTopAndBottom/>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2" cstate="print"/>
                    <a:srcRect/>
                    <a:stretch>
                      <a:fillRect/>
                    </a:stretch>
                  </pic:blipFill>
                  <pic:spPr bwMode="auto">
                    <a:xfrm>
                      <a:off x="0" y="0"/>
                      <a:ext cx="3905250" cy="2333625"/>
                    </a:xfrm>
                    <a:prstGeom prst="rect">
                      <a:avLst/>
                    </a:prstGeom>
                    <a:noFill/>
                    <a:ln w="9525">
                      <a:noFill/>
                      <a:miter lim="800000"/>
                      <a:headEnd/>
                      <a:tailEnd/>
                    </a:ln>
                  </pic:spPr>
                </pic:pic>
              </a:graphicData>
            </a:graphic>
          </wp:anchor>
        </w:drawing>
      </w:r>
      <w:bookmarkEnd w:id="7"/>
    </w:p>
    <w:p w:rsidR="00440E29" w:rsidRPr="004B3BDF" w:rsidRDefault="00440E29" w:rsidP="00440E29">
      <w:pPr>
        <w:pStyle w:val="body"/>
        <w:spacing w:line="240" w:lineRule="auto"/>
        <w:rPr>
          <w:rFonts w:ascii="Arial" w:hAnsi="Arial" w:cs="Arial"/>
          <w:sz w:val="22"/>
          <w:szCs w:val="22"/>
        </w:rPr>
      </w:pPr>
    </w:p>
    <w:p w:rsidR="00440E29" w:rsidRPr="00FA58A1" w:rsidRDefault="00440E29" w:rsidP="00FA58A1">
      <w:pPr>
        <w:spacing w:before="120" w:after="120"/>
        <w:jc w:val="both"/>
        <w:rPr>
          <w:rFonts w:ascii="Arial" w:hAnsi="Arial" w:cs="Arial"/>
          <w:sz w:val="20"/>
          <w:szCs w:val="20"/>
        </w:rPr>
      </w:pPr>
      <w:r w:rsidRPr="00FA58A1">
        <w:rPr>
          <w:rFonts w:ascii="Arial" w:hAnsi="Arial" w:cs="Arial"/>
          <w:sz w:val="20"/>
          <w:szCs w:val="20"/>
        </w:rPr>
        <w:lastRenderedPageBreak/>
        <w:t>An efficient portfolio is a portfolio that has smallest risk for a given level of expected return or highest expected return for a given level of risk. To obtain an efficient portfolio one needs to compute the optimum weights of securities that would yield minimum variance for a given level of return. Efficient frontier is the graph that is obtained when all efficient portfolios, i.e. efficient portfolios for at all levels of risk are plotted on a graph.</w:t>
      </w:r>
    </w:p>
    <w:p w:rsidR="00440E29" w:rsidRPr="00A75FD9" w:rsidRDefault="00440E29" w:rsidP="00440E29">
      <w:pPr>
        <w:pStyle w:val="Heading4"/>
        <w:keepNext w:val="0"/>
        <w:spacing w:before="120" w:after="120"/>
        <w:jc w:val="both"/>
        <w:rPr>
          <w:rFonts w:cs="Arial"/>
          <w:b/>
          <w:sz w:val="22"/>
          <w:szCs w:val="22"/>
        </w:rPr>
      </w:pPr>
      <w:r w:rsidRPr="00A75FD9">
        <w:rPr>
          <w:rFonts w:cs="Arial"/>
          <w:b/>
          <w:sz w:val="22"/>
          <w:szCs w:val="22"/>
        </w:rPr>
        <w:t>Salient Points</w:t>
      </w:r>
    </w:p>
    <w:p w:rsidR="00440E29" w:rsidRPr="00FA58A1" w:rsidRDefault="00440E29" w:rsidP="00FA58A1">
      <w:pPr>
        <w:pStyle w:val="BodyText-Bullets1"/>
        <w:numPr>
          <w:ilvl w:val="0"/>
          <w:numId w:val="32"/>
        </w:numPr>
        <w:spacing w:before="120" w:line="240" w:lineRule="auto"/>
        <w:rPr>
          <w:rFonts w:cs="Arial"/>
          <w:szCs w:val="20"/>
        </w:rPr>
      </w:pPr>
      <w:r w:rsidRPr="00FA58A1">
        <w:rPr>
          <w:rFonts w:cs="Arial"/>
          <w:szCs w:val="20"/>
        </w:rPr>
        <w:t>The above Markowitz model does not specify one single optimum portfolio. Rather it generates the efficient set of portfolio, all of which are optimal portfolios for a given level of risk.</w:t>
      </w:r>
    </w:p>
    <w:p w:rsidR="00440E29" w:rsidRPr="00FA58A1" w:rsidRDefault="00440E29" w:rsidP="00FA58A1">
      <w:pPr>
        <w:pStyle w:val="BodyText-Bullets1"/>
        <w:numPr>
          <w:ilvl w:val="0"/>
          <w:numId w:val="32"/>
        </w:numPr>
        <w:spacing w:before="120" w:line="240" w:lineRule="auto"/>
        <w:rPr>
          <w:rFonts w:cs="Arial"/>
          <w:szCs w:val="20"/>
        </w:rPr>
      </w:pPr>
      <w:r w:rsidRPr="00FA58A1">
        <w:rPr>
          <w:rFonts w:cs="Arial"/>
          <w:szCs w:val="20"/>
        </w:rPr>
        <w:t>Does not address the issue of borrowing money to purchase assets. Investors are not allowed to leverage.</w:t>
      </w:r>
    </w:p>
    <w:p w:rsidR="00440E29" w:rsidRPr="00FA58A1" w:rsidRDefault="00440E29" w:rsidP="00FA58A1">
      <w:pPr>
        <w:pStyle w:val="BodyText-Bullets1"/>
        <w:numPr>
          <w:ilvl w:val="0"/>
          <w:numId w:val="32"/>
        </w:numPr>
        <w:spacing w:before="120" w:line="240" w:lineRule="auto"/>
        <w:rPr>
          <w:rFonts w:cs="Arial"/>
          <w:szCs w:val="20"/>
        </w:rPr>
      </w:pPr>
      <w:r w:rsidRPr="00FA58A1">
        <w:rPr>
          <w:rFonts w:cs="Arial"/>
          <w:szCs w:val="20"/>
        </w:rPr>
        <w:t>No risk free asset involved</w:t>
      </w:r>
    </w:p>
    <w:p w:rsidR="00440E29" w:rsidRPr="00FA58A1" w:rsidRDefault="00440E29" w:rsidP="00FA58A1">
      <w:pPr>
        <w:pStyle w:val="BodyText-Bullets1"/>
        <w:numPr>
          <w:ilvl w:val="0"/>
          <w:numId w:val="32"/>
        </w:numPr>
        <w:spacing w:before="120" w:line="240" w:lineRule="auto"/>
        <w:rPr>
          <w:rFonts w:cs="Arial"/>
          <w:szCs w:val="20"/>
        </w:rPr>
      </w:pPr>
      <w:r w:rsidRPr="00FA58A1">
        <w:rPr>
          <w:rFonts w:cs="Arial"/>
          <w:szCs w:val="20"/>
        </w:rPr>
        <w:t>Different investors would get different optimal portfolios based on their risk preferences</w:t>
      </w:r>
    </w:p>
    <w:p w:rsidR="00440E29" w:rsidRPr="004B3BDF" w:rsidRDefault="00440E29" w:rsidP="00440E29">
      <w:pPr>
        <w:pStyle w:val="Heading3"/>
        <w:keepNext w:val="0"/>
        <w:tabs>
          <w:tab w:val="clear" w:pos="6444"/>
          <w:tab w:val="num" w:pos="540"/>
        </w:tabs>
        <w:spacing w:before="120" w:after="120"/>
        <w:ind w:left="0" w:firstLine="0"/>
        <w:jc w:val="both"/>
        <w:rPr>
          <w:sz w:val="22"/>
          <w:szCs w:val="22"/>
        </w:rPr>
      </w:pPr>
      <w:r w:rsidRPr="004B3BDF">
        <w:rPr>
          <w:sz w:val="22"/>
          <w:szCs w:val="22"/>
        </w:rPr>
        <w:t>Capital Asset Pricing Model (CAPM)</w:t>
      </w:r>
    </w:p>
    <w:p w:rsidR="00440E29" w:rsidRPr="00FA58A1" w:rsidRDefault="00440E29" w:rsidP="00FA58A1">
      <w:pPr>
        <w:spacing w:before="120" w:after="120"/>
        <w:jc w:val="both"/>
        <w:rPr>
          <w:rFonts w:ascii="Arial" w:hAnsi="Arial" w:cs="Arial"/>
          <w:sz w:val="20"/>
          <w:szCs w:val="20"/>
        </w:rPr>
      </w:pPr>
      <w:r w:rsidRPr="00FA58A1">
        <w:rPr>
          <w:rFonts w:ascii="Arial" w:hAnsi="Arial" w:cs="Arial"/>
          <w:sz w:val="20"/>
          <w:szCs w:val="20"/>
        </w:rPr>
        <w:t>CAPM is principally concerned with quantifying the expected return on a security, invested within a well-diversified portfolio, over and above a risk-free rate, given the security’s systematic risk that cannot be diversified away. CAPM then, implies that investors will only be rewarded for their exposure to un</w:t>
      </w:r>
      <w:r w:rsidR="0057283B">
        <w:rPr>
          <w:rFonts w:ascii="Arial" w:hAnsi="Arial" w:cs="Arial"/>
          <w:sz w:val="20"/>
          <w:szCs w:val="20"/>
        </w:rPr>
        <w:t>-</w:t>
      </w:r>
      <w:r w:rsidRPr="00FA58A1">
        <w:rPr>
          <w:rFonts w:ascii="Arial" w:hAnsi="Arial" w:cs="Arial"/>
          <w:sz w:val="20"/>
          <w:szCs w:val="20"/>
        </w:rPr>
        <w:t>diversifiable systematic risk and not for company specific risk, which can be diversified away when combined with other securities in a portfolio.</w:t>
      </w:r>
    </w:p>
    <w:p w:rsidR="00440E29" w:rsidRPr="0057283B" w:rsidRDefault="0057283B" w:rsidP="00FA58A1">
      <w:pPr>
        <w:spacing w:before="120" w:after="120"/>
        <w:jc w:val="both"/>
        <w:rPr>
          <w:rFonts w:ascii="Arial" w:hAnsi="Arial" w:cs="Arial"/>
          <w:sz w:val="20"/>
          <w:szCs w:val="20"/>
        </w:rPr>
      </w:pPr>
      <w:proofErr w:type="gramStart"/>
      <w:r w:rsidRPr="0057283B">
        <w:rPr>
          <w:rFonts w:ascii="Arial" w:hAnsi="Arial" w:cs="Arial"/>
          <w:sz w:val="20"/>
          <w:szCs w:val="20"/>
        </w:rPr>
        <w:t>i.e</w:t>
      </w:r>
      <w:proofErr w:type="gramEnd"/>
      <w:r w:rsidRPr="0057283B">
        <w:rPr>
          <w:rFonts w:ascii="Arial" w:hAnsi="Arial" w:cs="Arial"/>
          <w:sz w:val="20"/>
          <w:szCs w:val="20"/>
        </w:rPr>
        <w:t>.</w:t>
      </w:r>
      <w:r w:rsidR="00440E29" w:rsidRPr="0057283B">
        <w:rPr>
          <w:rFonts w:ascii="Arial" w:hAnsi="Arial" w:cs="Arial"/>
          <w:sz w:val="20"/>
          <w:szCs w:val="20"/>
        </w:rPr>
        <w:t xml:space="preserve"> CAPM determines a theoretically appropriate required </w:t>
      </w:r>
      <w:hyperlink r:id="rId13" w:tooltip="Rate of return" w:history="1">
        <w:r w:rsidR="00440E29" w:rsidRPr="0057283B">
          <w:rPr>
            <w:rStyle w:val="Hyperlink"/>
            <w:rFonts w:ascii="Arial" w:hAnsi="Arial" w:cs="Arial"/>
            <w:color w:val="auto"/>
            <w:sz w:val="20"/>
            <w:szCs w:val="20"/>
            <w:u w:val="none"/>
          </w:rPr>
          <w:t>rate of return</w:t>
        </w:r>
      </w:hyperlink>
      <w:r w:rsidR="00440E29" w:rsidRPr="0057283B">
        <w:rPr>
          <w:rFonts w:ascii="Arial" w:hAnsi="Arial" w:cs="Arial"/>
          <w:sz w:val="20"/>
          <w:szCs w:val="20"/>
        </w:rPr>
        <w:t xml:space="preserve"> of an </w:t>
      </w:r>
      <w:hyperlink r:id="rId14" w:tooltip="Asset" w:history="1">
        <w:r w:rsidR="00440E29" w:rsidRPr="0057283B">
          <w:rPr>
            <w:rStyle w:val="Hyperlink"/>
            <w:rFonts w:ascii="Arial" w:hAnsi="Arial" w:cs="Arial"/>
            <w:color w:val="auto"/>
            <w:sz w:val="20"/>
            <w:szCs w:val="20"/>
            <w:u w:val="none"/>
          </w:rPr>
          <w:t>asset</w:t>
        </w:r>
      </w:hyperlink>
      <w:r w:rsidR="00440E29" w:rsidRPr="0057283B">
        <w:rPr>
          <w:rFonts w:ascii="Arial" w:hAnsi="Arial" w:cs="Arial"/>
          <w:sz w:val="20"/>
          <w:szCs w:val="20"/>
        </w:rPr>
        <w:t xml:space="preserve">, if that asset is to be added to an already well-diversified </w:t>
      </w:r>
      <w:hyperlink r:id="rId15" w:tooltip="Portfolio (finance)" w:history="1">
        <w:r w:rsidR="00440E29" w:rsidRPr="0057283B">
          <w:rPr>
            <w:rStyle w:val="Hyperlink"/>
            <w:rFonts w:ascii="Arial" w:hAnsi="Arial" w:cs="Arial"/>
            <w:color w:val="auto"/>
            <w:sz w:val="20"/>
            <w:szCs w:val="20"/>
            <w:u w:val="none"/>
          </w:rPr>
          <w:t>portfolio</w:t>
        </w:r>
      </w:hyperlink>
      <w:r w:rsidR="00440E29" w:rsidRPr="0057283B">
        <w:rPr>
          <w:rFonts w:ascii="Arial" w:hAnsi="Arial" w:cs="Arial"/>
          <w:sz w:val="20"/>
          <w:szCs w:val="20"/>
        </w:rPr>
        <w:t>, given that asset's unsystematic risk.</w:t>
      </w:r>
    </w:p>
    <w:p w:rsidR="00440E29" w:rsidRPr="00FA58A1" w:rsidRDefault="00440E29" w:rsidP="00FA58A1">
      <w:pPr>
        <w:spacing w:before="120" w:after="120"/>
        <w:jc w:val="both"/>
        <w:rPr>
          <w:rFonts w:ascii="Arial" w:hAnsi="Arial" w:cs="Arial"/>
          <w:sz w:val="20"/>
          <w:szCs w:val="20"/>
        </w:rPr>
      </w:pPr>
      <w:r w:rsidRPr="00FA58A1">
        <w:rPr>
          <w:rFonts w:ascii="Arial" w:hAnsi="Arial" w:cs="Arial"/>
          <w:sz w:val="20"/>
          <w:szCs w:val="20"/>
        </w:rPr>
        <w:t>Unsystematic risk (</w:t>
      </w:r>
      <w:proofErr w:type="spellStart"/>
      <w:proofErr w:type="gramStart"/>
      <w:r w:rsidRPr="00FA58A1">
        <w:rPr>
          <w:rFonts w:ascii="Arial" w:hAnsi="Arial" w:cs="Arial"/>
          <w:sz w:val="20"/>
          <w:szCs w:val="20"/>
        </w:rPr>
        <w:t>σu</w:t>
      </w:r>
      <w:proofErr w:type="spellEnd"/>
      <w:r w:rsidRPr="00FA58A1">
        <w:rPr>
          <w:rFonts w:ascii="Arial" w:hAnsi="Arial" w:cs="Arial"/>
          <w:sz w:val="20"/>
          <w:szCs w:val="20"/>
        </w:rPr>
        <w:t>),</w:t>
      </w:r>
      <w:proofErr w:type="gramEnd"/>
      <w:r w:rsidRPr="00FA58A1">
        <w:rPr>
          <w:rFonts w:ascii="Arial" w:hAnsi="Arial" w:cs="Arial"/>
          <w:sz w:val="20"/>
          <w:szCs w:val="20"/>
        </w:rPr>
        <w:t xml:space="preserve"> or specific company specific risk: that which is peculiar to an individual company causing its shares to move independently of general market movements. Unsystematic risk can be diversified away by holding a large number of securities operating within different industry sectors, and</w:t>
      </w:r>
    </w:p>
    <w:p w:rsidR="00440E29" w:rsidRPr="00FA58A1" w:rsidRDefault="00C164AF" w:rsidP="00FA58A1">
      <w:pPr>
        <w:spacing w:before="120" w:after="120"/>
        <w:jc w:val="both"/>
        <w:rPr>
          <w:rFonts w:ascii="Arial" w:hAnsi="Arial" w:cs="Arial"/>
          <w:sz w:val="20"/>
          <w:szCs w:val="20"/>
        </w:rPr>
      </w:pPr>
      <w:r>
        <w:rPr>
          <w:rFonts w:ascii="Arial" w:hAnsi="Arial" w:cs="Arial"/>
          <w:noProof/>
          <w:sz w:val="22"/>
          <w:szCs w:val="22"/>
        </w:rPr>
        <w:drawing>
          <wp:anchor distT="91440" distB="91440" distL="114300" distR="114300" simplePos="0" relativeHeight="251654656" behindDoc="0" locked="0" layoutInCell="1" allowOverlap="0">
            <wp:simplePos x="0" y="0"/>
            <wp:positionH relativeFrom="column">
              <wp:posOffset>685800</wp:posOffset>
            </wp:positionH>
            <wp:positionV relativeFrom="paragraph">
              <wp:posOffset>614045</wp:posOffset>
            </wp:positionV>
            <wp:extent cx="3657600" cy="2114550"/>
            <wp:effectExtent l="19050" t="0" r="0" b="0"/>
            <wp:wrapTopAndBottom/>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6" cstate="print"/>
                    <a:srcRect/>
                    <a:stretch>
                      <a:fillRect/>
                    </a:stretch>
                  </pic:blipFill>
                  <pic:spPr bwMode="auto">
                    <a:xfrm>
                      <a:off x="0" y="0"/>
                      <a:ext cx="3657600" cy="2114550"/>
                    </a:xfrm>
                    <a:prstGeom prst="rect">
                      <a:avLst/>
                    </a:prstGeom>
                    <a:noFill/>
                    <a:ln w="9525">
                      <a:noFill/>
                      <a:miter lim="800000"/>
                      <a:headEnd/>
                      <a:tailEnd/>
                    </a:ln>
                  </pic:spPr>
                </pic:pic>
              </a:graphicData>
            </a:graphic>
          </wp:anchor>
        </w:drawing>
      </w:r>
      <w:r w:rsidR="00440E29" w:rsidRPr="00FA58A1">
        <w:rPr>
          <w:rFonts w:ascii="Arial" w:hAnsi="Arial" w:cs="Arial"/>
          <w:sz w:val="20"/>
          <w:szCs w:val="20"/>
        </w:rPr>
        <w:t>Systematic (</w:t>
      </w:r>
      <w:proofErr w:type="spellStart"/>
      <w:r w:rsidR="00440E29" w:rsidRPr="00FA58A1">
        <w:rPr>
          <w:rFonts w:ascii="Arial" w:hAnsi="Arial" w:cs="Arial"/>
          <w:sz w:val="20"/>
          <w:szCs w:val="20"/>
        </w:rPr>
        <w:t>σs</w:t>
      </w:r>
      <w:proofErr w:type="spellEnd"/>
      <w:r w:rsidR="00440E29" w:rsidRPr="00FA58A1">
        <w:rPr>
          <w:rFonts w:ascii="Arial" w:hAnsi="Arial" w:cs="Arial"/>
          <w:sz w:val="20"/>
          <w:szCs w:val="20"/>
        </w:rPr>
        <w:t>) risk, which no matter how well diversified the portfolio, cannot be diversified away. Such risk stems from broad equity market movements, or market risk, which, in turn, mainly derives from changes in economic factors.</w:t>
      </w:r>
    </w:p>
    <w:p w:rsidR="00440E29" w:rsidRPr="004B3BDF" w:rsidRDefault="00440E29" w:rsidP="00440E29">
      <w:pPr>
        <w:pStyle w:val="Caption"/>
        <w:jc w:val="center"/>
        <w:rPr>
          <w:rFonts w:ascii="Arial" w:hAnsi="Arial" w:cs="Arial"/>
          <w:sz w:val="22"/>
          <w:szCs w:val="22"/>
        </w:rPr>
      </w:pPr>
      <w:bookmarkStart w:id="8" w:name="_Toc207007208"/>
      <w:r w:rsidRPr="004B3BDF">
        <w:rPr>
          <w:rFonts w:ascii="Arial" w:hAnsi="Arial" w:cs="Arial"/>
          <w:sz w:val="22"/>
          <w:szCs w:val="22"/>
        </w:rPr>
        <w:t xml:space="preserve">Figure </w:t>
      </w:r>
      <w:r w:rsidR="00FC0435" w:rsidRPr="004B3BDF">
        <w:rPr>
          <w:rFonts w:ascii="Arial" w:hAnsi="Arial" w:cs="Arial"/>
          <w:sz w:val="22"/>
          <w:szCs w:val="22"/>
        </w:rPr>
        <w:fldChar w:fldCharType="begin"/>
      </w:r>
      <w:r w:rsidRPr="004B3BDF">
        <w:rPr>
          <w:rFonts w:ascii="Arial" w:hAnsi="Arial" w:cs="Arial"/>
          <w:sz w:val="22"/>
          <w:szCs w:val="22"/>
        </w:rPr>
        <w:instrText xml:space="preserve"> STYLEREF 1 \s </w:instrText>
      </w:r>
      <w:r w:rsidR="00FC0435" w:rsidRPr="004B3BDF">
        <w:rPr>
          <w:rFonts w:ascii="Arial" w:hAnsi="Arial" w:cs="Arial"/>
          <w:sz w:val="22"/>
          <w:szCs w:val="22"/>
        </w:rPr>
        <w:fldChar w:fldCharType="separate"/>
      </w:r>
      <w:r w:rsidR="0060131C">
        <w:rPr>
          <w:rFonts w:ascii="Arial" w:hAnsi="Arial" w:cs="Arial"/>
          <w:noProof/>
          <w:sz w:val="22"/>
          <w:szCs w:val="22"/>
        </w:rPr>
        <w:t>1</w:t>
      </w:r>
      <w:r w:rsidR="00FC0435" w:rsidRPr="004B3BDF">
        <w:rPr>
          <w:rFonts w:ascii="Arial" w:hAnsi="Arial" w:cs="Arial"/>
          <w:sz w:val="22"/>
          <w:szCs w:val="22"/>
        </w:rPr>
        <w:fldChar w:fldCharType="end"/>
      </w:r>
      <w:r w:rsidRPr="004B3BDF">
        <w:rPr>
          <w:rFonts w:ascii="Arial" w:hAnsi="Arial" w:cs="Arial"/>
          <w:sz w:val="22"/>
          <w:szCs w:val="22"/>
        </w:rPr>
        <w:noBreakHyphen/>
      </w:r>
      <w:r w:rsidR="00FC0435" w:rsidRPr="004B3BDF">
        <w:rPr>
          <w:rFonts w:ascii="Arial" w:hAnsi="Arial" w:cs="Arial"/>
          <w:sz w:val="22"/>
          <w:szCs w:val="22"/>
        </w:rPr>
        <w:fldChar w:fldCharType="begin"/>
      </w:r>
      <w:r w:rsidRPr="004B3BDF">
        <w:rPr>
          <w:rFonts w:ascii="Arial" w:hAnsi="Arial" w:cs="Arial"/>
          <w:sz w:val="22"/>
          <w:szCs w:val="22"/>
        </w:rPr>
        <w:instrText xml:space="preserve"> SEQ Figure \* ARABIC \s 1 </w:instrText>
      </w:r>
      <w:r w:rsidR="00FC0435" w:rsidRPr="004B3BDF">
        <w:rPr>
          <w:rFonts w:ascii="Arial" w:hAnsi="Arial" w:cs="Arial"/>
          <w:sz w:val="22"/>
          <w:szCs w:val="22"/>
        </w:rPr>
        <w:fldChar w:fldCharType="separate"/>
      </w:r>
      <w:r w:rsidR="0060131C">
        <w:rPr>
          <w:rFonts w:ascii="Arial" w:hAnsi="Arial" w:cs="Arial"/>
          <w:noProof/>
          <w:sz w:val="22"/>
          <w:szCs w:val="22"/>
        </w:rPr>
        <w:t>2</w:t>
      </w:r>
      <w:r w:rsidR="00FC0435" w:rsidRPr="004B3BDF">
        <w:rPr>
          <w:rFonts w:ascii="Arial" w:hAnsi="Arial" w:cs="Arial"/>
          <w:sz w:val="22"/>
          <w:szCs w:val="22"/>
        </w:rPr>
        <w:fldChar w:fldCharType="end"/>
      </w:r>
      <w:r w:rsidRPr="004B3BDF">
        <w:rPr>
          <w:rFonts w:ascii="Arial" w:hAnsi="Arial" w:cs="Arial"/>
          <w:sz w:val="22"/>
          <w:szCs w:val="22"/>
        </w:rPr>
        <w:t>: P</w:t>
      </w:r>
      <w:r w:rsidR="004E58A1">
        <w:rPr>
          <w:rFonts w:ascii="Arial" w:hAnsi="Arial" w:cs="Arial"/>
          <w:sz w:val="22"/>
          <w:szCs w:val="22"/>
        </w:rPr>
        <w:t>ORTFOLIO</w:t>
      </w:r>
      <w:r w:rsidRPr="004B3BDF">
        <w:rPr>
          <w:rFonts w:ascii="Arial" w:hAnsi="Arial" w:cs="Arial"/>
          <w:sz w:val="22"/>
          <w:szCs w:val="22"/>
        </w:rPr>
        <w:t xml:space="preserve"> R</w:t>
      </w:r>
      <w:r w:rsidR="004E58A1">
        <w:rPr>
          <w:rFonts w:ascii="Arial" w:hAnsi="Arial" w:cs="Arial"/>
          <w:sz w:val="22"/>
          <w:szCs w:val="22"/>
        </w:rPr>
        <w:t>ISK</w:t>
      </w:r>
      <w:bookmarkEnd w:id="8"/>
    </w:p>
    <w:p w:rsidR="00440E29" w:rsidRPr="004B3BDF" w:rsidRDefault="00440E29" w:rsidP="00440E29">
      <w:pPr>
        <w:pStyle w:val="body"/>
        <w:spacing w:line="240" w:lineRule="auto"/>
        <w:rPr>
          <w:rFonts w:ascii="Arial" w:hAnsi="Arial" w:cs="Arial"/>
          <w:sz w:val="22"/>
          <w:szCs w:val="22"/>
        </w:rPr>
      </w:pPr>
    </w:p>
    <w:p w:rsidR="00440E29" w:rsidRPr="00FA58A1" w:rsidRDefault="00440E29" w:rsidP="00FA58A1">
      <w:pPr>
        <w:spacing w:before="120" w:after="120"/>
        <w:jc w:val="both"/>
        <w:rPr>
          <w:rFonts w:ascii="Arial" w:hAnsi="Arial" w:cs="Arial"/>
          <w:sz w:val="20"/>
          <w:szCs w:val="20"/>
        </w:rPr>
      </w:pPr>
      <w:r w:rsidRPr="00FA58A1">
        <w:rPr>
          <w:rFonts w:ascii="Arial" w:hAnsi="Arial" w:cs="Arial"/>
          <w:sz w:val="20"/>
          <w:szCs w:val="20"/>
        </w:rPr>
        <w:lastRenderedPageBreak/>
        <w:t>CAPM is underpinned by the following formula:</w:t>
      </w:r>
    </w:p>
    <w:p w:rsidR="00440E29" w:rsidRPr="00FA58A1" w:rsidRDefault="00440E29" w:rsidP="00FA58A1">
      <w:pPr>
        <w:spacing w:before="120" w:after="120"/>
        <w:jc w:val="both"/>
        <w:rPr>
          <w:rFonts w:ascii="Arial" w:hAnsi="Arial" w:cs="Arial"/>
          <w:sz w:val="20"/>
          <w:szCs w:val="20"/>
        </w:rPr>
      </w:pPr>
      <w:proofErr w:type="gramStart"/>
      <w:r w:rsidRPr="00FA58A1">
        <w:rPr>
          <w:rFonts w:ascii="Arial" w:hAnsi="Arial" w:cs="Arial"/>
          <w:sz w:val="20"/>
          <w:szCs w:val="20"/>
        </w:rPr>
        <w:t>E(</w:t>
      </w:r>
      <w:proofErr w:type="spellStart"/>
      <w:proofErr w:type="gramEnd"/>
      <w:r w:rsidRPr="00FA58A1">
        <w:rPr>
          <w:rFonts w:ascii="Arial" w:hAnsi="Arial" w:cs="Arial"/>
          <w:sz w:val="20"/>
          <w:szCs w:val="20"/>
        </w:rPr>
        <w:t>Ri</w:t>
      </w:r>
      <w:proofErr w:type="spellEnd"/>
      <w:r w:rsidRPr="00FA58A1">
        <w:rPr>
          <w:rFonts w:ascii="Arial" w:hAnsi="Arial" w:cs="Arial"/>
          <w:sz w:val="20"/>
          <w:szCs w:val="20"/>
        </w:rPr>
        <w:t xml:space="preserve">) = </w:t>
      </w:r>
      <w:proofErr w:type="spellStart"/>
      <w:r w:rsidRPr="00FA58A1">
        <w:rPr>
          <w:rFonts w:ascii="Arial" w:hAnsi="Arial" w:cs="Arial"/>
          <w:sz w:val="20"/>
          <w:szCs w:val="20"/>
        </w:rPr>
        <w:t>Rf</w:t>
      </w:r>
      <w:proofErr w:type="spellEnd"/>
      <w:r w:rsidRPr="00FA58A1">
        <w:rPr>
          <w:rFonts w:ascii="Arial" w:hAnsi="Arial" w:cs="Arial"/>
          <w:sz w:val="20"/>
          <w:szCs w:val="20"/>
        </w:rPr>
        <w:t xml:space="preserve">+ </w:t>
      </w:r>
      <w:proofErr w:type="spellStart"/>
      <w:r w:rsidRPr="00FA58A1">
        <w:rPr>
          <w:rFonts w:ascii="Arial" w:hAnsi="Arial" w:cs="Arial"/>
          <w:sz w:val="20"/>
          <w:szCs w:val="20"/>
        </w:rPr>
        <w:t>βi</w:t>
      </w:r>
      <w:proofErr w:type="spellEnd"/>
      <w:r w:rsidRPr="00FA58A1">
        <w:rPr>
          <w:rFonts w:ascii="Arial" w:hAnsi="Arial" w:cs="Arial"/>
          <w:sz w:val="20"/>
          <w:szCs w:val="20"/>
        </w:rPr>
        <w:t xml:space="preserve"> [E(</w:t>
      </w:r>
      <w:proofErr w:type="spellStart"/>
      <w:r w:rsidRPr="00FA58A1">
        <w:rPr>
          <w:rFonts w:ascii="Arial" w:hAnsi="Arial" w:cs="Arial"/>
          <w:sz w:val="20"/>
          <w:szCs w:val="20"/>
        </w:rPr>
        <w:t>Rm</w:t>
      </w:r>
      <w:proofErr w:type="spellEnd"/>
      <w:r w:rsidRPr="00FA58A1">
        <w:rPr>
          <w:rFonts w:ascii="Arial" w:hAnsi="Arial" w:cs="Arial"/>
          <w:sz w:val="20"/>
          <w:szCs w:val="20"/>
        </w:rPr>
        <w:t xml:space="preserve">) - </w:t>
      </w:r>
      <w:proofErr w:type="spellStart"/>
      <w:r w:rsidRPr="00FA58A1">
        <w:rPr>
          <w:rFonts w:ascii="Arial" w:hAnsi="Arial" w:cs="Arial"/>
          <w:sz w:val="20"/>
          <w:szCs w:val="20"/>
        </w:rPr>
        <w:t>Rf</w:t>
      </w:r>
      <w:proofErr w:type="spellEnd"/>
      <w:r w:rsidRPr="00FA58A1">
        <w:rPr>
          <w:rFonts w:ascii="Arial" w:hAnsi="Arial" w:cs="Arial"/>
          <w:sz w:val="20"/>
          <w:szCs w:val="20"/>
        </w:rPr>
        <w:t>]</w:t>
      </w:r>
    </w:p>
    <w:p w:rsidR="00440E29" w:rsidRPr="00FA58A1" w:rsidRDefault="004543DB" w:rsidP="00FA58A1">
      <w:pPr>
        <w:spacing w:before="120" w:after="120"/>
        <w:jc w:val="both"/>
        <w:rPr>
          <w:rFonts w:ascii="Arial" w:hAnsi="Arial" w:cs="Arial"/>
          <w:sz w:val="20"/>
          <w:szCs w:val="20"/>
        </w:rPr>
      </w:pPr>
      <w:r w:rsidRPr="00FA58A1">
        <w:rPr>
          <w:rFonts w:ascii="Arial" w:hAnsi="Arial" w:cs="Arial"/>
          <w:sz w:val="20"/>
          <w:szCs w:val="20"/>
        </w:rPr>
        <w:t>Where</w:t>
      </w:r>
      <w:r w:rsidR="00440E29" w:rsidRPr="00FA58A1">
        <w:rPr>
          <w:rFonts w:ascii="Arial" w:hAnsi="Arial" w:cs="Arial"/>
          <w:sz w:val="20"/>
          <w:szCs w:val="20"/>
        </w:rPr>
        <w:t>:</w:t>
      </w:r>
    </w:p>
    <w:p w:rsidR="00440E29" w:rsidRPr="00FA58A1" w:rsidRDefault="004543DB" w:rsidP="00FA58A1">
      <w:pPr>
        <w:spacing w:before="120" w:after="120"/>
        <w:jc w:val="both"/>
        <w:rPr>
          <w:rFonts w:ascii="Arial" w:hAnsi="Arial" w:cs="Arial"/>
          <w:sz w:val="20"/>
          <w:szCs w:val="20"/>
        </w:rPr>
      </w:pPr>
      <w:r w:rsidRPr="00FA58A1">
        <w:rPr>
          <w:rFonts w:ascii="Arial" w:hAnsi="Arial" w:cs="Arial"/>
          <w:sz w:val="20"/>
          <w:szCs w:val="20"/>
        </w:rPr>
        <w:t>E (</w:t>
      </w:r>
      <w:proofErr w:type="spellStart"/>
      <w:proofErr w:type="gramStart"/>
      <w:r w:rsidR="00440E29" w:rsidRPr="00FA58A1">
        <w:rPr>
          <w:rFonts w:ascii="Arial" w:hAnsi="Arial" w:cs="Arial"/>
          <w:sz w:val="20"/>
          <w:szCs w:val="20"/>
        </w:rPr>
        <w:t>Ri</w:t>
      </w:r>
      <w:proofErr w:type="spellEnd"/>
      <w:proofErr w:type="gramEnd"/>
      <w:r w:rsidR="00440E29" w:rsidRPr="00FA58A1">
        <w:rPr>
          <w:rFonts w:ascii="Arial" w:hAnsi="Arial" w:cs="Arial"/>
          <w:sz w:val="20"/>
          <w:szCs w:val="20"/>
        </w:rPr>
        <w:t xml:space="preserve">) = expected return on security </w:t>
      </w:r>
      <w:proofErr w:type="spellStart"/>
      <w:r w:rsidR="00440E29" w:rsidRPr="00FA58A1">
        <w:rPr>
          <w:rFonts w:ascii="Arial" w:hAnsi="Arial" w:cs="Arial"/>
          <w:sz w:val="20"/>
          <w:szCs w:val="20"/>
        </w:rPr>
        <w:t>i</w:t>
      </w:r>
      <w:proofErr w:type="spellEnd"/>
    </w:p>
    <w:p w:rsidR="00440E29" w:rsidRPr="00FA58A1" w:rsidRDefault="00440E29" w:rsidP="00FA58A1">
      <w:pPr>
        <w:spacing w:before="120" w:after="120"/>
        <w:jc w:val="both"/>
        <w:rPr>
          <w:rFonts w:ascii="Arial" w:hAnsi="Arial" w:cs="Arial"/>
          <w:sz w:val="20"/>
          <w:szCs w:val="20"/>
        </w:rPr>
      </w:pPr>
      <w:proofErr w:type="spellStart"/>
      <w:proofErr w:type="gramStart"/>
      <w:r w:rsidRPr="00FA58A1">
        <w:rPr>
          <w:rFonts w:ascii="Arial" w:hAnsi="Arial" w:cs="Arial"/>
          <w:sz w:val="20"/>
          <w:szCs w:val="20"/>
        </w:rPr>
        <w:t>Rf</w:t>
      </w:r>
      <w:proofErr w:type="spellEnd"/>
      <w:proofErr w:type="gramEnd"/>
      <w:r w:rsidRPr="00FA58A1">
        <w:rPr>
          <w:rFonts w:ascii="Arial" w:hAnsi="Arial" w:cs="Arial"/>
          <w:sz w:val="20"/>
          <w:szCs w:val="20"/>
        </w:rPr>
        <w:t xml:space="preserve"> = expected return on a short term risk free asset, e</w:t>
      </w:r>
      <w:r w:rsidR="004543DB">
        <w:rPr>
          <w:rFonts w:ascii="Arial" w:hAnsi="Arial" w:cs="Arial"/>
          <w:sz w:val="20"/>
          <w:szCs w:val="20"/>
        </w:rPr>
        <w:t>.</w:t>
      </w:r>
      <w:r w:rsidRPr="00FA58A1">
        <w:rPr>
          <w:rFonts w:ascii="Arial" w:hAnsi="Arial" w:cs="Arial"/>
          <w:sz w:val="20"/>
          <w:szCs w:val="20"/>
        </w:rPr>
        <w:t>g</w:t>
      </w:r>
      <w:r w:rsidR="004543DB">
        <w:rPr>
          <w:rFonts w:ascii="Arial" w:hAnsi="Arial" w:cs="Arial"/>
          <w:sz w:val="20"/>
          <w:szCs w:val="20"/>
        </w:rPr>
        <w:t>.</w:t>
      </w:r>
      <w:r w:rsidRPr="00FA58A1">
        <w:rPr>
          <w:rFonts w:ascii="Arial" w:hAnsi="Arial" w:cs="Arial"/>
          <w:sz w:val="20"/>
          <w:szCs w:val="20"/>
        </w:rPr>
        <w:t>, a Treasury Bill (TB)</w:t>
      </w:r>
    </w:p>
    <w:p w:rsidR="00440E29" w:rsidRPr="00FA58A1" w:rsidRDefault="00440E29" w:rsidP="00FA58A1">
      <w:pPr>
        <w:spacing w:before="120" w:after="120"/>
        <w:jc w:val="both"/>
        <w:rPr>
          <w:rFonts w:ascii="Arial" w:hAnsi="Arial" w:cs="Arial"/>
          <w:sz w:val="20"/>
          <w:szCs w:val="20"/>
        </w:rPr>
      </w:pPr>
      <w:proofErr w:type="spellStart"/>
      <w:proofErr w:type="gramStart"/>
      <w:r w:rsidRPr="00FA58A1">
        <w:rPr>
          <w:rFonts w:ascii="Arial" w:hAnsi="Arial" w:cs="Arial"/>
          <w:sz w:val="20"/>
          <w:szCs w:val="20"/>
        </w:rPr>
        <w:t>βi</w:t>
      </w:r>
      <w:proofErr w:type="spellEnd"/>
      <w:proofErr w:type="gramEnd"/>
      <w:r w:rsidRPr="00FA58A1">
        <w:rPr>
          <w:rFonts w:ascii="Arial" w:hAnsi="Arial" w:cs="Arial"/>
          <w:sz w:val="20"/>
          <w:szCs w:val="20"/>
        </w:rPr>
        <w:t xml:space="preserve"> = beta for security </w:t>
      </w:r>
      <w:proofErr w:type="spellStart"/>
      <w:r w:rsidRPr="00FA58A1">
        <w:rPr>
          <w:rFonts w:ascii="Arial" w:hAnsi="Arial" w:cs="Arial"/>
          <w:sz w:val="20"/>
          <w:szCs w:val="20"/>
        </w:rPr>
        <w:t>i</w:t>
      </w:r>
      <w:proofErr w:type="spellEnd"/>
    </w:p>
    <w:p w:rsidR="00440E29" w:rsidRPr="00FA58A1" w:rsidRDefault="004543DB" w:rsidP="00FA58A1">
      <w:pPr>
        <w:spacing w:before="120" w:after="120"/>
        <w:jc w:val="both"/>
        <w:rPr>
          <w:rFonts w:ascii="Arial" w:hAnsi="Arial" w:cs="Arial"/>
          <w:sz w:val="20"/>
          <w:szCs w:val="20"/>
        </w:rPr>
      </w:pPr>
      <w:r w:rsidRPr="00FA58A1">
        <w:rPr>
          <w:rFonts w:ascii="Arial" w:hAnsi="Arial" w:cs="Arial"/>
          <w:sz w:val="20"/>
          <w:szCs w:val="20"/>
        </w:rPr>
        <w:t>E (</w:t>
      </w:r>
      <w:proofErr w:type="spellStart"/>
      <w:r w:rsidR="00440E29" w:rsidRPr="00FA58A1">
        <w:rPr>
          <w:rFonts w:ascii="Arial" w:hAnsi="Arial" w:cs="Arial"/>
          <w:sz w:val="20"/>
          <w:szCs w:val="20"/>
        </w:rPr>
        <w:t>Rm</w:t>
      </w:r>
      <w:proofErr w:type="spellEnd"/>
      <w:r w:rsidRPr="00FA58A1">
        <w:rPr>
          <w:rFonts w:ascii="Arial" w:hAnsi="Arial" w:cs="Arial"/>
          <w:sz w:val="20"/>
          <w:szCs w:val="20"/>
        </w:rPr>
        <w:t>) =</w:t>
      </w:r>
      <w:r w:rsidR="00440E29" w:rsidRPr="00FA58A1">
        <w:rPr>
          <w:rFonts w:ascii="Arial" w:hAnsi="Arial" w:cs="Arial"/>
          <w:sz w:val="20"/>
          <w:szCs w:val="20"/>
        </w:rPr>
        <w:t xml:space="preserve"> expected return on the market</w:t>
      </w:r>
    </w:p>
    <w:p w:rsidR="00440E29" w:rsidRPr="004B3BDF" w:rsidRDefault="00440E29" w:rsidP="00440E29">
      <w:pPr>
        <w:pStyle w:val="Heading4"/>
        <w:keepNext w:val="0"/>
        <w:spacing w:before="120" w:after="120"/>
        <w:jc w:val="both"/>
        <w:rPr>
          <w:rFonts w:cs="Arial"/>
          <w:sz w:val="22"/>
          <w:szCs w:val="22"/>
        </w:rPr>
      </w:pPr>
      <w:r w:rsidRPr="004B3BDF">
        <w:rPr>
          <w:rFonts w:cs="Arial"/>
          <w:sz w:val="22"/>
          <w:szCs w:val="22"/>
        </w:rPr>
        <w:t>Beta</w:t>
      </w:r>
    </w:p>
    <w:p w:rsidR="00440E29" w:rsidRPr="007973AE" w:rsidRDefault="00440E29" w:rsidP="00FA58A1">
      <w:pPr>
        <w:spacing w:before="120" w:after="120"/>
        <w:jc w:val="both"/>
        <w:rPr>
          <w:rFonts w:ascii="Arial" w:hAnsi="Arial" w:cs="Arial"/>
          <w:sz w:val="20"/>
          <w:szCs w:val="20"/>
        </w:rPr>
      </w:pPr>
      <w:r w:rsidRPr="007973AE">
        <w:rPr>
          <w:rFonts w:ascii="Arial" w:hAnsi="Arial" w:cs="Arial"/>
          <w:sz w:val="20"/>
          <w:szCs w:val="20"/>
        </w:rPr>
        <w:t xml:space="preserve">Beta (β) is a measure of the average historic sensitivity, or volatility, of a security’s returns to the variability of returns in the broader market, known as market risk, expressed as a proportion of this market risk. </w:t>
      </w:r>
    </w:p>
    <w:p w:rsidR="00440E29" w:rsidRPr="00FA58A1" w:rsidRDefault="00440E29" w:rsidP="00FA58A1">
      <w:pPr>
        <w:spacing w:before="120" w:after="120"/>
        <w:jc w:val="both"/>
        <w:rPr>
          <w:rFonts w:ascii="Arial" w:hAnsi="Arial" w:cs="Arial"/>
          <w:sz w:val="20"/>
          <w:szCs w:val="20"/>
        </w:rPr>
      </w:pPr>
      <w:r w:rsidRPr="00FA58A1">
        <w:rPr>
          <w:rFonts w:ascii="Arial" w:hAnsi="Arial" w:cs="Arial"/>
          <w:sz w:val="20"/>
          <w:szCs w:val="20"/>
        </w:rPr>
        <w:t xml:space="preserve">E.G </w:t>
      </w:r>
      <w:r w:rsidRPr="00FA58A1">
        <w:rPr>
          <w:rFonts w:ascii="Arial" w:hAnsi="Arial" w:cs="Arial"/>
          <w:color w:val="000000"/>
          <w:sz w:val="20"/>
          <w:szCs w:val="20"/>
        </w:rPr>
        <w:t>An asset with a beta of 0 means that its price is not at all correlated with the market; that asset is independent. A positive beta means that the asset generally follows the market. A negative beta shows that the asset inversely follows the market; the asset generally decreases in value if the market goes up</w:t>
      </w:r>
    </w:p>
    <w:p w:rsidR="00440E29" w:rsidRPr="004B3BDF" w:rsidRDefault="00440E29" w:rsidP="00440E29">
      <w:pPr>
        <w:pStyle w:val="Heading1"/>
        <w:keepNext w:val="0"/>
        <w:pageBreakBefore w:val="0"/>
        <w:spacing w:before="120" w:after="120"/>
        <w:ind w:left="0" w:firstLine="0"/>
        <w:jc w:val="both"/>
        <w:rPr>
          <w:sz w:val="22"/>
          <w:szCs w:val="22"/>
        </w:rPr>
      </w:pPr>
      <w:bookmarkStart w:id="9" w:name="_Toc226530511"/>
      <w:r w:rsidRPr="004B3BDF">
        <w:rPr>
          <w:sz w:val="22"/>
          <w:szCs w:val="22"/>
        </w:rPr>
        <w:t>Asset Classes</w:t>
      </w:r>
      <w:bookmarkEnd w:id="9"/>
      <w:r w:rsidRPr="004B3BDF">
        <w:rPr>
          <w:sz w:val="22"/>
          <w:szCs w:val="22"/>
        </w:rPr>
        <w:t xml:space="preserve"> </w:t>
      </w:r>
    </w:p>
    <w:p w:rsidR="00440E29" w:rsidRPr="004B3BDF" w:rsidRDefault="00440E29" w:rsidP="00440E29">
      <w:pPr>
        <w:rPr>
          <w:rFonts w:ascii="Arial" w:hAnsi="Arial" w:cs="Arial"/>
          <w:sz w:val="22"/>
          <w:szCs w:val="22"/>
        </w:rPr>
      </w:pPr>
    </w:p>
    <w:p w:rsidR="00440E29" w:rsidRPr="00FA58A1" w:rsidRDefault="00440E29" w:rsidP="00FA58A1">
      <w:pPr>
        <w:jc w:val="both"/>
        <w:rPr>
          <w:rFonts w:ascii="Arial" w:hAnsi="Arial" w:cs="Arial"/>
          <w:sz w:val="20"/>
          <w:szCs w:val="20"/>
        </w:rPr>
      </w:pPr>
      <w:r w:rsidRPr="00FA58A1">
        <w:rPr>
          <w:rFonts w:ascii="Arial" w:hAnsi="Arial" w:cs="Arial"/>
          <w:sz w:val="20"/>
          <w:szCs w:val="20"/>
        </w:rPr>
        <w:t>Depending on their structure and pay-off characteristics, the assets or instruments can be categorized into different asset classes. The risk and returns associated with each asset class is also different.</w:t>
      </w:r>
    </w:p>
    <w:p w:rsidR="00440E29" w:rsidRPr="004B3BDF" w:rsidRDefault="00440E29" w:rsidP="00440E29">
      <w:pPr>
        <w:rPr>
          <w:rFonts w:ascii="Arial" w:hAnsi="Arial" w:cs="Arial"/>
          <w:sz w:val="22"/>
          <w:szCs w:val="22"/>
        </w:rPr>
      </w:pPr>
    </w:p>
    <w:p w:rsidR="00CA0FEC" w:rsidRPr="004B3BDF" w:rsidRDefault="00CA0FEC" w:rsidP="00CA0FEC">
      <w:pPr>
        <w:jc w:val="both"/>
        <w:outlineLvl w:val="1"/>
        <w:rPr>
          <w:rFonts w:ascii="Arial" w:hAnsi="Arial" w:cs="Arial"/>
          <w:b/>
          <w:bCs/>
          <w:color w:val="000080"/>
          <w:kern w:val="32"/>
          <w:sz w:val="22"/>
          <w:szCs w:val="22"/>
        </w:rPr>
      </w:pPr>
      <w:bookmarkStart w:id="10" w:name="_Toc132272939"/>
      <w:bookmarkStart w:id="11" w:name="_Toc132285610"/>
      <w:bookmarkStart w:id="12" w:name="_Toc134748835"/>
      <w:r w:rsidRPr="004B3BDF">
        <w:rPr>
          <w:rFonts w:ascii="Arial" w:hAnsi="Arial" w:cs="Arial"/>
          <w:b/>
          <w:bCs/>
          <w:color w:val="000080"/>
          <w:kern w:val="32"/>
          <w:sz w:val="22"/>
          <w:szCs w:val="22"/>
        </w:rPr>
        <w:t>Various investment options:</w:t>
      </w:r>
    </w:p>
    <w:p w:rsidR="00CA0FEC" w:rsidRPr="004B3BDF" w:rsidRDefault="00CA0FEC" w:rsidP="00CA0FEC">
      <w:pPr>
        <w:jc w:val="both"/>
        <w:outlineLvl w:val="1"/>
        <w:rPr>
          <w:rFonts w:ascii="Arial" w:hAnsi="Arial" w:cs="Arial"/>
          <w:b/>
          <w:bCs/>
          <w:color w:val="0000FF"/>
          <w:sz w:val="22"/>
          <w:szCs w:val="22"/>
        </w:rPr>
      </w:pPr>
    </w:p>
    <w:p w:rsidR="00CA0FEC" w:rsidRPr="004B3BDF" w:rsidRDefault="00CA0FEC" w:rsidP="00CA0FEC">
      <w:pPr>
        <w:jc w:val="both"/>
        <w:outlineLvl w:val="1"/>
        <w:rPr>
          <w:rFonts w:ascii="Arial" w:hAnsi="Arial" w:cs="Arial"/>
          <w:b/>
          <w:bCs/>
          <w:color w:val="0000FF"/>
          <w:sz w:val="22"/>
          <w:szCs w:val="22"/>
        </w:rPr>
      </w:pPr>
      <w:r>
        <w:object w:dxaOrig="9991" w:dyaOrig="9619">
          <v:shape id="_x0000_i1034" type="#_x0000_t75" style="width:467.15pt;height:450pt" o:ole="">
            <v:imagedata r:id="rId17" o:title=""/>
          </v:shape>
          <o:OLEObject Type="Embed" ProgID="Visio.Drawing.11" ShapeID="_x0000_i1034" DrawAspect="Content" ObjectID="_1324125799" r:id="rId18"/>
        </w:object>
      </w:r>
    </w:p>
    <w:p w:rsidR="00CA0FEC" w:rsidRDefault="00CA0FEC" w:rsidP="00CA0FEC">
      <w:pPr>
        <w:jc w:val="both"/>
        <w:outlineLvl w:val="3"/>
        <w:rPr>
          <w:rFonts w:ascii="Arial" w:hAnsi="Arial" w:cs="Arial"/>
          <w:sz w:val="20"/>
          <w:szCs w:val="20"/>
        </w:rPr>
      </w:pPr>
    </w:p>
    <w:p w:rsidR="00CA0FEC" w:rsidRDefault="00CA0FEC" w:rsidP="00CA0FEC">
      <w:pPr>
        <w:jc w:val="both"/>
        <w:outlineLvl w:val="3"/>
        <w:rPr>
          <w:rFonts w:ascii="Arial" w:hAnsi="Arial" w:cs="Arial"/>
          <w:sz w:val="20"/>
          <w:szCs w:val="20"/>
        </w:rPr>
      </w:pPr>
      <w:r>
        <w:rPr>
          <w:rFonts w:ascii="Arial" w:hAnsi="Arial" w:cs="Arial"/>
          <w:sz w:val="20"/>
          <w:szCs w:val="20"/>
        </w:rPr>
        <w:t>Note: Mutual Funds and Alternate Investments are neither pure equity nor pure Debt Instruments. They try to create a portfolio consisting of optimum mix of Debt and Equity depending on the investors risk profile. They offer variety of schemes having equity exposure varying from 0% to 100%.</w:t>
      </w:r>
    </w:p>
    <w:p w:rsidR="00CA0FEC" w:rsidRDefault="00CA0FEC" w:rsidP="00CA0FEC">
      <w:pPr>
        <w:jc w:val="both"/>
        <w:outlineLvl w:val="3"/>
        <w:rPr>
          <w:rFonts w:ascii="Arial" w:hAnsi="Arial" w:cs="Arial"/>
          <w:sz w:val="20"/>
          <w:szCs w:val="20"/>
        </w:rPr>
      </w:pPr>
    </w:p>
    <w:p w:rsidR="00CA0FEC" w:rsidRDefault="00CA0FEC" w:rsidP="00CA0FEC">
      <w:pPr>
        <w:jc w:val="both"/>
        <w:outlineLvl w:val="3"/>
        <w:rPr>
          <w:rFonts w:ascii="Arial" w:hAnsi="Arial" w:cs="Arial"/>
          <w:sz w:val="20"/>
          <w:szCs w:val="20"/>
        </w:rPr>
      </w:pPr>
    </w:p>
    <w:p w:rsidR="00CA0FEC" w:rsidRPr="00FA58A1" w:rsidRDefault="00CA0FEC" w:rsidP="00CA0FEC">
      <w:pPr>
        <w:jc w:val="both"/>
        <w:outlineLvl w:val="3"/>
        <w:rPr>
          <w:rFonts w:ascii="Arial" w:hAnsi="Arial" w:cs="Arial"/>
          <w:sz w:val="20"/>
          <w:szCs w:val="20"/>
        </w:rPr>
      </w:pPr>
      <w:r>
        <w:rPr>
          <w:rFonts w:ascii="Arial" w:hAnsi="Arial" w:cs="Arial"/>
          <w:sz w:val="20"/>
          <w:szCs w:val="20"/>
        </w:rPr>
        <w:t xml:space="preserve"> </w:t>
      </w:r>
      <w:r w:rsidRPr="00FA58A1">
        <w:rPr>
          <w:rFonts w:ascii="Arial" w:hAnsi="Arial" w:cs="Arial"/>
          <w:sz w:val="20"/>
          <w:szCs w:val="20"/>
        </w:rPr>
        <w:t>Investment choices investors can be broadly classified as:</w:t>
      </w:r>
    </w:p>
    <w:p w:rsidR="00CA0FEC" w:rsidRPr="004B3BDF" w:rsidRDefault="00CA0FEC" w:rsidP="00CA0FEC">
      <w:pPr>
        <w:pStyle w:val="Heading2"/>
        <w:keepNext w:val="0"/>
        <w:spacing w:before="120" w:after="120"/>
        <w:ind w:left="0" w:firstLine="0"/>
        <w:jc w:val="both"/>
        <w:rPr>
          <w:sz w:val="22"/>
          <w:szCs w:val="22"/>
        </w:rPr>
      </w:pPr>
      <w:r w:rsidRPr="004B3BDF">
        <w:rPr>
          <w:sz w:val="22"/>
          <w:szCs w:val="22"/>
        </w:rPr>
        <w:t xml:space="preserve"> </w:t>
      </w:r>
      <w:bookmarkStart w:id="13" w:name="_Toc203539312"/>
      <w:bookmarkStart w:id="14" w:name="_Toc226530512"/>
      <w:r w:rsidRPr="004B3BDF">
        <w:rPr>
          <w:sz w:val="22"/>
          <w:szCs w:val="22"/>
        </w:rPr>
        <w:t>Physical assets:</w:t>
      </w:r>
      <w:bookmarkEnd w:id="13"/>
      <w:bookmarkEnd w:id="14"/>
    </w:p>
    <w:p w:rsidR="00CA0FEC" w:rsidRPr="00FA58A1" w:rsidRDefault="00EA1590" w:rsidP="00CA0FEC">
      <w:pPr>
        <w:jc w:val="both"/>
        <w:rPr>
          <w:rFonts w:ascii="Arial" w:hAnsi="Arial" w:cs="Arial"/>
          <w:sz w:val="20"/>
          <w:szCs w:val="20"/>
        </w:rPr>
      </w:pPr>
      <w:r w:rsidRPr="00FA58A1">
        <w:rPr>
          <w:rFonts w:ascii="Arial" w:hAnsi="Arial" w:cs="Arial"/>
          <w:sz w:val="20"/>
          <w:szCs w:val="20"/>
        </w:rPr>
        <w:t>Gold, Real</w:t>
      </w:r>
      <w:r w:rsidR="00CA0FEC" w:rsidRPr="00FA58A1">
        <w:rPr>
          <w:rFonts w:ascii="Arial" w:hAnsi="Arial" w:cs="Arial"/>
          <w:sz w:val="20"/>
          <w:szCs w:val="20"/>
        </w:rPr>
        <w:t xml:space="preserve"> Estate </w:t>
      </w:r>
      <w:r w:rsidR="00CA0FEC">
        <w:rPr>
          <w:rFonts w:ascii="Arial" w:hAnsi="Arial" w:cs="Arial"/>
          <w:sz w:val="20"/>
          <w:szCs w:val="20"/>
        </w:rPr>
        <w:t xml:space="preserve">and commodities </w:t>
      </w:r>
      <w:r w:rsidR="00CA0FEC" w:rsidRPr="00FA58A1">
        <w:rPr>
          <w:rFonts w:ascii="Arial" w:hAnsi="Arial" w:cs="Arial"/>
          <w:sz w:val="20"/>
          <w:szCs w:val="20"/>
        </w:rPr>
        <w:t xml:space="preserve">are example of physical assets, which have a physical form to them. There is a strong preference for these assets as investments, as these assets can be purchased with cash and held for the long term. </w:t>
      </w:r>
    </w:p>
    <w:p w:rsidR="00CA0FEC" w:rsidRPr="00FA58A1" w:rsidRDefault="00CA0FEC" w:rsidP="00CA0FEC">
      <w:pPr>
        <w:jc w:val="both"/>
        <w:rPr>
          <w:rFonts w:ascii="Arial" w:hAnsi="Arial" w:cs="Arial"/>
          <w:sz w:val="20"/>
          <w:szCs w:val="20"/>
        </w:rPr>
      </w:pPr>
      <w:r w:rsidRPr="00FA58A1">
        <w:rPr>
          <w:rFonts w:ascii="Arial" w:hAnsi="Arial" w:cs="Arial"/>
          <w:sz w:val="20"/>
          <w:szCs w:val="20"/>
        </w:rPr>
        <w:t xml:space="preserve">          But they have a disadvantage also associated with them:</w:t>
      </w:r>
    </w:p>
    <w:p w:rsidR="00CA0FEC" w:rsidRPr="00FA58A1" w:rsidRDefault="00CA0FEC" w:rsidP="00CA0FEC">
      <w:pPr>
        <w:numPr>
          <w:ilvl w:val="1"/>
          <w:numId w:val="53"/>
        </w:numPr>
        <w:jc w:val="both"/>
        <w:rPr>
          <w:rFonts w:ascii="Arial" w:hAnsi="Arial" w:cs="Arial"/>
          <w:sz w:val="20"/>
          <w:szCs w:val="20"/>
        </w:rPr>
      </w:pPr>
      <w:r w:rsidRPr="00FA58A1">
        <w:rPr>
          <w:rFonts w:ascii="Arial" w:hAnsi="Arial" w:cs="Arial"/>
          <w:sz w:val="20"/>
          <w:szCs w:val="20"/>
        </w:rPr>
        <w:lastRenderedPageBreak/>
        <w:t>They have risk of loss and theft</w:t>
      </w:r>
    </w:p>
    <w:p w:rsidR="00CA0FEC" w:rsidRPr="00FA58A1" w:rsidRDefault="00CA0FEC" w:rsidP="00CA0FEC">
      <w:pPr>
        <w:numPr>
          <w:ilvl w:val="1"/>
          <w:numId w:val="53"/>
        </w:numPr>
        <w:jc w:val="both"/>
        <w:rPr>
          <w:rFonts w:ascii="Arial" w:hAnsi="Arial" w:cs="Arial"/>
          <w:sz w:val="20"/>
          <w:szCs w:val="20"/>
        </w:rPr>
      </w:pPr>
      <w:r w:rsidRPr="00FA58A1">
        <w:rPr>
          <w:rFonts w:ascii="Arial" w:hAnsi="Arial" w:cs="Arial"/>
          <w:sz w:val="20"/>
          <w:szCs w:val="20"/>
        </w:rPr>
        <w:t>They have lower level of returns</w:t>
      </w:r>
    </w:p>
    <w:p w:rsidR="00CA0FEC" w:rsidRPr="00FA58A1" w:rsidRDefault="00CA0FEC" w:rsidP="00CA0FEC">
      <w:pPr>
        <w:numPr>
          <w:ilvl w:val="1"/>
          <w:numId w:val="53"/>
        </w:numPr>
        <w:jc w:val="both"/>
        <w:rPr>
          <w:rFonts w:ascii="Arial" w:hAnsi="Arial" w:cs="Arial"/>
          <w:sz w:val="20"/>
          <w:szCs w:val="20"/>
        </w:rPr>
      </w:pPr>
      <w:r w:rsidRPr="00FA58A1">
        <w:rPr>
          <w:rFonts w:ascii="Arial" w:hAnsi="Arial" w:cs="Arial"/>
          <w:sz w:val="20"/>
          <w:szCs w:val="20"/>
        </w:rPr>
        <w:t>There is  no secondary market</w:t>
      </w:r>
    </w:p>
    <w:p w:rsidR="00CA0FEC" w:rsidRPr="00FA58A1" w:rsidRDefault="00CA0FEC" w:rsidP="00CA0FEC">
      <w:pPr>
        <w:numPr>
          <w:ilvl w:val="1"/>
          <w:numId w:val="53"/>
        </w:numPr>
        <w:jc w:val="both"/>
        <w:rPr>
          <w:rFonts w:ascii="Arial" w:hAnsi="Arial" w:cs="Arial"/>
          <w:sz w:val="20"/>
          <w:szCs w:val="20"/>
        </w:rPr>
      </w:pPr>
      <w:r w:rsidRPr="00FA58A1">
        <w:rPr>
          <w:rFonts w:ascii="Arial" w:hAnsi="Arial" w:cs="Arial"/>
          <w:sz w:val="20"/>
          <w:szCs w:val="20"/>
        </w:rPr>
        <w:t>They have ad hoc valuations and transactions costs.</w:t>
      </w:r>
    </w:p>
    <w:p w:rsidR="00CA0FEC" w:rsidRPr="004B3BDF" w:rsidRDefault="00CA0FEC" w:rsidP="00CA0FEC">
      <w:pPr>
        <w:pStyle w:val="Heading2"/>
        <w:keepNext w:val="0"/>
        <w:spacing w:before="120" w:after="120"/>
        <w:ind w:left="0" w:firstLine="0"/>
        <w:jc w:val="both"/>
        <w:rPr>
          <w:sz w:val="22"/>
          <w:szCs w:val="22"/>
        </w:rPr>
      </w:pPr>
      <w:r w:rsidRPr="004B3BDF">
        <w:rPr>
          <w:sz w:val="22"/>
          <w:szCs w:val="22"/>
        </w:rPr>
        <w:t xml:space="preserve"> </w:t>
      </w:r>
      <w:bookmarkStart w:id="15" w:name="_Toc203539313"/>
      <w:bookmarkStart w:id="16" w:name="_Toc226530513"/>
      <w:r w:rsidRPr="004B3BDF">
        <w:rPr>
          <w:sz w:val="22"/>
          <w:szCs w:val="22"/>
        </w:rPr>
        <w:t>Financial assets:</w:t>
      </w:r>
      <w:bookmarkEnd w:id="15"/>
      <w:bookmarkEnd w:id="16"/>
    </w:p>
    <w:p w:rsidR="00CA0FEC" w:rsidRDefault="00CA0FEC" w:rsidP="00CA0FEC">
      <w:pPr>
        <w:jc w:val="both"/>
        <w:outlineLvl w:val="3"/>
        <w:rPr>
          <w:rFonts w:ascii="Arial" w:hAnsi="Arial" w:cs="Arial"/>
          <w:sz w:val="20"/>
          <w:szCs w:val="20"/>
        </w:rPr>
      </w:pPr>
      <w:r w:rsidRPr="00FA58A1">
        <w:rPr>
          <w:rFonts w:ascii="Arial" w:hAnsi="Arial" w:cs="Arial"/>
          <w:sz w:val="20"/>
          <w:szCs w:val="20"/>
        </w:rPr>
        <w:t>These are the securities, which are, certificates embodying a financial contract between parties. Bonds, equity shares, deposits and insurance policies are some of the examples of financial assets, where investors only hold the proof of their investment in the form of a certificate or account. These products are liquid, transferable and in most cases stored electronically.</w:t>
      </w:r>
    </w:p>
    <w:p w:rsidR="00CA0FEC" w:rsidRDefault="00CA0FEC" w:rsidP="00CA0FEC">
      <w:pPr>
        <w:jc w:val="both"/>
        <w:outlineLvl w:val="3"/>
        <w:rPr>
          <w:rFonts w:ascii="Arial" w:hAnsi="Arial" w:cs="Arial"/>
          <w:sz w:val="20"/>
          <w:szCs w:val="20"/>
        </w:rPr>
      </w:pPr>
    </w:p>
    <w:p w:rsidR="00CA0FEC" w:rsidRDefault="00CA0FEC" w:rsidP="00CA0FEC">
      <w:pPr>
        <w:pStyle w:val="Heading3"/>
        <w:keepNext w:val="0"/>
        <w:tabs>
          <w:tab w:val="clear" w:pos="6444"/>
          <w:tab w:val="num" w:pos="540"/>
        </w:tabs>
        <w:spacing w:before="120" w:after="120"/>
        <w:ind w:left="0" w:firstLine="0"/>
        <w:jc w:val="both"/>
        <w:rPr>
          <w:sz w:val="22"/>
          <w:szCs w:val="22"/>
        </w:rPr>
      </w:pPr>
      <w:r>
        <w:rPr>
          <w:sz w:val="22"/>
          <w:szCs w:val="22"/>
        </w:rPr>
        <w:t>Debentures</w:t>
      </w:r>
    </w:p>
    <w:p w:rsidR="00CA0FEC" w:rsidRPr="00522DA1" w:rsidRDefault="00CA0FEC" w:rsidP="00CA0FEC">
      <w:pPr>
        <w:rPr>
          <w:rFonts w:ascii="Arial" w:hAnsi="Arial" w:cs="Arial"/>
          <w:sz w:val="20"/>
          <w:szCs w:val="20"/>
        </w:rPr>
      </w:pPr>
      <w:r>
        <w:rPr>
          <w:rFonts w:ascii="Arial" w:hAnsi="Arial" w:cs="Arial"/>
          <w:sz w:val="20"/>
          <w:szCs w:val="20"/>
        </w:rPr>
        <w:t>D</w:t>
      </w:r>
      <w:r w:rsidRPr="00522DA1">
        <w:rPr>
          <w:rFonts w:ascii="Arial" w:hAnsi="Arial" w:cs="Arial"/>
          <w:sz w:val="20"/>
          <w:szCs w:val="20"/>
        </w:rPr>
        <w:t>ebenture is a long-term debt instrument used by governments and large companies to obtain funds. It is defined as "a debt secured only by the debtor’s earning power, not by a lien on any specific asset</w:t>
      </w:r>
    </w:p>
    <w:p w:rsidR="00CA0FEC" w:rsidRPr="00FA58A1" w:rsidRDefault="00CA0FEC" w:rsidP="00CA0FEC">
      <w:pPr>
        <w:jc w:val="both"/>
        <w:outlineLvl w:val="3"/>
        <w:rPr>
          <w:rFonts w:ascii="Arial" w:hAnsi="Arial" w:cs="Arial"/>
          <w:sz w:val="20"/>
          <w:szCs w:val="20"/>
        </w:rPr>
      </w:pPr>
    </w:p>
    <w:p w:rsidR="00CA0FEC" w:rsidRPr="004B3BDF" w:rsidRDefault="00CA0FEC" w:rsidP="00CA0FEC">
      <w:pPr>
        <w:pStyle w:val="Heading3"/>
        <w:keepNext w:val="0"/>
        <w:tabs>
          <w:tab w:val="clear" w:pos="6444"/>
          <w:tab w:val="num" w:pos="540"/>
        </w:tabs>
        <w:spacing w:before="120" w:after="120"/>
        <w:ind w:left="0" w:firstLine="0"/>
        <w:jc w:val="both"/>
        <w:rPr>
          <w:sz w:val="22"/>
          <w:szCs w:val="22"/>
        </w:rPr>
      </w:pPr>
      <w:r w:rsidRPr="004B3BDF">
        <w:rPr>
          <w:sz w:val="22"/>
          <w:szCs w:val="22"/>
        </w:rPr>
        <w:t>Bonds</w:t>
      </w:r>
    </w:p>
    <w:p w:rsidR="00CA0FEC" w:rsidRPr="00FA58A1" w:rsidRDefault="00CA0FEC" w:rsidP="00CA0FEC">
      <w:pPr>
        <w:autoSpaceDE w:val="0"/>
        <w:autoSpaceDN w:val="0"/>
        <w:adjustRightInd w:val="0"/>
        <w:ind w:firstLine="720"/>
        <w:jc w:val="both"/>
        <w:rPr>
          <w:rFonts w:ascii="Arial" w:hAnsi="Arial" w:cs="Arial"/>
          <w:sz w:val="20"/>
          <w:szCs w:val="20"/>
        </w:rPr>
      </w:pPr>
      <w:r w:rsidRPr="00FA58A1">
        <w:rPr>
          <w:rFonts w:ascii="Arial" w:hAnsi="Arial" w:cs="Arial"/>
          <w:sz w:val="20"/>
          <w:szCs w:val="20"/>
        </w:rPr>
        <w:t>It is a fixed income (debt) instrument issued for a period of more than one year with the purpose of raising capital. The central or state government, corporations and similar institutions sell bonds. A bond is generally a promise to repay the principal along with a fixed rate of interest on a specified date, called the Maturity Date.</w:t>
      </w:r>
    </w:p>
    <w:p w:rsidR="00CA0FEC" w:rsidRPr="00FA58A1" w:rsidRDefault="00CA0FEC" w:rsidP="00CA0FEC">
      <w:pPr>
        <w:spacing w:before="120" w:after="120"/>
        <w:jc w:val="both"/>
        <w:rPr>
          <w:rFonts w:ascii="Arial" w:hAnsi="Arial" w:cs="Arial"/>
          <w:sz w:val="20"/>
          <w:szCs w:val="20"/>
        </w:rPr>
      </w:pPr>
      <w:r w:rsidRPr="00FA58A1">
        <w:rPr>
          <w:rFonts w:ascii="Arial" w:hAnsi="Arial" w:cs="Arial"/>
          <w:sz w:val="20"/>
          <w:szCs w:val="20"/>
        </w:rPr>
        <w:t>These are debt market instruments or coupon bearing instruments (such as bonds, debentures, mortgages) issued by the government, quasi-government bodies or corporations. A fixed interest security can be defined as a tradable negotiable instrument, issued by a borrower for a fixed term, during which a regular and predetermined rate of interest which may be fixed or variable (tied to an index) based upon a nominal value is paid to the holder until it is redeemed and the principal is repaid. Fixed interest securities are commonly termed bonds, stock and debt.</w:t>
      </w:r>
    </w:p>
    <w:p w:rsidR="00CA0FEC" w:rsidRPr="00FA58A1" w:rsidRDefault="00CA0FEC" w:rsidP="00CA0FEC">
      <w:pPr>
        <w:spacing w:before="120" w:after="120"/>
        <w:jc w:val="both"/>
        <w:rPr>
          <w:rFonts w:ascii="Arial" w:hAnsi="Arial" w:cs="Arial"/>
          <w:sz w:val="20"/>
          <w:szCs w:val="20"/>
        </w:rPr>
      </w:pPr>
      <w:r w:rsidRPr="00FA58A1">
        <w:rPr>
          <w:rFonts w:ascii="Arial" w:hAnsi="Arial" w:cs="Arial"/>
          <w:sz w:val="20"/>
          <w:szCs w:val="20"/>
        </w:rPr>
        <w:t>These assets are considered to be relatively safe as they provide a regular stream of income. Of these government-issued securities are considered safer than corporations as there is a higher probability of a corporation defaulting than a sovereign government.</w:t>
      </w:r>
    </w:p>
    <w:p w:rsidR="00CA0FEC" w:rsidRPr="00FA58A1" w:rsidRDefault="00CA0FEC" w:rsidP="00CA0FEC">
      <w:pPr>
        <w:pStyle w:val="Heading5"/>
        <w:spacing w:before="120" w:after="120"/>
        <w:jc w:val="both"/>
        <w:rPr>
          <w:rFonts w:cs="Arial"/>
          <w:color w:val="993300"/>
          <w:szCs w:val="22"/>
        </w:rPr>
      </w:pPr>
      <w:r w:rsidRPr="00FA58A1">
        <w:rPr>
          <w:rFonts w:cs="Arial"/>
          <w:color w:val="993300"/>
          <w:szCs w:val="22"/>
        </w:rPr>
        <w:t>Clean price, Dirty price</w:t>
      </w:r>
    </w:p>
    <w:p w:rsidR="00CA0FEC" w:rsidRPr="00FA58A1" w:rsidRDefault="00CA0FEC" w:rsidP="00CA0FEC">
      <w:pPr>
        <w:pStyle w:val="Heading4"/>
        <w:keepNext w:val="0"/>
        <w:spacing w:before="120" w:after="120"/>
        <w:jc w:val="both"/>
        <w:rPr>
          <w:rFonts w:cs="Arial"/>
          <w:bCs w:val="0"/>
          <w:color w:val="auto"/>
          <w:sz w:val="20"/>
          <w:szCs w:val="20"/>
        </w:rPr>
      </w:pPr>
      <w:r w:rsidRPr="00FA58A1">
        <w:rPr>
          <w:rFonts w:cs="Arial"/>
          <w:bCs w:val="0"/>
          <w:color w:val="auto"/>
          <w:sz w:val="20"/>
          <w:szCs w:val="20"/>
        </w:rPr>
        <w:t xml:space="preserve">The clean price is the </w:t>
      </w:r>
      <w:hyperlink r:id="rId19" w:tooltip="Price" w:history="1">
        <w:r w:rsidRPr="00FA58A1">
          <w:rPr>
            <w:bCs w:val="0"/>
            <w:color w:val="auto"/>
            <w:sz w:val="20"/>
            <w:szCs w:val="20"/>
          </w:rPr>
          <w:t>price</w:t>
        </w:r>
      </w:hyperlink>
      <w:r w:rsidRPr="00FA58A1">
        <w:rPr>
          <w:rFonts w:cs="Arial"/>
          <w:bCs w:val="0"/>
          <w:color w:val="auto"/>
          <w:sz w:val="20"/>
          <w:szCs w:val="20"/>
        </w:rPr>
        <w:t xml:space="preserve"> of a </w:t>
      </w:r>
      <w:hyperlink r:id="rId20" w:tooltip="Bond (finance)" w:history="1">
        <w:r w:rsidRPr="00FA58A1">
          <w:rPr>
            <w:bCs w:val="0"/>
            <w:color w:val="auto"/>
            <w:sz w:val="20"/>
            <w:szCs w:val="20"/>
          </w:rPr>
          <w:t>bond</w:t>
        </w:r>
      </w:hyperlink>
      <w:r w:rsidRPr="00FA58A1">
        <w:rPr>
          <w:rFonts w:cs="Arial"/>
          <w:bCs w:val="0"/>
          <w:color w:val="auto"/>
          <w:sz w:val="20"/>
          <w:szCs w:val="20"/>
        </w:rPr>
        <w:t xml:space="preserve"> excluding any </w:t>
      </w:r>
      <w:hyperlink r:id="rId21" w:tooltip="Interest" w:history="1">
        <w:r w:rsidRPr="00FA58A1">
          <w:rPr>
            <w:bCs w:val="0"/>
            <w:color w:val="auto"/>
            <w:sz w:val="20"/>
            <w:szCs w:val="20"/>
          </w:rPr>
          <w:t>interest</w:t>
        </w:r>
      </w:hyperlink>
      <w:r w:rsidRPr="00FA58A1">
        <w:rPr>
          <w:rFonts w:cs="Arial"/>
          <w:bCs w:val="0"/>
          <w:color w:val="auto"/>
          <w:sz w:val="20"/>
          <w:szCs w:val="20"/>
        </w:rPr>
        <w:t xml:space="preserve"> that has </w:t>
      </w:r>
      <w:hyperlink r:id="rId22" w:tooltip="Accrued interest" w:history="1">
        <w:r w:rsidRPr="00FA58A1">
          <w:rPr>
            <w:bCs w:val="0"/>
            <w:color w:val="auto"/>
            <w:sz w:val="20"/>
            <w:szCs w:val="20"/>
          </w:rPr>
          <w:t>accrued</w:t>
        </w:r>
      </w:hyperlink>
      <w:r w:rsidRPr="00FA58A1">
        <w:rPr>
          <w:rFonts w:cs="Arial"/>
          <w:bCs w:val="0"/>
          <w:color w:val="auto"/>
          <w:sz w:val="20"/>
          <w:szCs w:val="20"/>
        </w:rPr>
        <w:t xml:space="preserve"> since issue or the most recent coupon payment. This is to be compared with the </w:t>
      </w:r>
      <w:hyperlink r:id="rId23" w:tooltip="Dirty price" w:history="1">
        <w:r w:rsidRPr="00FA58A1">
          <w:rPr>
            <w:bCs w:val="0"/>
            <w:color w:val="auto"/>
            <w:sz w:val="20"/>
            <w:szCs w:val="20"/>
          </w:rPr>
          <w:t>dirty price</w:t>
        </w:r>
      </w:hyperlink>
      <w:r w:rsidRPr="00FA58A1">
        <w:rPr>
          <w:rFonts w:cs="Arial"/>
          <w:bCs w:val="0"/>
          <w:color w:val="auto"/>
          <w:sz w:val="20"/>
          <w:szCs w:val="20"/>
        </w:rPr>
        <w:t xml:space="preserve">, which is the price of a bond including the </w:t>
      </w:r>
      <w:hyperlink r:id="rId24" w:tooltip="Accrued interest" w:history="1">
        <w:r w:rsidRPr="00FA58A1">
          <w:rPr>
            <w:bCs w:val="0"/>
            <w:color w:val="auto"/>
            <w:sz w:val="20"/>
            <w:szCs w:val="20"/>
          </w:rPr>
          <w:t>accrued interest</w:t>
        </w:r>
      </w:hyperlink>
      <w:r w:rsidRPr="00FA58A1">
        <w:rPr>
          <w:rFonts w:cs="Arial"/>
          <w:bCs w:val="0"/>
          <w:color w:val="auto"/>
          <w:sz w:val="20"/>
          <w:szCs w:val="20"/>
        </w:rPr>
        <w:t>.</w:t>
      </w:r>
    </w:p>
    <w:p w:rsidR="00CA0FEC" w:rsidRPr="00FA58A1" w:rsidRDefault="00CA0FEC" w:rsidP="00CA0FEC">
      <w:pPr>
        <w:rPr>
          <w:rFonts w:ascii="Arial" w:hAnsi="Arial" w:cs="Arial"/>
          <w:sz w:val="20"/>
          <w:szCs w:val="20"/>
        </w:rPr>
      </w:pPr>
      <w:r w:rsidRPr="00FA58A1">
        <w:rPr>
          <w:rFonts w:ascii="Arial" w:hAnsi="Arial" w:cs="Arial"/>
          <w:sz w:val="20"/>
          <w:szCs w:val="20"/>
        </w:rPr>
        <w:t xml:space="preserve">Therefore </w:t>
      </w:r>
    </w:p>
    <w:p w:rsidR="00CA0FEC" w:rsidRPr="00FA58A1" w:rsidRDefault="00CA0FEC" w:rsidP="00CA0FEC">
      <w:pPr>
        <w:ind w:left="864" w:firstLine="288"/>
        <w:rPr>
          <w:rFonts w:ascii="Arial" w:hAnsi="Arial" w:cs="Arial"/>
          <w:sz w:val="20"/>
          <w:szCs w:val="20"/>
        </w:rPr>
      </w:pPr>
      <w:r w:rsidRPr="00FA58A1">
        <w:rPr>
          <w:rFonts w:ascii="Arial" w:hAnsi="Arial" w:cs="Arial"/>
          <w:sz w:val="20"/>
          <w:szCs w:val="20"/>
        </w:rPr>
        <w:t>Dirty Price = Clean Price + Accrued Interest</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t>Types of Bonds</w:t>
      </w:r>
    </w:p>
    <w:p w:rsidR="00CA0FEC" w:rsidRPr="00FA58A1" w:rsidRDefault="00CA0FEC" w:rsidP="00CA0FEC">
      <w:pPr>
        <w:pStyle w:val="body"/>
        <w:spacing w:before="120" w:after="120" w:line="240" w:lineRule="auto"/>
        <w:jc w:val="both"/>
        <w:rPr>
          <w:rFonts w:ascii="Arial" w:hAnsi="Arial" w:cs="Arial"/>
          <w:sz w:val="20"/>
          <w:szCs w:val="20"/>
        </w:rPr>
      </w:pPr>
      <w:r w:rsidRPr="00FA58A1">
        <w:rPr>
          <w:rFonts w:ascii="Arial" w:hAnsi="Arial" w:cs="Arial"/>
          <w:sz w:val="20"/>
          <w:szCs w:val="20"/>
        </w:rPr>
        <w:t>There are many types of bonds. Bonds issued by different issuers have different names:</w:t>
      </w:r>
    </w:p>
    <w:p w:rsidR="00CA0FEC" w:rsidRPr="00FA58A1" w:rsidRDefault="00CA0FEC" w:rsidP="00CA0FEC">
      <w:pPr>
        <w:pStyle w:val="BodyText-Bullets1"/>
        <w:numPr>
          <w:ilvl w:val="0"/>
          <w:numId w:val="34"/>
        </w:numPr>
        <w:spacing w:before="120" w:line="240" w:lineRule="auto"/>
        <w:rPr>
          <w:rFonts w:cs="Arial"/>
          <w:szCs w:val="20"/>
        </w:rPr>
      </w:pPr>
      <w:r w:rsidRPr="00FA58A1">
        <w:rPr>
          <w:rFonts w:cs="Arial"/>
          <w:szCs w:val="20"/>
        </w:rPr>
        <w:t xml:space="preserve">Treasuries or Gilts – bonds issued by governments </w:t>
      </w:r>
    </w:p>
    <w:p w:rsidR="00CA0FEC" w:rsidRPr="00FA58A1" w:rsidRDefault="00CA0FEC" w:rsidP="00CA0FEC">
      <w:pPr>
        <w:pStyle w:val="BodyText-Bullets1"/>
        <w:numPr>
          <w:ilvl w:val="0"/>
          <w:numId w:val="34"/>
        </w:numPr>
        <w:spacing w:before="120" w:line="240" w:lineRule="auto"/>
        <w:rPr>
          <w:rFonts w:cs="Arial"/>
          <w:szCs w:val="20"/>
        </w:rPr>
      </w:pPr>
      <w:proofErr w:type="spellStart"/>
      <w:r w:rsidRPr="00FA58A1">
        <w:rPr>
          <w:rFonts w:cs="Arial"/>
          <w:szCs w:val="20"/>
        </w:rPr>
        <w:t>Munis</w:t>
      </w:r>
      <w:proofErr w:type="spellEnd"/>
      <w:r w:rsidRPr="00FA58A1">
        <w:rPr>
          <w:rFonts w:cs="Arial"/>
          <w:szCs w:val="20"/>
        </w:rPr>
        <w:t xml:space="preserve"> or Municipal Bonds – bonds issued by local authorities </w:t>
      </w:r>
    </w:p>
    <w:p w:rsidR="00CA0FEC" w:rsidRPr="00FA58A1" w:rsidRDefault="00CA0FEC" w:rsidP="00CA0FEC">
      <w:pPr>
        <w:pStyle w:val="BodyText-Bullets1"/>
        <w:numPr>
          <w:ilvl w:val="0"/>
          <w:numId w:val="34"/>
        </w:numPr>
        <w:spacing w:before="120" w:line="240" w:lineRule="auto"/>
        <w:rPr>
          <w:rFonts w:cs="Arial"/>
          <w:szCs w:val="20"/>
        </w:rPr>
      </w:pPr>
      <w:r w:rsidRPr="00FA58A1">
        <w:rPr>
          <w:rFonts w:cs="Arial"/>
          <w:szCs w:val="20"/>
        </w:rPr>
        <w:t>Corporate Bonds – bonds issued by domestic corporate</w:t>
      </w:r>
    </w:p>
    <w:p w:rsidR="00CA0FEC" w:rsidRPr="00FA58A1" w:rsidRDefault="00CA0FEC" w:rsidP="00CA0FEC">
      <w:pPr>
        <w:pStyle w:val="BodyText-Bullets1"/>
        <w:numPr>
          <w:ilvl w:val="0"/>
          <w:numId w:val="0"/>
        </w:numPr>
        <w:spacing w:before="120" w:line="240" w:lineRule="auto"/>
        <w:ind w:left="360"/>
        <w:rPr>
          <w:rFonts w:cs="Arial"/>
          <w:szCs w:val="20"/>
        </w:rPr>
      </w:pPr>
    </w:p>
    <w:p w:rsidR="00CA0FEC" w:rsidRPr="00FA58A1" w:rsidRDefault="00CA0FEC" w:rsidP="00CA0FEC">
      <w:pPr>
        <w:spacing w:before="120" w:after="120"/>
        <w:jc w:val="both"/>
        <w:rPr>
          <w:rFonts w:ascii="Arial" w:hAnsi="Arial" w:cs="Arial"/>
          <w:sz w:val="20"/>
          <w:szCs w:val="20"/>
        </w:rPr>
      </w:pPr>
      <w:r w:rsidRPr="00FA58A1">
        <w:rPr>
          <w:rFonts w:ascii="Arial" w:hAnsi="Arial" w:cs="Arial"/>
          <w:sz w:val="20"/>
          <w:szCs w:val="20"/>
        </w:rPr>
        <w:t>Apart from the above, there are a large number of fixed income securities created by financial engineering and innovations by investment banks. The most common of them are:</w:t>
      </w:r>
    </w:p>
    <w:p w:rsidR="00CA0FEC" w:rsidRPr="00FA58A1" w:rsidRDefault="00CA0FEC" w:rsidP="00CA0FEC">
      <w:pPr>
        <w:pStyle w:val="BodyText-Bullets1"/>
        <w:numPr>
          <w:ilvl w:val="0"/>
          <w:numId w:val="33"/>
        </w:numPr>
        <w:spacing w:line="240" w:lineRule="auto"/>
        <w:rPr>
          <w:rFonts w:cs="Arial"/>
          <w:szCs w:val="20"/>
        </w:rPr>
      </w:pPr>
      <w:r w:rsidRPr="00FA58A1">
        <w:rPr>
          <w:rFonts w:cs="Arial"/>
          <w:b/>
          <w:szCs w:val="20"/>
        </w:rPr>
        <w:lastRenderedPageBreak/>
        <w:t>Asset-backed Securities (ABS)</w:t>
      </w:r>
      <w:r w:rsidRPr="00FA58A1">
        <w:rPr>
          <w:rFonts w:cs="Arial"/>
          <w:szCs w:val="20"/>
        </w:rPr>
        <w:t xml:space="preserve"> – These are created by a process </w:t>
      </w:r>
      <w:proofErr w:type="spellStart"/>
      <w:r w:rsidRPr="00FA58A1">
        <w:rPr>
          <w:rFonts w:cs="Arial"/>
          <w:szCs w:val="20"/>
        </w:rPr>
        <w:t>knows</w:t>
      </w:r>
      <w:proofErr w:type="spellEnd"/>
      <w:r w:rsidRPr="00FA58A1">
        <w:rPr>
          <w:rFonts w:cs="Arial"/>
          <w:szCs w:val="20"/>
        </w:rPr>
        <w:t xml:space="preserve"> as </w:t>
      </w:r>
      <w:r w:rsidRPr="00FA58A1">
        <w:rPr>
          <w:rFonts w:cs="Arial"/>
          <w:i/>
          <w:szCs w:val="20"/>
        </w:rPr>
        <w:t>Securitization</w:t>
      </w:r>
      <w:r w:rsidRPr="00FA58A1">
        <w:rPr>
          <w:rFonts w:cs="Arial"/>
          <w:szCs w:val="20"/>
        </w:rPr>
        <w:t xml:space="preserve">. Securitization is packaging the rights to the future revenue stream from a collection of assets into a bond issue. It was originally used in the </w:t>
      </w:r>
      <w:smartTag w:uri="urn:schemas-microsoft-com:office:smarttags" w:element="place">
        <w:smartTag w:uri="urn:schemas-microsoft-com:office:smarttags" w:element="country-region">
          <w:r w:rsidRPr="00FA58A1">
            <w:rPr>
              <w:rFonts w:cs="Arial"/>
              <w:szCs w:val="20"/>
            </w:rPr>
            <w:t>US</w:t>
          </w:r>
        </w:smartTag>
      </w:smartTag>
      <w:r w:rsidRPr="00FA58A1">
        <w:rPr>
          <w:rFonts w:cs="Arial"/>
          <w:szCs w:val="20"/>
        </w:rPr>
        <w:t xml:space="preserve"> in the early 1970s to package future interest payments from a pool of mortgages, known as Collateralized Mortgage Obligations (CMOs) or mortgage-backed securities (MBS). Securitization has since been extended to credit card debts and </w:t>
      </w:r>
      <w:proofErr w:type="gramStart"/>
      <w:r w:rsidRPr="00FA58A1">
        <w:rPr>
          <w:rFonts w:cs="Arial"/>
          <w:szCs w:val="20"/>
        </w:rPr>
        <w:t>to</w:t>
      </w:r>
      <w:proofErr w:type="gramEnd"/>
      <w:r w:rsidRPr="00FA58A1">
        <w:rPr>
          <w:rFonts w:cs="Arial"/>
          <w:szCs w:val="20"/>
        </w:rPr>
        <w:t xml:space="preserve"> many other forms of future revenue streams. These are termed Asset Backed Securities (ABSs).</w:t>
      </w:r>
    </w:p>
    <w:p w:rsidR="00CA0FEC" w:rsidRPr="00FA58A1" w:rsidRDefault="00CA0FEC" w:rsidP="00CA0FEC">
      <w:pPr>
        <w:pStyle w:val="BodyText-Bullets1"/>
        <w:numPr>
          <w:ilvl w:val="0"/>
          <w:numId w:val="33"/>
        </w:numPr>
        <w:spacing w:before="120" w:line="240" w:lineRule="auto"/>
      </w:pPr>
      <w:r w:rsidRPr="00FA58A1">
        <w:rPr>
          <w:rFonts w:cs="Arial"/>
          <w:b/>
          <w:szCs w:val="20"/>
        </w:rPr>
        <w:t>Bond Yields</w:t>
      </w:r>
      <w:r>
        <w:rPr>
          <w:rFonts w:cs="Arial"/>
          <w:b/>
          <w:szCs w:val="20"/>
        </w:rPr>
        <w:t xml:space="preserve"> - </w:t>
      </w:r>
      <w:r w:rsidRPr="00FA58A1">
        <w:t xml:space="preserve">The return from bonds, like equities, comprises two elements: the income return and that from price, or capital, movements during the period the security is held – unless it is purchased when issued at par and held to redemption and redeemed at par, in which case the return will simply comprise the coupon payments received over the term of the bond. </w:t>
      </w:r>
    </w:p>
    <w:p w:rsidR="00CA0FEC" w:rsidRPr="00FA58A1" w:rsidRDefault="00CA0FEC" w:rsidP="00CA0FEC">
      <w:pPr>
        <w:pStyle w:val="BodyText-Bullets1"/>
        <w:numPr>
          <w:ilvl w:val="0"/>
          <w:numId w:val="33"/>
        </w:numPr>
        <w:spacing w:before="120" w:line="240" w:lineRule="auto"/>
        <w:rPr>
          <w:rFonts w:cs="Arial"/>
          <w:szCs w:val="20"/>
        </w:rPr>
      </w:pPr>
      <w:r w:rsidRPr="00FA58A1">
        <w:rPr>
          <w:rFonts w:cs="Arial"/>
          <w:b/>
          <w:szCs w:val="20"/>
        </w:rPr>
        <w:t>Yield to Maturity (YTM)</w:t>
      </w:r>
      <w:r>
        <w:rPr>
          <w:rFonts w:cs="Arial"/>
          <w:b/>
          <w:szCs w:val="20"/>
        </w:rPr>
        <w:t xml:space="preserve"> -</w:t>
      </w:r>
      <w:r w:rsidRPr="004B3BDF">
        <w:rPr>
          <w:rFonts w:cs="Arial"/>
          <w:b/>
          <w:sz w:val="22"/>
        </w:rPr>
        <w:t xml:space="preserve"> </w:t>
      </w:r>
      <w:r w:rsidRPr="00FA58A1">
        <w:rPr>
          <w:rFonts w:cs="Arial"/>
          <w:szCs w:val="20"/>
        </w:rPr>
        <w:t xml:space="preserve">Also known as Gross Redemption Yield (GRY) or sometimes just Yield, it is the IRR that equates the price of the bond to the present value of its cash flows, namely its coupon payments and final redemption payment. GRY is typically approximated by using interpolation or using the formula GRY = running yield + [(par – market price/number years to redemption)/market price] x 100. </w:t>
      </w:r>
    </w:p>
    <w:p w:rsidR="00CA0FEC" w:rsidRPr="002A79D0" w:rsidRDefault="00CA0FEC" w:rsidP="00CA0FEC">
      <w:pPr>
        <w:pStyle w:val="body"/>
        <w:spacing w:before="120" w:after="120" w:line="240" w:lineRule="auto"/>
        <w:jc w:val="both"/>
        <w:rPr>
          <w:rFonts w:ascii="Arial" w:hAnsi="Arial" w:cs="Arial"/>
          <w:sz w:val="20"/>
          <w:szCs w:val="20"/>
        </w:rPr>
      </w:pPr>
      <w:r w:rsidRPr="002A79D0">
        <w:rPr>
          <w:rFonts w:ascii="Arial" w:hAnsi="Arial" w:cs="Arial"/>
          <w:sz w:val="20"/>
          <w:szCs w:val="20"/>
        </w:rPr>
        <w:t>Although YTM is the most common measure of bond yield, it has its drawbacks:</w:t>
      </w:r>
    </w:p>
    <w:p w:rsidR="00CA0FEC" w:rsidRPr="002A79D0" w:rsidRDefault="00CA0FEC" w:rsidP="00CA0FEC">
      <w:pPr>
        <w:pStyle w:val="BodyText-Bullets1"/>
        <w:numPr>
          <w:ilvl w:val="0"/>
          <w:numId w:val="33"/>
        </w:numPr>
        <w:spacing w:line="240" w:lineRule="auto"/>
        <w:rPr>
          <w:rFonts w:cs="Arial"/>
          <w:szCs w:val="20"/>
        </w:rPr>
      </w:pPr>
      <w:r w:rsidRPr="002A79D0">
        <w:rPr>
          <w:rFonts w:cs="Arial"/>
          <w:szCs w:val="20"/>
        </w:rPr>
        <w:t>It assumes that bond will be held to maturity</w:t>
      </w:r>
    </w:p>
    <w:p w:rsidR="00CA0FEC" w:rsidRPr="002A79D0" w:rsidRDefault="00CA0FEC" w:rsidP="00CA0FEC">
      <w:pPr>
        <w:pStyle w:val="BodyText-Bullets1"/>
        <w:numPr>
          <w:ilvl w:val="0"/>
          <w:numId w:val="33"/>
        </w:numPr>
        <w:spacing w:line="240" w:lineRule="auto"/>
        <w:rPr>
          <w:rFonts w:cs="Arial"/>
          <w:szCs w:val="20"/>
        </w:rPr>
      </w:pPr>
      <w:r w:rsidRPr="002A79D0">
        <w:rPr>
          <w:rFonts w:cs="Arial"/>
          <w:szCs w:val="20"/>
        </w:rPr>
        <w:t>It assumes that coupon payments will be reinvested at the same rate of interest</w:t>
      </w:r>
    </w:p>
    <w:p w:rsidR="00CA0FEC" w:rsidRPr="002A79D0" w:rsidRDefault="00CA0FEC" w:rsidP="00CA0FEC">
      <w:pPr>
        <w:pStyle w:val="body"/>
        <w:spacing w:before="120" w:after="120" w:line="240" w:lineRule="auto"/>
        <w:jc w:val="both"/>
        <w:rPr>
          <w:rFonts w:ascii="Arial" w:hAnsi="Arial" w:cs="Arial"/>
          <w:sz w:val="20"/>
          <w:szCs w:val="20"/>
        </w:rPr>
      </w:pPr>
      <w:r w:rsidRPr="002A79D0">
        <w:rPr>
          <w:rFonts w:ascii="Arial" w:hAnsi="Arial" w:cs="Arial"/>
          <w:sz w:val="20"/>
          <w:szCs w:val="20"/>
        </w:rPr>
        <w:t>If, however, the prevailing market rate of interest is lower than the GRY, then the true annualized compound annual return from the bond will also be lower than that implied by the GRY. This is known as reinvestment risk.</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t>Bond Risks</w:t>
      </w:r>
    </w:p>
    <w:p w:rsidR="00CA0FEC" w:rsidRPr="002A79D0" w:rsidRDefault="00CA0FEC" w:rsidP="00CA0FEC">
      <w:pPr>
        <w:pStyle w:val="body"/>
        <w:spacing w:before="120" w:after="120" w:line="240" w:lineRule="auto"/>
        <w:jc w:val="both"/>
        <w:rPr>
          <w:rFonts w:ascii="Arial" w:hAnsi="Arial" w:cs="Arial"/>
          <w:sz w:val="20"/>
          <w:szCs w:val="20"/>
        </w:rPr>
      </w:pPr>
      <w:r w:rsidRPr="002A79D0">
        <w:rPr>
          <w:rFonts w:ascii="Arial" w:hAnsi="Arial" w:cs="Arial"/>
          <w:sz w:val="20"/>
          <w:szCs w:val="20"/>
        </w:rPr>
        <w:t>There are a number of risks that need to be taken into consideration and factored in while investing in bonds:</w:t>
      </w:r>
    </w:p>
    <w:p w:rsidR="00CA0FEC" w:rsidRPr="002A79D0" w:rsidRDefault="00CA0FEC" w:rsidP="00CA0FEC">
      <w:pPr>
        <w:pStyle w:val="BodyText-Bullets1"/>
        <w:numPr>
          <w:ilvl w:val="0"/>
          <w:numId w:val="35"/>
        </w:numPr>
        <w:spacing w:line="240" w:lineRule="auto"/>
        <w:rPr>
          <w:rFonts w:cs="Arial"/>
          <w:szCs w:val="20"/>
        </w:rPr>
      </w:pPr>
      <w:r w:rsidRPr="002A79D0">
        <w:rPr>
          <w:rFonts w:cs="Arial"/>
          <w:i/>
          <w:szCs w:val="20"/>
        </w:rPr>
        <w:t>Early redemption risk</w:t>
      </w:r>
      <w:r w:rsidRPr="002A79D0">
        <w:rPr>
          <w:rFonts w:cs="Arial"/>
          <w:szCs w:val="20"/>
        </w:rPr>
        <w:t xml:space="preserve"> – if the bond is callable</w:t>
      </w:r>
    </w:p>
    <w:p w:rsidR="00CA0FEC" w:rsidRPr="002A79D0" w:rsidRDefault="00CA0FEC" w:rsidP="00CA0FEC">
      <w:pPr>
        <w:pStyle w:val="BodyText-Bullets1"/>
        <w:numPr>
          <w:ilvl w:val="0"/>
          <w:numId w:val="35"/>
        </w:numPr>
        <w:spacing w:line="240" w:lineRule="auto"/>
        <w:rPr>
          <w:rFonts w:cs="Arial"/>
          <w:szCs w:val="20"/>
        </w:rPr>
      </w:pPr>
      <w:r w:rsidRPr="002A79D0">
        <w:rPr>
          <w:rFonts w:cs="Arial"/>
          <w:i/>
          <w:szCs w:val="20"/>
        </w:rPr>
        <w:t>Seniority risk</w:t>
      </w:r>
      <w:r w:rsidRPr="002A79D0">
        <w:rPr>
          <w:rFonts w:cs="Arial"/>
          <w:szCs w:val="20"/>
        </w:rPr>
        <w:t xml:space="preserve"> – seniority of debt in case of liquidation</w:t>
      </w:r>
    </w:p>
    <w:p w:rsidR="00CA0FEC" w:rsidRPr="002A79D0" w:rsidRDefault="00CA0FEC" w:rsidP="00CA0FEC">
      <w:pPr>
        <w:pStyle w:val="BodyText-Bullets1"/>
        <w:numPr>
          <w:ilvl w:val="0"/>
          <w:numId w:val="35"/>
        </w:numPr>
        <w:spacing w:line="240" w:lineRule="auto"/>
        <w:rPr>
          <w:rFonts w:cs="Arial"/>
          <w:szCs w:val="20"/>
        </w:rPr>
      </w:pPr>
      <w:r w:rsidRPr="002A79D0">
        <w:rPr>
          <w:rFonts w:cs="Arial"/>
          <w:i/>
          <w:szCs w:val="20"/>
        </w:rPr>
        <w:t>Unanticipated inflation risk</w:t>
      </w:r>
      <w:r w:rsidRPr="002A79D0">
        <w:rPr>
          <w:rFonts w:cs="Arial"/>
          <w:szCs w:val="20"/>
        </w:rPr>
        <w:t xml:space="preserve"> – as inflation affects real value of coupon payments</w:t>
      </w:r>
    </w:p>
    <w:p w:rsidR="00CA0FEC" w:rsidRPr="002A79D0" w:rsidRDefault="00CA0FEC" w:rsidP="00CA0FEC">
      <w:pPr>
        <w:pStyle w:val="BodyText-Bullets1"/>
        <w:numPr>
          <w:ilvl w:val="0"/>
          <w:numId w:val="35"/>
        </w:numPr>
        <w:spacing w:line="240" w:lineRule="auto"/>
        <w:rPr>
          <w:rFonts w:cs="Arial"/>
          <w:szCs w:val="20"/>
        </w:rPr>
      </w:pPr>
      <w:r w:rsidRPr="002A79D0">
        <w:rPr>
          <w:rFonts w:cs="Arial"/>
          <w:i/>
          <w:szCs w:val="20"/>
        </w:rPr>
        <w:t>Liquidity risk</w:t>
      </w:r>
      <w:r w:rsidRPr="002A79D0">
        <w:rPr>
          <w:rFonts w:cs="Arial"/>
          <w:szCs w:val="20"/>
        </w:rPr>
        <w:t xml:space="preserve"> – not all bonds are widely traded</w:t>
      </w:r>
    </w:p>
    <w:p w:rsidR="00CA0FEC" w:rsidRPr="002A79D0" w:rsidRDefault="00CA0FEC" w:rsidP="00CA0FEC">
      <w:pPr>
        <w:pStyle w:val="BodyText-Bullets1"/>
        <w:numPr>
          <w:ilvl w:val="0"/>
          <w:numId w:val="35"/>
        </w:numPr>
        <w:spacing w:line="240" w:lineRule="auto"/>
        <w:rPr>
          <w:rFonts w:cs="Arial"/>
          <w:szCs w:val="20"/>
        </w:rPr>
      </w:pPr>
      <w:r w:rsidRPr="002A79D0">
        <w:rPr>
          <w:rFonts w:cs="Arial"/>
          <w:i/>
          <w:szCs w:val="20"/>
        </w:rPr>
        <w:t>Exchange rate risk</w:t>
      </w:r>
      <w:r w:rsidRPr="002A79D0">
        <w:rPr>
          <w:rFonts w:cs="Arial"/>
          <w:szCs w:val="20"/>
        </w:rPr>
        <w:t xml:space="preserve"> – when the coupon payments or principal redemption are made in a currency different from investor’s base or domestic currency, the exchange rate fluctuations affect effective yield</w:t>
      </w:r>
    </w:p>
    <w:p w:rsidR="00CA0FEC" w:rsidRPr="002A79D0" w:rsidRDefault="00CA0FEC" w:rsidP="00CA0FEC">
      <w:pPr>
        <w:pStyle w:val="BodyText-Bullets1"/>
        <w:numPr>
          <w:ilvl w:val="0"/>
          <w:numId w:val="35"/>
        </w:numPr>
        <w:spacing w:line="240" w:lineRule="auto"/>
        <w:rPr>
          <w:rFonts w:cs="Arial"/>
          <w:szCs w:val="20"/>
        </w:rPr>
      </w:pPr>
      <w:r w:rsidRPr="002A79D0">
        <w:rPr>
          <w:rFonts w:cs="Arial"/>
          <w:i/>
          <w:szCs w:val="20"/>
        </w:rPr>
        <w:t>Credit risk</w:t>
      </w:r>
      <w:r w:rsidRPr="002A79D0">
        <w:rPr>
          <w:rFonts w:cs="Arial"/>
          <w:szCs w:val="20"/>
        </w:rPr>
        <w:t xml:space="preserve"> – risk of issuer defaulting on their payment obligation can be assessed by referring to the independent credit ratings given to most bond issues by rating agencies such as S&amp;P, Moody’s, and Fitch. </w:t>
      </w:r>
    </w:p>
    <w:p w:rsidR="00CA0FEC" w:rsidRPr="002A79D0" w:rsidRDefault="00CA0FEC" w:rsidP="00CA0FEC">
      <w:pPr>
        <w:pStyle w:val="BodyText-Bullets1"/>
        <w:numPr>
          <w:ilvl w:val="0"/>
          <w:numId w:val="35"/>
        </w:numPr>
        <w:spacing w:line="240" w:lineRule="auto"/>
        <w:rPr>
          <w:rFonts w:cs="Arial"/>
          <w:szCs w:val="20"/>
        </w:rPr>
      </w:pPr>
      <w:r w:rsidRPr="002A79D0">
        <w:rPr>
          <w:rFonts w:cs="Arial"/>
          <w:i/>
          <w:szCs w:val="20"/>
        </w:rPr>
        <w:t>Interest rate risk</w:t>
      </w:r>
      <w:r w:rsidRPr="002A79D0">
        <w:rPr>
          <w:rFonts w:cs="Arial"/>
          <w:szCs w:val="20"/>
        </w:rPr>
        <w:t xml:space="preserve"> – There is an inverse relationship between yields and bond prices, given by the theoretical bond price formula. Yields may rise due to inflation expectations or downgrading of credit rating, but increase in the market rate of interest is the most common cause of rising yields.</w:t>
      </w:r>
    </w:p>
    <w:p w:rsidR="00CA0FEC" w:rsidRDefault="00CA0FEC" w:rsidP="00CA0FEC">
      <w:pPr>
        <w:ind w:left="360"/>
        <w:jc w:val="both"/>
        <w:outlineLvl w:val="3"/>
        <w:rPr>
          <w:rFonts w:ascii="Arial" w:hAnsi="Arial" w:cs="Arial"/>
          <w:sz w:val="22"/>
          <w:szCs w:val="22"/>
        </w:rPr>
      </w:pPr>
    </w:p>
    <w:p w:rsidR="00CA0FEC" w:rsidRPr="00A75FD9" w:rsidRDefault="00CA0FEC" w:rsidP="00CA0FEC">
      <w:pPr>
        <w:pStyle w:val="Heading3"/>
        <w:keepNext w:val="0"/>
        <w:tabs>
          <w:tab w:val="clear" w:pos="6444"/>
          <w:tab w:val="num" w:pos="540"/>
        </w:tabs>
        <w:spacing w:before="120" w:after="120"/>
        <w:ind w:left="0" w:firstLine="0"/>
        <w:jc w:val="both"/>
        <w:rPr>
          <w:sz w:val="22"/>
          <w:szCs w:val="22"/>
        </w:rPr>
      </w:pPr>
      <w:r>
        <w:rPr>
          <w:sz w:val="22"/>
          <w:szCs w:val="22"/>
        </w:rPr>
        <w:lastRenderedPageBreak/>
        <w:t>T Bills</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Short-term obligations of a Government issued for periods of one year or less.</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Treasury bills do not carry a rate of interest and are issued at a discount on the par value.</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Treasury bills ar</w:t>
      </w:r>
      <w:r w:rsidR="00EB744E">
        <w:rPr>
          <w:rFonts w:cs="Arial"/>
          <w:szCs w:val="20"/>
        </w:rPr>
        <w:t>e repaid at par on the due date and s</w:t>
      </w:r>
      <w:r w:rsidRPr="00705CBA">
        <w:rPr>
          <w:rFonts w:cs="Arial"/>
          <w:szCs w:val="20"/>
        </w:rPr>
        <w:t>old at weekly auctions.</w:t>
      </w:r>
    </w:p>
    <w:p w:rsidR="00CA0FEC" w:rsidRPr="00A75FD9" w:rsidRDefault="00CA0FEC" w:rsidP="00CA0FEC">
      <w:pPr>
        <w:pStyle w:val="BodyText-Bullets1"/>
        <w:numPr>
          <w:ilvl w:val="0"/>
          <w:numId w:val="35"/>
        </w:numPr>
        <w:spacing w:line="240" w:lineRule="auto"/>
        <w:outlineLvl w:val="3"/>
        <w:rPr>
          <w:rFonts w:cs="Arial"/>
          <w:sz w:val="22"/>
        </w:rPr>
      </w:pPr>
      <w:r w:rsidRPr="00A75FD9">
        <w:rPr>
          <w:rFonts w:cs="Arial"/>
          <w:szCs w:val="20"/>
        </w:rPr>
        <w:t>They are considered risk-free because they are issued by the US government.</w:t>
      </w:r>
    </w:p>
    <w:p w:rsidR="00CA0FEC" w:rsidRPr="00A75FD9" w:rsidRDefault="00CA0FEC" w:rsidP="00CA0FEC">
      <w:pPr>
        <w:pStyle w:val="Heading3"/>
        <w:keepNext w:val="0"/>
        <w:tabs>
          <w:tab w:val="clear" w:pos="6444"/>
          <w:tab w:val="num" w:pos="540"/>
        </w:tabs>
        <w:spacing w:before="120" w:after="120"/>
        <w:ind w:left="0" w:firstLine="0"/>
        <w:jc w:val="both"/>
        <w:rPr>
          <w:sz w:val="22"/>
          <w:szCs w:val="22"/>
        </w:rPr>
      </w:pPr>
      <w:r w:rsidRPr="00522DA1">
        <w:rPr>
          <w:sz w:val="22"/>
          <w:szCs w:val="22"/>
        </w:rPr>
        <w:t>Commercial Paper (CP)</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An unsecured promissory note issued by a corporation for a specific amount and maturing on a specific day that cannot be farther into the future than 270 days.</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The bulk of the CP issued is for maturities of less than two months.</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The original purpose of commercial paper was to provide funds for short-term seasonal and working capital needs.</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In recent years CP has been used for “bridge financing” for plant and equipment expenditures or to temporarily fund a corporate takeover.</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 xml:space="preserve">Rated by credit agencies (S&amp;P and Moody’s) </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The minimum lot transaction is $100,000, but most of the paper is bought in million dollar blocks.</w:t>
      </w:r>
    </w:p>
    <w:p w:rsidR="00CA0FEC" w:rsidRPr="00705CBA" w:rsidRDefault="00CA0FEC" w:rsidP="00CA0FEC">
      <w:pPr>
        <w:pStyle w:val="BodyText-Bullets1"/>
        <w:numPr>
          <w:ilvl w:val="0"/>
          <w:numId w:val="35"/>
        </w:numPr>
        <w:spacing w:line="240" w:lineRule="auto"/>
        <w:rPr>
          <w:rFonts w:cs="Arial"/>
          <w:szCs w:val="20"/>
        </w:rPr>
      </w:pPr>
      <w:r w:rsidRPr="00705CBA">
        <w:rPr>
          <w:rFonts w:cs="Arial"/>
          <w:szCs w:val="20"/>
        </w:rPr>
        <w:t>Generally regarded as a very safe investment; as a relatively low risk option returns are not large.</w:t>
      </w:r>
    </w:p>
    <w:p w:rsidR="00CA0FEC" w:rsidRPr="00A75FD9" w:rsidRDefault="00CA0FEC" w:rsidP="00CA0FEC">
      <w:pPr>
        <w:pStyle w:val="Heading3"/>
        <w:keepNext w:val="0"/>
        <w:tabs>
          <w:tab w:val="clear" w:pos="6444"/>
          <w:tab w:val="num" w:pos="540"/>
        </w:tabs>
        <w:spacing w:before="120" w:after="120"/>
        <w:ind w:left="0" w:firstLine="0"/>
        <w:jc w:val="both"/>
        <w:rPr>
          <w:sz w:val="22"/>
          <w:szCs w:val="22"/>
        </w:rPr>
      </w:pPr>
      <w:r>
        <w:rPr>
          <w:sz w:val="22"/>
          <w:szCs w:val="22"/>
        </w:rPr>
        <w:t>Certificate of Deposit</w:t>
      </w:r>
    </w:p>
    <w:p w:rsidR="00CA0FEC" w:rsidRPr="004B3BDF" w:rsidRDefault="00CA0FEC" w:rsidP="00A75FD9">
      <w:pPr>
        <w:jc w:val="both"/>
        <w:outlineLvl w:val="3"/>
        <w:rPr>
          <w:rFonts w:ascii="Arial" w:hAnsi="Arial" w:cs="Arial"/>
          <w:b/>
          <w:bCs/>
          <w:color w:val="993366"/>
          <w:sz w:val="22"/>
          <w:szCs w:val="22"/>
        </w:rPr>
      </w:pPr>
      <w:r w:rsidRPr="00EB744E">
        <w:rPr>
          <w:rFonts w:ascii="Arial" w:hAnsi="Arial" w:cs="Arial"/>
          <w:bCs/>
          <w:sz w:val="20"/>
          <w:szCs w:val="20"/>
        </w:rPr>
        <w:t xml:space="preserve">Certificate of deposit or CD is a </w:t>
      </w:r>
      <w:hyperlink r:id="rId25" w:tooltip="Time deposit" w:history="1">
        <w:r w:rsidRPr="00EB744E">
          <w:rPr>
            <w:rFonts w:ascii="Arial" w:hAnsi="Arial" w:cs="Arial"/>
            <w:bCs/>
            <w:sz w:val="20"/>
            <w:szCs w:val="20"/>
          </w:rPr>
          <w:t>time deposit</w:t>
        </w:r>
      </w:hyperlink>
      <w:r w:rsidRPr="00EB744E">
        <w:rPr>
          <w:rFonts w:ascii="Arial" w:hAnsi="Arial" w:cs="Arial"/>
          <w:bCs/>
          <w:sz w:val="20"/>
          <w:szCs w:val="20"/>
        </w:rPr>
        <w:t xml:space="preserve">, a financial product commonly offered to consumers by </w:t>
      </w:r>
      <w:hyperlink r:id="rId26" w:tooltip="Bank" w:history="1">
        <w:r w:rsidRPr="00EB744E">
          <w:rPr>
            <w:rFonts w:ascii="Arial" w:hAnsi="Arial" w:cs="Arial"/>
            <w:bCs/>
            <w:sz w:val="20"/>
            <w:szCs w:val="20"/>
          </w:rPr>
          <w:t>banks</w:t>
        </w:r>
      </w:hyperlink>
      <w:r w:rsidRPr="00EB744E">
        <w:rPr>
          <w:rFonts w:ascii="Arial" w:hAnsi="Arial" w:cs="Arial"/>
          <w:bCs/>
          <w:sz w:val="20"/>
          <w:szCs w:val="20"/>
        </w:rPr>
        <w:t xml:space="preserve">, </w:t>
      </w:r>
      <w:hyperlink r:id="rId27" w:tooltip="Savings and loan association" w:history="1">
        <w:r w:rsidRPr="00EB744E">
          <w:rPr>
            <w:rFonts w:ascii="Arial" w:hAnsi="Arial" w:cs="Arial"/>
            <w:bCs/>
            <w:sz w:val="20"/>
            <w:szCs w:val="20"/>
          </w:rPr>
          <w:t>thrift institutions</w:t>
        </w:r>
      </w:hyperlink>
      <w:r w:rsidRPr="00EB744E">
        <w:rPr>
          <w:rFonts w:ascii="Arial" w:hAnsi="Arial" w:cs="Arial"/>
          <w:bCs/>
          <w:sz w:val="20"/>
          <w:szCs w:val="20"/>
        </w:rPr>
        <w:t xml:space="preserve">, and </w:t>
      </w:r>
      <w:hyperlink r:id="rId28" w:tooltip="Credit union" w:history="1">
        <w:r w:rsidRPr="00EB744E">
          <w:rPr>
            <w:rFonts w:ascii="Arial" w:hAnsi="Arial" w:cs="Arial"/>
            <w:bCs/>
            <w:sz w:val="20"/>
            <w:szCs w:val="20"/>
          </w:rPr>
          <w:t>credit unions</w:t>
        </w:r>
      </w:hyperlink>
      <w:r w:rsidRPr="00EB744E">
        <w:rPr>
          <w:rFonts w:ascii="Arial" w:hAnsi="Arial" w:cs="Arial"/>
          <w:bCs/>
          <w:sz w:val="20"/>
          <w:szCs w:val="20"/>
        </w:rPr>
        <w:t xml:space="preserve">. Certificate of Deposits remain the most popular instrument for financial savings </w:t>
      </w:r>
      <w:proofErr w:type="gramStart"/>
      <w:r w:rsidRPr="00EB744E">
        <w:rPr>
          <w:rFonts w:ascii="Arial" w:hAnsi="Arial" w:cs="Arial"/>
          <w:bCs/>
          <w:sz w:val="20"/>
          <w:szCs w:val="20"/>
        </w:rPr>
        <w:t>They</w:t>
      </w:r>
      <w:proofErr w:type="gramEnd"/>
      <w:r w:rsidRPr="00EB744E">
        <w:rPr>
          <w:rFonts w:ascii="Arial" w:hAnsi="Arial" w:cs="Arial"/>
          <w:bCs/>
          <w:sz w:val="20"/>
          <w:szCs w:val="20"/>
        </w:rPr>
        <w:t xml:space="preserve"> are the middle path investments with adequate returns and sufficient liquidity. They carry zero risk and low returns. </w:t>
      </w:r>
    </w:p>
    <w:p w:rsidR="00CA0FEC" w:rsidRPr="004B3BDF" w:rsidRDefault="00CA0FEC" w:rsidP="00CA0FEC">
      <w:pPr>
        <w:pStyle w:val="Heading3"/>
        <w:keepNext w:val="0"/>
        <w:tabs>
          <w:tab w:val="clear" w:pos="6444"/>
          <w:tab w:val="num" w:pos="540"/>
        </w:tabs>
        <w:spacing w:before="120" w:after="120"/>
        <w:ind w:left="0" w:firstLine="0"/>
        <w:jc w:val="both"/>
        <w:rPr>
          <w:sz w:val="22"/>
          <w:szCs w:val="22"/>
        </w:rPr>
      </w:pPr>
      <w:r w:rsidRPr="004B3BDF">
        <w:rPr>
          <w:sz w:val="22"/>
          <w:szCs w:val="22"/>
        </w:rPr>
        <w:t>Equities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This class includes those assets that offer a high growth potential but are associated with a higher risk. This usually includes stocks that have been traditionally known to offer higher returns than most other assets in a long-term perspective. But the risks involved in investing in stocks are also high. </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Besides growth appreciation different stocks carry varying degrees of risk. For example stocks of emerging markets like </w:t>
      </w:r>
      <w:smartTag w:uri="urn:schemas-microsoft-com:office:smarttags" w:element="place">
        <w:r w:rsidRPr="002A79D0">
          <w:rPr>
            <w:rFonts w:ascii="Arial" w:hAnsi="Arial" w:cs="Arial"/>
            <w:sz w:val="20"/>
            <w:szCs w:val="20"/>
          </w:rPr>
          <w:t>Latin America</w:t>
        </w:r>
      </w:smartTag>
      <w:r w:rsidRPr="002A79D0">
        <w:rPr>
          <w:rFonts w:ascii="Arial" w:hAnsi="Arial" w:cs="Arial"/>
          <w:sz w:val="20"/>
          <w:szCs w:val="20"/>
        </w:rPr>
        <w:t xml:space="preserve"> are riskier than US stocks. Or a stock belonging to the pharmaceutical industry could be termed less risky vis-à-vis a cyclical industry like steel or fertilizers.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Different types of equity securities include:</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t>Ordinary Shares / Common Stock</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Purchasing a company’s ordinary shares or common stock confers an equity interest in the company. That is, a direct stake is taken in the company’s fortunes. As such, a company’s ordinary share capital is also known as its risk capital given that ordinary shareholders are always the last in line to be paid an income and the last to be repaid their capital in the event of the company’s liquidation. Over the longer term, however, ordinary shareholders have been handsomely rewarded for assuming this equity risk though in the short term have generally experienced a greater volatility in their returns than any of the other main asset types. Most ordinary shares are irredeemable, voting shares. However, companies may also issue non-voting shares, redeemable shares, or deferred (dividend) shares. </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lastRenderedPageBreak/>
        <w:t>Preference Shares / Preferred Stock</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Preference shareholders are usually only entitled to a fixed rate of dividend and are not given any voting rights. Preference shares rank ahead of ordinary shares for the payment of dividends and for capital repayment in the event of the company going into liquidation. Most preference shares are cumulative, though companies may issue non-cumulative preference shares. Many preference shares are also redeemable or convertible. </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t>American Depository Receipts (ADR) and Global Depository Receipts (GDR)</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An ADR is a dollar denominated negotiable certificate issued by a depository bank in respect of non-US listed shares that have been lodged with the bank. ADRs are listed and freely traded on the New York Stock Exchange (NYSE), American Stock Exchange (AMEX) and NASDAQ. ADRs were originally designed to enable US investors to hold overseas shares without the high dealing costs and settlement delays associated with overseas equity transactions though have since been used by foreign institutional investors as well as an alternate route to invest in non-US listed companies in a bid to avoid high stamp duties that direct purchases of the shares in foreign markets may attract. </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Similar depository receipts but which are issued outside of the </w:t>
      </w:r>
      <w:smartTag w:uri="urn:schemas-microsoft-com:office:smarttags" w:element="place">
        <w:smartTag w:uri="urn:schemas-microsoft-com:office:smarttags" w:element="country-region">
          <w:r w:rsidRPr="002A79D0">
            <w:rPr>
              <w:rFonts w:ascii="Arial" w:hAnsi="Arial" w:cs="Arial"/>
              <w:sz w:val="20"/>
              <w:szCs w:val="20"/>
            </w:rPr>
            <w:t>US</w:t>
          </w:r>
        </w:smartTag>
      </w:smartTag>
      <w:r w:rsidRPr="002A79D0">
        <w:rPr>
          <w:rFonts w:ascii="Arial" w:hAnsi="Arial" w:cs="Arial"/>
          <w:sz w:val="20"/>
          <w:szCs w:val="20"/>
        </w:rPr>
        <w:t xml:space="preserve"> is termed Global Depository Receipts (GDRs). GDRs are traded on many exchanges including the LSE. Increasingly depository receipts are issued by Asian and emerging market issuers.</w:t>
      </w:r>
    </w:p>
    <w:p w:rsidR="00CA0FEC" w:rsidRPr="004B3BDF" w:rsidRDefault="00CA0FEC" w:rsidP="00CA0FEC">
      <w:pPr>
        <w:pStyle w:val="Heading3"/>
        <w:keepNext w:val="0"/>
        <w:tabs>
          <w:tab w:val="clear" w:pos="6444"/>
          <w:tab w:val="num" w:pos="540"/>
        </w:tabs>
        <w:spacing w:before="120" w:after="120"/>
        <w:ind w:left="0" w:firstLine="0"/>
        <w:jc w:val="both"/>
        <w:rPr>
          <w:sz w:val="22"/>
          <w:szCs w:val="22"/>
        </w:rPr>
      </w:pPr>
      <w:r w:rsidRPr="004B3BDF">
        <w:rPr>
          <w:sz w:val="22"/>
          <w:szCs w:val="22"/>
        </w:rPr>
        <w:t xml:space="preserve"> Mutual Funds</w:t>
      </w:r>
    </w:p>
    <w:p w:rsidR="00CA0FEC" w:rsidRPr="002A79D0" w:rsidRDefault="00CA0FEC" w:rsidP="00CA0FEC">
      <w:pPr>
        <w:autoSpaceDE w:val="0"/>
        <w:autoSpaceDN w:val="0"/>
        <w:adjustRightInd w:val="0"/>
        <w:jc w:val="both"/>
        <w:rPr>
          <w:rFonts w:ascii="Arial" w:hAnsi="Arial" w:cs="Arial"/>
          <w:sz w:val="20"/>
          <w:szCs w:val="20"/>
        </w:rPr>
      </w:pPr>
      <w:r w:rsidRPr="004B3BDF">
        <w:rPr>
          <w:rFonts w:ascii="Arial" w:hAnsi="Arial" w:cs="Arial"/>
          <w:b/>
          <w:bCs/>
          <w:sz w:val="22"/>
          <w:szCs w:val="22"/>
        </w:rPr>
        <w:t xml:space="preserve"> </w:t>
      </w:r>
      <w:r w:rsidRPr="004B3BDF">
        <w:rPr>
          <w:rFonts w:ascii="Arial" w:hAnsi="Arial" w:cs="Arial"/>
          <w:b/>
          <w:bCs/>
          <w:sz w:val="22"/>
          <w:szCs w:val="22"/>
        </w:rPr>
        <w:tab/>
      </w:r>
      <w:r w:rsidRPr="002A79D0">
        <w:rPr>
          <w:rFonts w:ascii="Arial" w:hAnsi="Arial" w:cs="Arial"/>
          <w:sz w:val="20"/>
          <w:szCs w:val="20"/>
        </w:rPr>
        <w:t xml:space="preserve">These are funds operated by an investment company which raises money from the public and invests in a group of assets (shares, debentures etc.), in accordance with a stated set of objectives. It is a substitute for those who are unable to invest directly in equities or debt because of resource, time or knowledge constraints. Benefits include professional money management, buying in small amounts and diversification. Mutual fund units are issued and redeemed by the </w:t>
      </w:r>
      <w:r w:rsidRPr="002A79D0">
        <w:rPr>
          <w:rFonts w:ascii="Arial" w:hAnsi="Arial" w:cs="Arial"/>
          <w:i/>
          <w:iCs/>
          <w:sz w:val="20"/>
          <w:szCs w:val="20"/>
        </w:rPr>
        <w:t xml:space="preserve">Fund Management Company </w:t>
      </w:r>
      <w:r w:rsidRPr="002A79D0">
        <w:rPr>
          <w:rFonts w:ascii="Arial" w:hAnsi="Arial" w:cs="Arial"/>
          <w:sz w:val="20"/>
          <w:szCs w:val="20"/>
        </w:rPr>
        <w:t>based on the fund's net asset value (NAV), which is determined at the end of each trading session. NAV is calculated as the value of all the shares held by the fund, minus expenses, divided by the number of units issued. Mutual Funds are usually long term investment vehicle though there some categories of mutual funds, such as money market mutual funds which are short term instruments.</w:t>
      </w:r>
    </w:p>
    <w:p w:rsidR="00CA0FEC" w:rsidRPr="004B3BDF" w:rsidRDefault="00CA0FEC" w:rsidP="00CA0FEC">
      <w:pPr>
        <w:jc w:val="both"/>
        <w:outlineLvl w:val="3"/>
        <w:rPr>
          <w:rFonts w:ascii="Arial" w:hAnsi="Arial" w:cs="Arial"/>
          <w:b/>
          <w:bCs/>
          <w:sz w:val="22"/>
          <w:szCs w:val="22"/>
        </w:rPr>
      </w:pPr>
    </w:p>
    <w:p w:rsidR="00CA0FEC" w:rsidRPr="004B3BDF" w:rsidRDefault="00CA0FEC" w:rsidP="00CA0FEC">
      <w:pPr>
        <w:pStyle w:val="Heading3"/>
        <w:keepNext w:val="0"/>
        <w:tabs>
          <w:tab w:val="clear" w:pos="6444"/>
          <w:tab w:val="num" w:pos="540"/>
        </w:tabs>
        <w:spacing w:before="120" w:after="120"/>
        <w:ind w:left="0" w:firstLine="0"/>
        <w:jc w:val="both"/>
        <w:rPr>
          <w:sz w:val="22"/>
          <w:szCs w:val="22"/>
        </w:rPr>
      </w:pPr>
      <w:r w:rsidRPr="004B3BDF">
        <w:rPr>
          <w:sz w:val="22"/>
          <w:szCs w:val="22"/>
        </w:rPr>
        <w:t xml:space="preserve"> Derivatives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This class includes specialized security or contract whose value is derived from the value of an underlying asset, index or reference rate. The underlying asset can be equity, foreign exchange, commodity or any other item. The underlying asset is often referred to as the cash market. Most derivatives take the form of either forwards, futures or options contracts, though others include warrants and swaps. </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Derivatives primarily provide a mechanism by which the price of assets or commodities can be traded in the future at a price fixed today without the full value of this transaction being exchanged or settled at the outset. </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t>Forward Contracts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A forward contract is a legally binding obligation between two parties for one to buy and the other to sell a pre-specified amount of an asset at a pre-specified price on a pre-specified future date. All terms of a forward contract are customized to suit the parties, there is no standardization. As a result they carry a high risk of default and they are also illiquid.</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t>Futures Contracts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Futures are traded on regulated derivatives exchanges with a central counterparty (clearing house) guaranteeing each trade registered on the exchange. Future contracts are defined by the </w:t>
      </w:r>
      <w:r w:rsidRPr="002A79D0">
        <w:rPr>
          <w:rFonts w:ascii="Arial" w:hAnsi="Arial" w:cs="Arial"/>
          <w:sz w:val="20"/>
          <w:szCs w:val="20"/>
        </w:rPr>
        <w:lastRenderedPageBreak/>
        <w:t xml:space="preserve">exchange where they are traded, hence the terms such as notional value, quality of the underlying, tick size and value, settlement mechanisms and delivery / settlement dates, of each contract are fixed. </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Not all futures contracts require physical delivery, some – called Contracts for Differences - are settled by cash. Since only initial margin, and not the full notional value of the contract, is payable by the counterparties at the point of opening their respective positions, futures are highly geared instruments, ideal for speculation. Within portfolio management, futures can be used for the following purposes:</w:t>
      </w:r>
    </w:p>
    <w:p w:rsidR="00CA0FEC" w:rsidRPr="002A79D0" w:rsidRDefault="00CA0FEC" w:rsidP="00CA0FEC">
      <w:pPr>
        <w:pStyle w:val="BodyText-Bullets1"/>
        <w:numPr>
          <w:ilvl w:val="0"/>
          <w:numId w:val="36"/>
        </w:numPr>
        <w:spacing w:before="120" w:line="240" w:lineRule="auto"/>
        <w:rPr>
          <w:rFonts w:cs="Arial"/>
          <w:szCs w:val="20"/>
        </w:rPr>
      </w:pPr>
      <w:r w:rsidRPr="002A79D0">
        <w:rPr>
          <w:rFonts w:cs="Arial"/>
          <w:szCs w:val="20"/>
        </w:rPr>
        <w:t>Hedging -</w:t>
      </w:r>
      <w:r>
        <w:rPr>
          <w:rFonts w:cs="Arial"/>
          <w:szCs w:val="20"/>
        </w:rPr>
        <w:t xml:space="preserve"> This</w:t>
      </w:r>
      <w:r w:rsidRPr="002A79D0">
        <w:rPr>
          <w:rFonts w:cs="Arial"/>
          <w:szCs w:val="20"/>
        </w:rPr>
        <w:t xml:space="preserve"> is a technique employed by portfolio managers to reduce the impact of adverse price movements in financial assets held within a portfolio by selling sufficient futures contracts.</w:t>
      </w:r>
    </w:p>
    <w:p w:rsidR="00CA0FEC" w:rsidRPr="002A79D0" w:rsidRDefault="00CA0FEC" w:rsidP="00CA0FEC">
      <w:pPr>
        <w:pStyle w:val="BodyText-Bullets1"/>
        <w:numPr>
          <w:ilvl w:val="0"/>
          <w:numId w:val="36"/>
        </w:numPr>
        <w:spacing w:before="120" w:line="240" w:lineRule="auto"/>
        <w:rPr>
          <w:rFonts w:cs="Arial"/>
          <w:szCs w:val="20"/>
        </w:rPr>
      </w:pPr>
      <w:r w:rsidRPr="002A79D0">
        <w:rPr>
          <w:rFonts w:cs="Arial"/>
          <w:szCs w:val="20"/>
        </w:rPr>
        <w:t>Anticipating future cash flows - If a portfolio manager expects to receive a large inflow of cash to be invested in a particular asset, then futures can be used to offset the potentially increased cost of the asset when the cash flow is received.</w:t>
      </w:r>
    </w:p>
    <w:p w:rsidR="00CA0FEC" w:rsidRPr="002A79D0" w:rsidRDefault="00CA0FEC" w:rsidP="00CA0FEC">
      <w:pPr>
        <w:pStyle w:val="BodyText-Bullets1"/>
        <w:numPr>
          <w:ilvl w:val="0"/>
          <w:numId w:val="36"/>
        </w:numPr>
        <w:spacing w:before="120" w:line="240" w:lineRule="auto"/>
        <w:rPr>
          <w:rFonts w:cs="Arial"/>
          <w:szCs w:val="20"/>
        </w:rPr>
      </w:pPr>
      <w:r w:rsidRPr="002A79D0">
        <w:rPr>
          <w:rFonts w:cs="Arial"/>
          <w:szCs w:val="20"/>
        </w:rPr>
        <w:t xml:space="preserve">Asset allocation - Changes to the asset mix can be made more swiftly and less expensively using futures than by adjusting the underlying portfolio. </w:t>
      </w:r>
    </w:p>
    <w:p w:rsidR="00CA0FEC" w:rsidRPr="002A79D0" w:rsidRDefault="00CA0FEC" w:rsidP="00CA0FEC">
      <w:pPr>
        <w:pStyle w:val="BodyText-Bullets1"/>
        <w:numPr>
          <w:ilvl w:val="0"/>
          <w:numId w:val="36"/>
        </w:numPr>
        <w:spacing w:before="120" w:line="240" w:lineRule="auto"/>
        <w:rPr>
          <w:rFonts w:cs="Arial"/>
          <w:szCs w:val="20"/>
        </w:rPr>
      </w:pPr>
      <w:r w:rsidRPr="002A79D0">
        <w:rPr>
          <w:rFonts w:cs="Arial"/>
          <w:szCs w:val="20"/>
        </w:rPr>
        <w:t>Arbitrage - If the price of the derivative and underlying asset are out of line, then the portfolio manager may be able to profit from this pricing anomaly.</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t>Options</w:t>
      </w:r>
    </w:p>
    <w:p w:rsidR="00CA0FEC" w:rsidRPr="002A79D0" w:rsidRDefault="00C164AF" w:rsidP="00CA0FEC">
      <w:pPr>
        <w:spacing w:before="120" w:after="120"/>
        <w:jc w:val="both"/>
        <w:rPr>
          <w:rFonts w:ascii="Arial" w:hAnsi="Arial" w:cs="Arial"/>
          <w:sz w:val="20"/>
          <w:szCs w:val="20"/>
        </w:rPr>
      </w:pPr>
      <w:r>
        <w:rPr>
          <w:rFonts w:ascii="Arial" w:hAnsi="Arial" w:cs="Arial"/>
          <w:noProof/>
          <w:sz w:val="20"/>
          <w:szCs w:val="20"/>
        </w:rPr>
        <w:drawing>
          <wp:anchor distT="91440" distB="91440" distL="114300" distR="114300" simplePos="0" relativeHeight="251657728" behindDoc="0" locked="0" layoutInCell="1" allowOverlap="1">
            <wp:simplePos x="0" y="0"/>
            <wp:positionH relativeFrom="column">
              <wp:align>center</wp:align>
            </wp:positionH>
            <wp:positionV relativeFrom="paragraph">
              <wp:posOffset>1161415</wp:posOffset>
            </wp:positionV>
            <wp:extent cx="4686300" cy="2568575"/>
            <wp:effectExtent l="19050" t="0" r="0" b="0"/>
            <wp:wrapTopAndBottom/>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9" cstate="print"/>
                    <a:srcRect/>
                    <a:stretch>
                      <a:fillRect/>
                    </a:stretch>
                  </pic:blipFill>
                  <pic:spPr bwMode="auto">
                    <a:xfrm>
                      <a:off x="0" y="0"/>
                      <a:ext cx="4686300" cy="2568575"/>
                    </a:xfrm>
                    <a:prstGeom prst="rect">
                      <a:avLst/>
                    </a:prstGeom>
                    <a:noFill/>
                    <a:ln w="9525">
                      <a:noFill/>
                      <a:miter lim="800000"/>
                      <a:headEnd/>
                      <a:tailEnd/>
                    </a:ln>
                  </pic:spPr>
                </pic:pic>
              </a:graphicData>
            </a:graphic>
          </wp:anchor>
        </w:drawing>
      </w:r>
      <w:r w:rsidR="00CA0FEC" w:rsidRPr="002A79D0">
        <w:rPr>
          <w:rFonts w:ascii="Arial" w:hAnsi="Arial" w:cs="Arial"/>
          <w:sz w:val="20"/>
          <w:szCs w:val="20"/>
        </w:rPr>
        <w:t>An options contract can be defined as one that confers the right from one party to another to either buy or sell an asset at a pre-specified price on or before (in case of American options), a pre-specified future date, in exchange for the payment of a premium. An option that confers the right to buy is a call option whereas one that confers the right to sell is a put option. As with most exchange-traded financial futures, most exchange-traded financial options are cash settled rather than physically settled.</w:t>
      </w:r>
    </w:p>
    <w:p w:rsidR="00CA0FEC" w:rsidRPr="004B3BDF" w:rsidRDefault="00CA0FEC" w:rsidP="00CA0FEC">
      <w:pPr>
        <w:pStyle w:val="Caption"/>
        <w:jc w:val="center"/>
        <w:rPr>
          <w:rFonts w:ascii="Arial" w:hAnsi="Arial" w:cs="Arial"/>
          <w:sz w:val="22"/>
          <w:szCs w:val="22"/>
        </w:rPr>
      </w:pPr>
      <w:bookmarkStart w:id="17" w:name="_Toc203538642"/>
      <w:bookmarkStart w:id="18" w:name="_Toc207007209"/>
      <w:r w:rsidRPr="004B3BDF">
        <w:rPr>
          <w:rFonts w:ascii="Arial" w:hAnsi="Arial" w:cs="Arial"/>
          <w:sz w:val="22"/>
          <w:szCs w:val="22"/>
        </w:rPr>
        <w:t xml:space="preserve">Figure </w:t>
      </w:r>
      <w:r w:rsidR="00FC0435" w:rsidRPr="004B3BDF">
        <w:rPr>
          <w:rFonts w:ascii="Arial" w:hAnsi="Arial" w:cs="Arial"/>
          <w:sz w:val="22"/>
          <w:szCs w:val="22"/>
        </w:rPr>
        <w:fldChar w:fldCharType="begin"/>
      </w:r>
      <w:r w:rsidRPr="004B3BDF">
        <w:rPr>
          <w:rFonts w:ascii="Arial" w:hAnsi="Arial" w:cs="Arial"/>
          <w:sz w:val="22"/>
          <w:szCs w:val="22"/>
        </w:rPr>
        <w:instrText xml:space="preserve"> STYLEREF 1 \s </w:instrText>
      </w:r>
      <w:r w:rsidR="00FC0435" w:rsidRPr="004B3BDF">
        <w:rPr>
          <w:rFonts w:ascii="Arial" w:hAnsi="Arial" w:cs="Arial"/>
          <w:sz w:val="22"/>
          <w:szCs w:val="22"/>
        </w:rPr>
        <w:fldChar w:fldCharType="separate"/>
      </w:r>
      <w:r w:rsidR="0060131C">
        <w:rPr>
          <w:rFonts w:ascii="Arial" w:hAnsi="Arial" w:cs="Arial"/>
          <w:noProof/>
          <w:sz w:val="22"/>
          <w:szCs w:val="22"/>
        </w:rPr>
        <w:t>2</w:t>
      </w:r>
      <w:r w:rsidR="00FC0435" w:rsidRPr="004B3BDF">
        <w:rPr>
          <w:rFonts w:ascii="Arial" w:hAnsi="Arial" w:cs="Arial"/>
          <w:sz w:val="22"/>
          <w:szCs w:val="22"/>
        </w:rPr>
        <w:fldChar w:fldCharType="end"/>
      </w:r>
      <w:r w:rsidRPr="004B3BDF">
        <w:rPr>
          <w:rFonts w:ascii="Arial" w:hAnsi="Arial" w:cs="Arial"/>
          <w:sz w:val="22"/>
          <w:szCs w:val="22"/>
        </w:rPr>
        <w:noBreakHyphen/>
      </w:r>
      <w:r w:rsidR="00FC0435" w:rsidRPr="004B3BDF">
        <w:rPr>
          <w:rFonts w:ascii="Arial" w:hAnsi="Arial" w:cs="Arial"/>
          <w:sz w:val="22"/>
          <w:szCs w:val="22"/>
        </w:rPr>
        <w:fldChar w:fldCharType="begin"/>
      </w:r>
      <w:r w:rsidRPr="004B3BDF">
        <w:rPr>
          <w:rFonts w:ascii="Arial" w:hAnsi="Arial" w:cs="Arial"/>
          <w:sz w:val="22"/>
          <w:szCs w:val="22"/>
        </w:rPr>
        <w:instrText xml:space="preserve"> SEQ Figure \* ARABIC \s 1 </w:instrText>
      </w:r>
      <w:r w:rsidR="00FC0435" w:rsidRPr="004B3BDF">
        <w:rPr>
          <w:rFonts w:ascii="Arial" w:hAnsi="Arial" w:cs="Arial"/>
          <w:sz w:val="22"/>
          <w:szCs w:val="22"/>
        </w:rPr>
        <w:fldChar w:fldCharType="separate"/>
      </w:r>
      <w:r w:rsidR="0060131C">
        <w:rPr>
          <w:rFonts w:ascii="Arial" w:hAnsi="Arial" w:cs="Arial"/>
          <w:noProof/>
          <w:sz w:val="22"/>
          <w:szCs w:val="22"/>
        </w:rPr>
        <w:t>1</w:t>
      </w:r>
      <w:r w:rsidR="00FC0435" w:rsidRPr="004B3BDF">
        <w:rPr>
          <w:rFonts w:ascii="Arial" w:hAnsi="Arial" w:cs="Arial"/>
          <w:sz w:val="22"/>
          <w:szCs w:val="22"/>
        </w:rPr>
        <w:fldChar w:fldCharType="end"/>
      </w:r>
      <w:r w:rsidRPr="004B3BDF">
        <w:rPr>
          <w:rFonts w:ascii="Arial" w:hAnsi="Arial" w:cs="Arial"/>
          <w:sz w:val="22"/>
          <w:szCs w:val="22"/>
        </w:rPr>
        <w:t>O</w:t>
      </w:r>
      <w:r w:rsidR="00753441">
        <w:rPr>
          <w:rFonts w:ascii="Arial" w:hAnsi="Arial" w:cs="Arial"/>
          <w:sz w:val="22"/>
          <w:szCs w:val="22"/>
        </w:rPr>
        <w:t>PTION</w:t>
      </w:r>
      <w:r w:rsidRPr="004B3BDF">
        <w:rPr>
          <w:rFonts w:ascii="Arial" w:hAnsi="Arial" w:cs="Arial"/>
          <w:sz w:val="22"/>
          <w:szCs w:val="22"/>
        </w:rPr>
        <w:t xml:space="preserve"> P</w:t>
      </w:r>
      <w:r w:rsidR="00753441">
        <w:rPr>
          <w:rFonts w:ascii="Arial" w:hAnsi="Arial" w:cs="Arial"/>
          <w:sz w:val="22"/>
          <w:szCs w:val="22"/>
        </w:rPr>
        <w:t>AY</w:t>
      </w:r>
      <w:r w:rsidRPr="004B3BDF">
        <w:rPr>
          <w:rFonts w:ascii="Arial" w:hAnsi="Arial" w:cs="Arial"/>
          <w:sz w:val="22"/>
          <w:szCs w:val="22"/>
        </w:rPr>
        <w:t>-</w:t>
      </w:r>
      <w:r w:rsidR="00753441">
        <w:rPr>
          <w:rFonts w:ascii="Arial" w:hAnsi="Arial" w:cs="Arial"/>
          <w:sz w:val="22"/>
          <w:szCs w:val="22"/>
        </w:rPr>
        <w:t>OFF</w:t>
      </w:r>
      <w:r w:rsidRPr="004B3BDF">
        <w:rPr>
          <w:rFonts w:ascii="Arial" w:hAnsi="Arial" w:cs="Arial"/>
          <w:sz w:val="22"/>
          <w:szCs w:val="22"/>
        </w:rPr>
        <w:t xml:space="preserve"> </w:t>
      </w:r>
      <w:bookmarkEnd w:id="17"/>
      <w:r w:rsidR="00753441">
        <w:rPr>
          <w:rFonts w:ascii="Arial" w:hAnsi="Arial" w:cs="Arial"/>
          <w:sz w:val="22"/>
          <w:szCs w:val="22"/>
        </w:rPr>
        <w:t>CHART</w:t>
      </w:r>
      <w:bookmarkEnd w:id="18"/>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Much like futures, options by only requiring the holder to pay a premium, also provide an ideal means to speculate on asset price movements. </w:t>
      </w:r>
    </w:p>
    <w:p w:rsidR="00CA0FEC" w:rsidRPr="002A79D0" w:rsidRDefault="00CA0FEC" w:rsidP="00CA0FEC">
      <w:pPr>
        <w:pStyle w:val="body"/>
        <w:spacing w:before="120" w:after="120" w:line="240" w:lineRule="auto"/>
        <w:jc w:val="both"/>
        <w:rPr>
          <w:rFonts w:ascii="Arial" w:hAnsi="Arial" w:cs="Arial"/>
          <w:sz w:val="20"/>
          <w:szCs w:val="20"/>
        </w:rPr>
      </w:pPr>
      <w:r w:rsidRPr="002A79D0">
        <w:rPr>
          <w:rFonts w:ascii="Arial" w:hAnsi="Arial" w:cs="Arial"/>
          <w:sz w:val="20"/>
          <w:szCs w:val="20"/>
        </w:rPr>
        <w:t>Uses of options within portfolio management</w:t>
      </w:r>
    </w:p>
    <w:p w:rsidR="00CA0FEC" w:rsidRPr="002A79D0" w:rsidRDefault="00CA0FEC" w:rsidP="00CA0FEC">
      <w:pPr>
        <w:pStyle w:val="BodyText-Bullets1"/>
        <w:numPr>
          <w:ilvl w:val="0"/>
          <w:numId w:val="36"/>
        </w:numPr>
        <w:spacing w:before="120" w:line="240" w:lineRule="auto"/>
        <w:rPr>
          <w:rFonts w:cs="Arial"/>
          <w:szCs w:val="20"/>
        </w:rPr>
      </w:pPr>
      <w:r w:rsidRPr="002A79D0">
        <w:rPr>
          <w:rFonts w:cs="Arial"/>
          <w:szCs w:val="20"/>
        </w:rPr>
        <w:lastRenderedPageBreak/>
        <w:t>Hedging - A portfolio can be hedged against adverse market movements by purchasing index put options or, where individual holdings are to be hedged, individual security put options (usually available only on equity, although options on bond futures are available in many markets). The motivation and economics of such a hedging position using options is very similar to hedging with futures, except in case of options, buyer of right must pay an upfront premium and in turn, he is not locked into the contract at any fixed price but can use the right (exercise the option) or let it expire in which case the only loss is the premium paid.</w:t>
      </w:r>
    </w:p>
    <w:p w:rsidR="00CA0FEC" w:rsidRPr="002A79D0" w:rsidRDefault="00CA0FEC" w:rsidP="00CA0FEC">
      <w:pPr>
        <w:pStyle w:val="BodyText-Bullets1"/>
        <w:numPr>
          <w:ilvl w:val="0"/>
          <w:numId w:val="36"/>
        </w:numPr>
        <w:spacing w:before="120" w:line="240" w:lineRule="auto"/>
        <w:rPr>
          <w:rFonts w:cs="Arial"/>
          <w:szCs w:val="20"/>
        </w:rPr>
      </w:pPr>
      <w:r w:rsidRPr="002A79D0">
        <w:rPr>
          <w:rFonts w:cs="Arial"/>
          <w:szCs w:val="20"/>
        </w:rPr>
        <w:t>Anticipating future cash flows - Much as in the futures example, if the portfolio manager is expecting a large cash inflow to the portfolio in a rising market, call options can be purchased to offset the higher cost of the asset when the cash flow is received.</w:t>
      </w:r>
    </w:p>
    <w:p w:rsidR="00CA0FEC" w:rsidRPr="002A79D0" w:rsidRDefault="00CA0FEC" w:rsidP="00CA0FEC">
      <w:pPr>
        <w:pStyle w:val="BodyText-Bullets1"/>
        <w:numPr>
          <w:ilvl w:val="0"/>
          <w:numId w:val="36"/>
        </w:numPr>
        <w:spacing w:before="120" w:line="240" w:lineRule="auto"/>
        <w:rPr>
          <w:rFonts w:cs="Arial"/>
          <w:szCs w:val="20"/>
        </w:rPr>
      </w:pPr>
      <w:r w:rsidRPr="002A79D0">
        <w:rPr>
          <w:rFonts w:cs="Arial"/>
          <w:szCs w:val="20"/>
        </w:rPr>
        <w:t>Enhancing portfolio performance - If a portfolio manager expects asset markets to be relatively static over the short to medium term, options can be employed to enhance the potential performance of a portfolio over this period in several ways. Depending on whether the portfolio is a regulated fund determines how options can be used. If a regulated fund, the manager can write covered calls. That is, write call options on assets already held in the portfolio. If the portfolio is not a regulated fund, however, the manager can enhance portfolio performance in a number of other ways.</w:t>
      </w:r>
    </w:p>
    <w:p w:rsidR="00CA0FEC" w:rsidRPr="00A75FD9" w:rsidRDefault="00CA0FEC" w:rsidP="00CA0FEC">
      <w:pPr>
        <w:pStyle w:val="Heading4"/>
        <w:keepNext w:val="0"/>
        <w:spacing w:before="120" w:after="120"/>
        <w:jc w:val="both"/>
        <w:rPr>
          <w:rFonts w:cs="Arial"/>
          <w:b/>
          <w:sz w:val="22"/>
          <w:szCs w:val="22"/>
        </w:rPr>
      </w:pPr>
      <w:r w:rsidRPr="00A75FD9">
        <w:rPr>
          <w:rFonts w:cs="Arial"/>
          <w:b/>
          <w:sz w:val="22"/>
          <w:szCs w:val="22"/>
        </w:rPr>
        <w:t>Swaps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Swaps, the most important class of OTC derivatives, are similar to futures in that they do not require a premium to be paid by one party to another and create an obligation between the parties. </w:t>
      </w:r>
    </w:p>
    <w:p w:rsidR="00CA0FEC" w:rsidRPr="002A79D0" w:rsidRDefault="00CA0FEC" w:rsidP="00CA0FEC">
      <w:pPr>
        <w:pStyle w:val="body"/>
        <w:pBdr>
          <w:top w:val="single" w:sz="4" w:space="0" w:color="auto"/>
          <w:left w:val="single" w:sz="4" w:space="4" w:color="auto"/>
          <w:bottom w:val="single" w:sz="4" w:space="1" w:color="auto"/>
          <w:right w:val="single" w:sz="4" w:space="4" w:color="auto"/>
        </w:pBdr>
        <w:spacing w:before="120" w:after="120" w:line="240" w:lineRule="auto"/>
        <w:jc w:val="both"/>
        <w:rPr>
          <w:rFonts w:ascii="Arial" w:hAnsi="Arial" w:cs="Arial"/>
          <w:sz w:val="20"/>
          <w:szCs w:val="20"/>
        </w:rPr>
      </w:pPr>
      <w:r w:rsidRPr="002A79D0">
        <w:rPr>
          <w:rFonts w:ascii="Arial" w:hAnsi="Arial" w:cs="Arial"/>
          <w:sz w:val="20"/>
          <w:szCs w:val="20"/>
        </w:rPr>
        <w:t>An example of a vanilla equity swap, based on a single currency, may be between the S&amp;P 500 index and a rate of interest based on LIBOR. This is equivalent to the party receiving the return on the S&amp;P 500 simply funding this equity exposure by drawing on a cash deposit. Alternatively, by using a cross-currency swap, exposure can be gained to a more esoteric overseas equity market again by swapping this return into a fixed or floating rate of interest. Thus a portfolio manager can gain longer term exposure to equity markets or overseas / illiquid markets and index tracking using equity swaps than by using exchange-traded derivatives which are short-term.</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Swaps take many forms but can be broadly categorized as:</w:t>
      </w:r>
    </w:p>
    <w:p w:rsidR="00CA0FEC" w:rsidRPr="004B3BDF" w:rsidRDefault="00CA0FEC" w:rsidP="00CA0FEC">
      <w:pPr>
        <w:pStyle w:val="Heading5"/>
        <w:spacing w:before="120" w:after="120"/>
        <w:jc w:val="both"/>
        <w:rPr>
          <w:rFonts w:cs="Arial"/>
          <w:szCs w:val="22"/>
        </w:rPr>
      </w:pPr>
      <w:r w:rsidRPr="004B3BDF">
        <w:rPr>
          <w:rFonts w:cs="Arial"/>
          <w:szCs w:val="22"/>
        </w:rPr>
        <w:t>Interest Rate Swaps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An IRS is an agreement between two parties to periodically exchange a series of interest payments in the same currency to collectively reduce the cost of borrowing. They are cash settled and take two forms:</w:t>
      </w:r>
    </w:p>
    <w:p w:rsidR="00CA0FEC" w:rsidRPr="002A79D0" w:rsidRDefault="00CA0FEC" w:rsidP="00CA0FEC">
      <w:pPr>
        <w:numPr>
          <w:ilvl w:val="0"/>
          <w:numId w:val="54"/>
        </w:numPr>
        <w:spacing w:before="120" w:after="120"/>
        <w:jc w:val="both"/>
        <w:rPr>
          <w:rFonts w:ascii="Arial" w:hAnsi="Arial" w:cs="Arial"/>
          <w:sz w:val="20"/>
          <w:szCs w:val="20"/>
        </w:rPr>
      </w:pPr>
      <w:r w:rsidRPr="002A79D0">
        <w:rPr>
          <w:rFonts w:ascii="Arial" w:hAnsi="Arial" w:cs="Arial"/>
          <w:sz w:val="20"/>
          <w:szCs w:val="20"/>
        </w:rPr>
        <w:t>Fixed rate into floating rate - This is commonly known as a coupon or vanilla swap.</w:t>
      </w:r>
    </w:p>
    <w:p w:rsidR="00CA0FEC" w:rsidRPr="002A79D0" w:rsidRDefault="00CA0FEC" w:rsidP="00CA0FEC">
      <w:pPr>
        <w:numPr>
          <w:ilvl w:val="0"/>
          <w:numId w:val="54"/>
        </w:numPr>
        <w:spacing w:before="120" w:after="120"/>
        <w:jc w:val="both"/>
        <w:rPr>
          <w:rFonts w:ascii="Arial" w:hAnsi="Arial" w:cs="Arial"/>
          <w:sz w:val="20"/>
          <w:szCs w:val="20"/>
        </w:rPr>
      </w:pPr>
      <w:r w:rsidRPr="002A79D0">
        <w:rPr>
          <w:rFonts w:ascii="Arial" w:hAnsi="Arial" w:cs="Arial"/>
          <w:sz w:val="20"/>
          <w:szCs w:val="20"/>
        </w:rPr>
        <w:t>One type of floating rate into another type of floating rate. This is also termed a basis swap.</w:t>
      </w:r>
    </w:p>
    <w:p w:rsidR="00CA0FEC" w:rsidRPr="004B3BDF" w:rsidRDefault="00CA0FEC" w:rsidP="00CA0FEC">
      <w:pPr>
        <w:pStyle w:val="Heading5"/>
        <w:spacing w:before="120" w:after="120"/>
        <w:jc w:val="both"/>
        <w:rPr>
          <w:rFonts w:cs="Arial"/>
          <w:szCs w:val="22"/>
        </w:rPr>
      </w:pPr>
      <w:r w:rsidRPr="004B3BDF">
        <w:rPr>
          <w:rFonts w:cs="Arial"/>
          <w:szCs w:val="22"/>
        </w:rPr>
        <w:t>Currency Swaps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Currency swaps are simply interest rate swaps made in two different currencies that require an exchange of the loan principal at the beginning and at the end of the swap period at a pre-determined rate. As a result of this exchanging of principal, the credit risks between the parties are higher than for a single currency interest rate swap.</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Currency swaps are mainly used as a hedging, or risk management, tool rather than for speculation and arbitrage.</w:t>
      </w:r>
    </w:p>
    <w:p w:rsidR="00CA0FEC" w:rsidRPr="004B3BDF" w:rsidRDefault="00CA0FEC" w:rsidP="00CA0FEC">
      <w:pPr>
        <w:pStyle w:val="Heading5"/>
        <w:spacing w:before="120" w:after="120"/>
        <w:jc w:val="both"/>
        <w:rPr>
          <w:rFonts w:cs="Arial"/>
          <w:szCs w:val="22"/>
        </w:rPr>
      </w:pPr>
      <w:r w:rsidRPr="004B3BDF">
        <w:rPr>
          <w:rFonts w:cs="Arial"/>
          <w:szCs w:val="22"/>
        </w:rPr>
        <w:t xml:space="preserve">Equity Swap                </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lastRenderedPageBreak/>
        <w:t>An equity swap is an agreement between two parties, an institutional investor and a bank for instance, to exchange a series of periodic payments between one another based on a notional principal amount. One set of payments is linked to the total return on an equity index, the other usually to a fixed or floating rate of interest, though this can be the return on another equity index.</w:t>
      </w:r>
    </w:p>
    <w:p w:rsidR="00CA0FEC" w:rsidRPr="004B3BDF" w:rsidRDefault="00CA0FEC" w:rsidP="00CA0FEC">
      <w:pPr>
        <w:pStyle w:val="Heading3"/>
        <w:keepNext w:val="0"/>
        <w:tabs>
          <w:tab w:val="clear" w:pos="6444"/>
          <w:tab w:val="num" w:pos="540"/>
        </w:tabs>
        <w:spacing w:before="120" w:after="120"/>
        <w:ind w:left="0" w:firstLine="0"/>
        <w:jc w:val="both"/>
        <w:rPr>
          <w:sz w:val="22"/>
          <w:szCs w:val="22"/>
        </w:rPr>
      </w:pPr>
      <w:r w:rsidRPr="004B3BDF">
        <w:rPr>
          <w:sz w:val="22"/>
          <w:szCs w:val="22"/>
        </w:rPr>
        <w:t>Private Equity</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Private Equity is made available to companies or investors, but not quoted on a stock market. A more accessible for of private equity is a Venture Capital Fund which is an investment fund that manages money from investors seeking private equity stakes in domestic and international leverage buyouts, structured equity investments, mezzanine investments, real estate investments, venture capital investments, and investments in other private equity funds. </w:t>
      </w:r>
    </w:p>
    <w:p w:rsidR="00CA0FEC" w:rsidRPr="004B3BDF" w:rsidRDefault="00CA0FEC" w:rsidP="00CA0FEC">
      <w:pPr>
        <w:pStyle w:val="Heading3"/>
        <w:keepNext w:val="0"/>
        <w:tabs>
          <w:tab w:val="clear" w:pos="6444"/>
          <w:tab w:val="num" w:pos="540"/>
        </w:tabs>
        <w:spacing w:before="120" w:after="120"/>
        <w:ind w:left="0" w:firstLine="0"/>
        <w:jc w:val="both"/>
        <w:rPr>
          <w:sz w:val="22"/>
          <w:szCs w:val="22"/>
        </w:rPr>
      </w:pPr>
      <w:r>
        <w:rPr>
          <w:sz w:val="22"/>
          <w:szCs w:val="22"/>
        </w:rPr>
        <w:t>Hedge Funds</w:t>
      </w:r>
    </w:p>
    <w:p w:rsidR="00CA0FEC" w:rsidRPr="002A79D0" w:rsidRDefault="00CA0FEC" w:rsidP="00CA0FEC">
      <w:pPr>
        <w:spacing w:before="120" w:after="120"/>
        <w:jc w:val="both"/>
        <w:rPr>
          <w:rFonts w:ascii="Arial" w:hAnsi="Arial" w:cs="Arial"/>
          <w:sz w:val="20"/>
          <w:szCs w:val="20"/>
        </w:rPr>
      </w:pPr>
      <w:r w:rsidRPr="002A79D0">
        <w:rPr>
          <w:rFonts w:ascii="Arial" w:hAnsi="Arial" w:cs="Arial"/>
          <w:sz w:val="20"/>
          <w:szCs w:val="20"/>
        </w:rPr>
        <w:t xml:space="preserve">Private Equity is made available to companies or investors, but not quoted on a stock market. A more accessible for of private equity is a Venture Capital Fund which is an investment fund that manages money from investors seeking private equity stakes in domestic and international leverage buyouts, structured equity investments, mezzanine investments, real estate investments, venture capital investments, and investments in other private equity funds. </w:t>
      </w:r>
    </w:p>
    <w:p w:rsidR="00CA0FEC" w:rsidRPr="004B3BDF" w:rsidRDefault="00CA0FEC" w:rsidP="00CA0FEC">
      <w:pPr>
        <w:pStyle w:val="Heading3"/>
        <w:keepNext w:val="0"/>
        <w:tabs>
          <w:tab w:val="clear" w:pos="6444"/>
          <w:tab w:val="num" w:pos="540"/>
        </w:tabs>
        <w:spacing w:before="120" w:after="120"/>
        <w:ind w:left="0" w:firstLine="0"/>
        <w:jc w:val="both"/>
        <w:rPr>
          <w:sz w:val="22"/>
          <w:szCs w:val="22"/>
        </w:rPr>
      </w:pPr>
      <w:r>
        <w:rPr>
          <w:sz w:val="22"/>
          <w:szCs w:val="22"/>
        </w:rPr>
        <w:t>CDO</w:t>
      </w:r>
    </w:p>
    <w:p w:rsidR="00CA0FEC" w:rsidRPr="00CA0FEC" w:rsidRDefault="00CA0FEC" w:rsidP="00CA0FEC">
      <w:pPr>
        <w:jc w:val="both"/>
        <w:outlineLvl w:val="1"/>
        <w:rPr>
          <w:rFonts w:ascii="Arial" w:hAnsi="Arial" w:cs="Arial"/>
          <w:b/>
          <w:bCs/>
          <w:color w:val="000080"/>
          <w:kern w:val="32"/>
          <w:sz w:val="22"/>
          <w:szCs w:val="22"/>
        </w:rPr>
      </w:pPr>
      <w:r w:rsidRPr="00CA0FEC">
        <w:rPr>
          <w:rFonts w:ascii="Arial" w:hAnsi="Arial" w:cs="Arial"/>
          <w:sz w:val="20"/>
          <w:szCs w:val="20"/>
        </w:rPr>
        <w:t xml:space="preserve">Collateralized debt obligations (CDOs) are a type of </w:t>
      </w:r>
      <w:hyperlink r:id="rId30" w:tooltip="Asset-backed security" w:history="1">
        <w:r w:rsidRPr="00CA0FEC">
          <w:rPr>
            <w:rFonts w:ascii="Arial" w:hAnsi="Arial" w:cs="Arial"/>
            <w:sz w:val="20"/>
            <w:szCs w:val="20"/>
          </w:rPr>
          <w:t>asset-backed security</w:t>
        </w:r>
      </w:hyperlink>
      <w:r w:rsidRPr="00CA0FEC">
        <w:rPr>
          <w:rFonts w:ascii="Arial" w:hAnsi="Arial" w:cs="Arial"/>
          <w:sz w:val="20"/>
          <w:szCs w:val="20"/>
        </w:rPr>
        <w:t xml:space="preserve"> and </w:t>
      </w:r>
      <w:hyperlink r:id="rId31" w:tooltip="Structured finance" w:history="1">
        <w:r w:rsidRPr="00CA0FEC">
          <w:rPr>
            <w:rFonts w:ascii="Arial" w:hAnsi="Arial" w:cs="Arial"/>
            <w:sz w:val="20"/>
            <w:szCs w:val="20"/>
          </w:rPr>
          <w:t>structured</w:t>
        </w:r>
      </w:hyperlink>
      <w:r w:rsidRPr="00CA0FEC">
        <w:rPr>
          <w:rFonts w:ascii="Arial" w:hAnsi="Arial" w:cs="Arial"/>
          <w:sz w:val="20"/>
          <w:szCs w:val="20"/>
        </w:rPr>
        <w:t xml:space="preserve"> credit product. CDOs are constructed from a portfolio of fixed-income assets. These assets are divided into different </w:t>
      </w:r>
      <w:hyperlink r:id="rId32" w:tooltip="Tranches" w:history="1">
        <w:r w:rsidRPr="00CA0FEC">
          <w:rPr>
            <w:rFonts w:ascii="Arial" w:hAnsi="Arial" w:cs="Arial"/>
            <w:sz w:val="20"/>
            <w:szCs w:val="20"/>
          </w:rPr>
          <w:t>tranches</w:t>
        </w:r>
      </w:hyperlink>
      <w:r w:rsidRPr="00CA0FEC">
        <w:rPr>
          <w:rFonts w:ascii="Arial" w:hAnsi="Arial" w:cs="Arial"/>
          <w:sz w:val="20"/>
          <w:szCs w:val="20"/>
        </w:rPr>
        <w:t>: senior tranches (</w:t>
      </w:r>
      <w:hyperlink r:id="rId33" w:tooltip="Credit rating" w:history="1">
        <w:r w:rsidRPr="00CA0FEC">
          <w:rPr>
            <w:rFonts w:ascii="Arial" w:hAnsi="Arial" w:cs="Arial"/>
            <w:sz w:val="20"/>
            <w:szCs w:val="20"/>
          </w:rPr>
          <w:t>rated</w:t>
        </w:r>
      </w:hyperlink>
      <w:r w:rsidRPr="00CA0FEC">
        <w:rPr>
          <w:rFonts w:ascii="Arial" w:hAnsi="Arial" w:cs="Arial"/>
          <w:sz w:val="20"/>
          <w:szCs w:val="20"/>
        </w:rPr>
        <w:t xml:space="preserve"> AAA), mezzanine tranches (AA to BB), and equity tranches (unrated). Losses are applied in reverse order of seniority and so junior tranches offer higher </w:t>
      </w:r>
      <w:hyperlink r:id="rId34" w:tooltip="Coupon (bond)" w:history="1">
        <w:r w:rsidRPr="00CA0FEC">
          <w:rPr>
            <w:rFonts w:ascii="Arial" w:hAnsi="Arial" w:cs="Arial"/>
            <w:sz w:val="20"/>
            <w:szCs w:val="20"/>
          </w:rPr>
          <w:t>coupons</w:t>
        </w:r>
      </w:hyperlink>
      <w:r w:rsidRPr="00CA0FEC">
        <w:rPr>
          <w:rFonts w:ascii="Arial" w:hAnsi="Arial" w:cs="Arial"/>
          <w:sz w:val="20"/>
          <w:szCs w:val="20"/>
        </w:rPr>
        <w:t xml:space="preserve"> (interest rates) to compensate for the added </w:t>
      </w:r>
      <w:hyperlink r:id="rId35" w:tooltip="Default risk" w:history="1">
        <w:r w:rsidRPr="00CA0FEC">
          <w:rPr>
            <w:rFonts w:ascii="Arial" w:hAnsi="Arial" w:cs="Arial"/>
            <w:sz w:val="20"/>
            <w:szCs w:val="20"/>
          </w:rPr>
          <w:t>default risk</w:t>
        </w:r>
      </w:hyperlink>
      <w:r w:rsidRPr="00CA0FEC">
        <w:rPr>
          <w:rFonts w:ascii="Arial" w:hAnsi="Arial" w:cs="Arial"/>
          <w:sz w:val="20"/>
          <w:szCs w:val="20"/>
        </w:rPr>
        <w:t>. CDOs serve as an important funding vehicle for fixed-income assets.</w:t>
      </w:r>
    </w:p>
    <w:bookmarkEnd w:id="10"/>
    <w:bookmarkEnd w:id="11"/>
    <w:bookmarkEnd w:id="12"/>
    <w:p w:rsidR="00440E29" w:rsidRPr="004B3BDF" w:rsidRDefault="00440E29" w:rsidP="00440E29">
      <w:pPr>
        <w:pStyle w:val="body"/>
        <w:spacing w:line="240" w:lineRule="auto"/>
        <w:rPr>
          <w:rFonts w:ascii="Arial" w:hAnsi="Arial" w:cs="Arial"/>
          <w:sz w:val="22"/>
          <w:szCs w:val="22"/>
        </w:rPr>
      </w:pPr>
    </w:p>
    <w:bookmarkEnd w:id="5"/>
    <w:p w:rsidR="00D81F56" w:rsidRPr="009413F6" w:rsidRDefault="00D81F56" w:rsidP="003E3FB6">
      <w:pPr>
        <w:pStyle w:val="body"/>
        <w:spacing w:before="120" w:after="120" w:line="240" w:lineRule="atLeast"/>
        <w:jc w:val="both"/>
        <w:rPr>
          <w:rFonts w:ascii="Arial" w:hAnsi="Arial" w:cs="Arial"/>
        </w:rPr>
      </w:pPr>
    </w:p>
    <w:p w:rsidR="00391A6A" w:rsidRPr="009413F6" w:rsidRDefault="00B7786A" w:rsidP="003E3FB6">
      <w:pPr>
        <w:pStyle w:val="body"/>
        <w:spacing w:before="120" w:after="120" w:line="240" w:lineRule="atLeast"/>
        <w:jc w:val="both"/>
        <w:rPr>
          <w:rFonts w:ascii="Arial" w:hAnsi="Arial" w:cs="Arial"/>
        </w:rPr>
      </w:pPr>
      <w:r w:rsidRPr="009413F6">
        <w:rPr>
          <w:rFonts w:ascii="Arial" w:hAnsi="Arial" w:cs="Arial"/>
        </w:rPr>
        <w:br w:type="page"/>
      </w: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3E3FB6">
      <w:pPr>
        <w:pStyle w:val="body"/>
        <w:spacing w:before="120" w:after="120" w:line="240" w:lineRule="atLeast"/>
        <w:jc w:val="both"/>
        <w:rPr>
          <w:rFonts w:ascii="Arial" w:hAnsi="Arial" w:cs="Arial"/>
        </w:rPr>
      </w:pPr>
    </w:p>
    <w:p w:rsidR="00391A6A" w:rsidRPr="009413F6" w:rsidRDefault="00391A6A" w:rsidP="0055549E">
      <w:pPr>
        <w:pStyle w:val="SectionHeading"/>
        <w:spacing w:before="120" w:line="240" w:lineRule="atLeast"/>
        <w:rPr>
          <w:rFonts w:cs="Arial"/>
        </w:rPr>
      </w:pPr>
      <w:bookmarkStart w:id="19" w:name="_Toc134366461"/>
      <w:bookmarkStart w:id="20" w:name="_Toc226530514"/>
      <w:r w:rsidRPr="009413F6">
        <w:rPr>
          <w:rFonts w:cs="Arial"/>
        </w:rPr>
        <w:t>Section II:</w:t>
      </w:r>
      <w:bookmarkEnd w:id="19"/>
      <w:bookmarkEnd w:id="20"/>
    </w:p>
    <w:p w:rsidR="002F3BE0" w:rsidRPr="009413F6" w:rsidRDefault="00391A6A" w:rsidP="0055549E">
      <w:pPr>
        <w:pStyle w:val="SectionHeading"/>
        <w:spacing w:before="120" w:line="240" w:lineRule="atLeast"/>
        <w:rPr>
          <w:rFonts w:cs="Arial"/>
        </w:rPr>
      </w:pPr>
      <w:bookmarkStart w:id="21" w:name="_Toc134366462"/>
      <w:bookmarkStart w:id="22" w:name="_Toc226530515"/>
      <w:r w:rsidRPr="009413F6">
        <w:rPr>
          <w:rFonts w:cs="Arial"/>
        </w:rPr>
        <w:t>Investment Management Definitions and Processes</w:t>
      </w:r>
      <w:bookmarkEnd w:id="21"/>
      <w:bookmarkEnd w:id="22"/>
    </w:p>
    <w:p w:rsidR="00B11E0A" w:rsidRPr="009413F6" w:rsidRDefault="00B11E0A" w:rsidP="003E3FB6">
      <w:pPr>
        <w:pStyle w:val="body"/>
        <w:spacing w:before="120" w:after="120" w:line="240" w:lineRule="atLeast"/>
        <w:jc w:val="both"/>
        <w:rPr>
          <w:rFonts w:ascii="Arial" w:hAnsi="Arial" w:cs="Arial"/>
          <w:szCs w:val="22"/>
        </w:rPr>
      </w:pPr>
    </w:p>
    <w:p w:rsidR="00B11E0A" w:rsidRPr="009413F6" w:rsidRDefault="0055549E" w:rsidP="003E3FB6">
      <w:pPr>
        <w:pStyle w:val="body"/>
        <w:spacing w:before="120" w:after="120" w:line="240" w:lineRule="atLeast"/>
        <w:jc w:val="both"/>
        <w:rPr>
          <w:rFonts w:ascii="Arial" w:hAnsi="Arial" w:cs="Arial"/>
          <w:szCs w:val="22"/>
        </w:rPr>
      </w:pPr>
      <w:r>
        <w:rPr>
          <w:rFonts w:ascii="Arial" w:hAnsi="Arial" w:cs="Arial"/>
          <w:szCs w:val="22"/>
        </w:rPr>
        <w:br w:type="page"/>
      </w:r>
    </w:p>
    <w:p w:rsidR="002F3BE0" w:rsidRPr="009413F6" w:rsidRDefault="002F3BE0" w:rsidP="003E3FB6">
      <w:pPr>
        <w:pStyle w:val="Heading1"/>
        <w:keepNext w:val="0"/>
        <w:pageBreakBefore w:val="0"/>
        <w:spacing w:before="120" w:after="120" w:line="240" w:lineRule="atLeast"/>
        <w:ind w:left="0" w:firstLine="0"/>
        <w:jc w:val="both"/>
      </w:pPr>
      <w:bookmarkStart w:id="23" w:name="_Toc134366463"/>
      <w:bookmarkStart w:id="24" w:name="_Toc226530516"/>
      <w:r w:rsidRPr="009413F6">
        <w:lastRenderedPageBreak/>
        <w:t>Investment Management: Overview</w:t>
      </w:r>
      <w:bookmarkEnd w:id="23"/>
      <w:bookmarkEnd w:id="24"/>
    </w:p>
    <w:p w:rsidR="00F11709" w:rsidRPr="009413F6" w:rsidRDefault="00F11709" w:rsidP="002A79D0">
      <w:pPr>
        <w:spacing w:before="120" w:after="120"/>
        <w:jc w:val="both"/>
        <w:rPr>
          <w:rFonts w:ascii="Arial" w:hAnsi="Arial" w:cs="Arial"/>
          <w:sz w:val="20"/>
          <w:szCs w:val="20"/>
        </w:rPr>
      </w:pPr>
      <w:r w:rsidRPr="009413F6">
        <w:rPr>
          <w:rFonts w:ascii="Arial" w:hAnsi="Arial" w:cs="Arial"/>
          <w:sz w:val="20"/>
          <w:szCs w:val="20"/>
        </w:rPr>
        <w:t xml:space="preserve">Investment Management refers to the managing and investment of funds by financial institutions, on behalf of their customers. The investment is done </w:t>
      </w:r>
      <w:r w:rsidR="007A62B5">
        <w:rPr>
          <w:rFonts w:ascii="Arial" w:hAnsi="Arial" w:cs="Arial"/>
          <w:sz w:val="20"/>
          <w:szCs w:val="20"/>
        </w:rPr>
        <w:t>across varied asset classes</w:t>
      </w:r>
      <w:r w:rsidRPr="009413F6">
        <w:rPr>
          <w:rFonts w:ascii="Arial" w:hAnsi="Arial" w:cs="Arial"/>
          <w:sz w:val="20"/>
          <w:szCs w:val="20"/>
        </w:rPr>
        <w:t>. The role of the investment manager is to obtain superior return on capital</w:t>
      </w:r>
      <w:r w:rsidR="00C63F69">
        <w:rPr>
          <w:rFonts w:ascii="Arial" w:hAnsi="Arial" w:cs="Arial"/>
          <w:sz w:val="20"/>
          <w:szCs w:val="20"/>
        </w:rPr>
        <w:t xml:space="preserve"> for their customers</w:t>
      </w:r>
      <w:r w:rsidRPr="009413F6">
        <w:rPr>
          <w:rFonts w:ascii="Arial" w:hAnsi="Arial" w:cs="Arial"/>
          <w:sz w:val="20"/>
          <w:szCs w:val="20"/>
        </w:rPr>
        <w:t>. ‘Superior return’ means adding value in the following ways:</w:t>
      </w:r>
    </w:p>
    <w:p w:rsidR="00F11709" w:rsidRPr="009413F6" w:rsidRDefault="00F11709" w:rsidP="002A79D0">
      <w:pPr>
        <w:pStyle w:val="BodyText-Bullets1"/>
        <w:numPr>
          <w:ilvl w:val="0"/>
          <w:numId w:val="37"/>
        </w:numPr>
        <w:spacing w:before="120" w:line="240" w:lineRule="auto"/>
        <w:rPr>
          <w:rFonts w:cs="Arial"/>
        </w:rPr>
      </w:pPr>
      <w:r w:rsidRPr="009413F6">
        <w:rPr>
          <w:rFonts w:cs="Arial"/>
        </w:rPr>
        <w:t>Making better decisions than their clients due to their research capacity and investment skills.</w:t>
      </w:r>
    </w:p>
    <w:p w:rsidR="00F11709" w:rsidRPr="009413F6" w:rsidRDefault="00F11709" w:rsidP="002A79D0">
      <w:pPr>
        <w:pStyle w:val="BodyText-Bullets1"/>
        <w:numPr>
          <w:ilvl w:val="0"/>
          <w:numId w:val="37"/>
        </w:numPr>
        <w:spacing w:before="120" w:line="240" w:lineRule="auto"/>
        <w:rPr>
          <w:rFonts w:cs="Arial"/>
        </w:rPr>
      </w:pPr>
      <w:r w:rsidRPr="009413F6">
        <w:rPr>
          <w:rFonts w:cs="Arial"/>
        </w:rPr>
        <w:t>Providing a level of investment diversification through the pooling of funds that their clients could not achieve.</w:t>
      </w:r>
    </w:p>
    <w:p w:rsidR="00F11709" w:rsidRPr="009413F6" w:rsidRDefault="00F11709" w:rsidP="002A79D0">
      <w:pPr>
        <w:pStyle w:val="BodyText-Bullets1"/>
        <w:numPr>
          <w:ilvl w:val="0"/>
          <w:numId w:val="37"/>
        </w:numPr>
        <w:spacing w:before="120" w:line="240" w:lineRule="auto"/>
        <w:rPr>
          <w:rFonts w:cs="Arial"/>
        </w:rPr>
      </w:pPr>
      <w:r w:rsidRPr="009413F6">
        <w:rPr>
          <w:rFonts w:cs="Arial"/>
        </w:rPr>
        <w:t>Using their breadth of knowledge to fulfill the investment objectives of the portfolio, e.g., providing an acceptable pension for their client.</w:t>
      </w:r>
    </w:p>
    <w:p w:rsidR="00F11709" w:rsidRPr="009413F6" w:rsidRDefault="00F11709" w:rsidP="002A79D0">
      <w:pPr>
        <w:spacing w:before="120" w:after="120"/>
        <w:jc w:val="both"/>
        <w:rPr>
          <w:rFonts w:ascii="Arial" w:hAnsi="Arial" w:cs="Arial"/>
          <w:sz w:val="20"/>
          <w:szCs w:val="20"/>
        </w:rPr>
      </w:pPr>
      <w:r w:rsidRPr="009413F6">
        <w:rPr>
          <w:rFonts w:ascii="Arial" w:hAnsi="Arial" w:cs="Arial"/>
          <w:sz w:val="20"/>
          <w:szCs w:val="20"/>
        </w:rPr>
        <w:t xml:space="preserve">The return on investment is compared to a benchmark, often constructed from the returns obtained by rival asset </w:t>
      </w:r>
      <w:r w:rsidR="002C3912" w:rsidRPr="009413F6">
        <w:rPr>
          <w:rFonts w:ascii="Arial" w:hAnsi="Arial" w:cs="Arial"/>
          <w:sz w:val="20"/>
          <w:szCs w:val="20"/>
        </w:rPr>
        <w:t>managers</w:t>
      </w:r>
      <w:r w:rsidRPr="009413F6">
        <w:rPr>
          <w:rFonts w:ascii="Arial" w:hAnsi="Arial" w:cs="Arial"/>
          <w:sz w:val="20"/>
          <w:szCs w:val="20"/>
        </w:rPr>
        <w:t xml:space="preserve">, this comparison being used by investors to assess the asset manager’s performance. The investment manager is also responsible for ensuring that the client’s individual preferences and needs are </w:t>
      </w:r>
      <w:r w:rsidR="00C63F69">
        <w:rPr>
          <w:rFonts w:ascii="Arial" w:hAnsi="Arial" w:cs="Arial"/>
          <w:sz w:val="20"/>
          <w:szCs w:val="20"/>
        </w:rPr>
        <w:t>achieved.</w:t>
      </w:r>
      <w:r w:rsidRPr="009413F6">
        <w:rPr>
          <w:rFonts w:ascii="Arial" w:hAnsi="Arial" w:cs="Arial"/>
          <w:sz w:val="20"/>
          <w:szCs w:val="20"/>
        </w:rPr>
        <w:t xml:space="preserve"> Investment Managers usually look after more than one client, each client’s capital being segregated in to a ‘fund’ or ‘portfolio’. </w:t>
      </w:r>
    </w:p>
    <w:p w:rsidR="00F11709" w:rsidRPr="009413F6" w:rsidRDefault="00F11709" w:rsidP="003E3FB6">
      <w:pPr>
        <w:pStyle w:val="Heading2"/>
        <w:keepNext w:val="0"/>
        <w:spacing w:before="120" w:after="120" w:line="240" w:lineRule="atLeast"/>
        <w:ind w:left="0" w:firstLine="0"/>
        <w:jc w:val="both"/>
      </w:pPr>
      <w:bookmarkStart w:id="25" w:name="_Toc202158923"/>
      <w:bookmarkStart w:id="26" w:name="_Toc202158924"/>
      <w:bookmarkStart w:id="27" w:name="_Toc202158925"/>
      <w:bookmarkStart w:id="28" w:name="_Toc133730610"/>
      <w:bookmarkStart w:id="29" w:name="_Toc134366464"/>
      <w:bookmarkStart w:id="30" w:name="_Toc226530517"/>
      <w:bookmarkEnd w:id="25"/>
      <w:bookmarkEnd w:id="26"/>
      <w:bookmarkEnd w:id="27"/>
      <w:r w:rsidRPr="009413F6">
        <w:t>Major Business Entities</w:t>
      </w:r>
      <w:bookmarkEnd w:id="28"/>
      <w:bookmarkEnd w:id="29"/>
      <w:bookmarkEnd w:id="30"/>
    </w:p>
    <w:p w:rsidR="00F11709" w:rsidRPr="009413F6" w:rsidRDefault="00F11709" w:rsidP="009E71C7">
      <w:pPr>
        <w:jc w:val="both"/>
      </w:pPr>
      <w:r w:rsidRPr="009413F6">
        <w:rPr>
          <w:rFonts w:ascii="Arial" w:hAnsi="Arial" w:cs="Arial"/>
          <w:sz w:val="20"/>
          <w:szCs w:val="20"/>
        </w:rPr>
        <w:t xml:space="preserve">In the Investment Management business, there are multiple business </w:t>
      </w:r>
      <w:r w:rsidR="009E71C7" w:rsidRPr="009413F6">
        <w:rPr>
          <w:rFonts w:ascii="Arial" w:hAnsi="Arial" w:cs="Arial"/>
          <w:sz w:val="20"/>
          <w:szCs w:val="20"/>
        </w:rPr>
        <w:t>entities</w:t>
      </w:r>
      <w:r w:rsidR="009E71C7">
        <w:rPr>
          <w:rFonts w:ascii="Arial" w:hAnsi="Arial" w:cs="Arial"/>
          <w:sz w:val="20"/>
          <w:szCs w:val="20"/>
        </w:rPr>
        <w:t>. These</w:t>
      </w:r>
      <w:r w:rsidRPr="009413F6">
        <w:rPr>
          <w:rFonts w:ascii="Arial" w:hAnsi="Arial" w:cs="Arial"/>
          <w:sz w:val="20"/>
          <w:szCs w:val="20"/>
        </w:rPr>
        <w:t xml:space="preserve"> can be divided roughly into entities engaged in the core investment management activities and external entities that provide support services. Apart from these entities, abstract entities such as account, portfolio, trade etc. can be modeled to provide a complete picture</w:t>
      </w:r>
      <w:r w:rsidR="009E71C7">
        <w:rPr>
          <w:rFonts w:ascii="Arial" w:hAnsi="Arial" w:cs="Arial"/>
          <w:sz w:val="20"/>
          <w:szCs w:val="20"/>
        </w:rPr>
        <w:t>.</w:t>
      </w:r>
      <w:r w:rsidRPr="009413F6">
        <w:rPr>
          <w:rFonts w:ascii="Arial" w:hAnsi="Arial" w:cs="Arial"/>
          <w:sz w:val="20"/>
          <w:szCs w:val="20"/>
        </w:rPr>
        <w:t xml:space="preserve"> The diagram below is an entity-relationship diagram that shows how the different business entities interact with each</w:t>
      </w:r>
      <w:r w:rsidR="009E71C7">
        <w:rPr>
          <w:rFonts w:ascii="Arial" w:hAnsi="Arial" w:cs="Arial"/>
          <w:sz w:val="20"/>
          <w:szCs w:val="20"/>
        </w:rPr>
        <w:t xml:space="preserve"> other.</w:t>
      </w:r>
      <w:r w:rsidR="00C164AF">
        <w:rPr>
          <w:noProof/>
          <w:color w:val="1F497D"/>
        </w:rPr>
        <w:drawing>
          <wp:inline distT="0" distB="0" distL="0" distR="0">
            <wp:extent cx="5372100" cy="3562350"/>
            <wp:effectExtent l="19050" t="0" r="0" b="0"/>
            <wp:docPr id="2" name="Picture 3"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002"/>
                    <pic:cNvPicPr>
                      <a:picLocks noChangeAspect="1" noChangeArrowheads="1"/>
                    </pic:cNvPicPr>
                  </pic:nvPicPr>
                  <pic:blipFill>
                    <a:blip r:embed="rId36" cstate="print"/>
                    <a:srcRect/>
                    <a:stretch>
                      <a:fillRect/>
                    </a:stretch>
                  </pic:blipFill>
                  <pic:spPr bwMode="auto">
                    <a:xfrm>
                      <a:off x="0" y="0"/>
                      <a:ext cx="5372100" cy="3562350"/>
                    </a:xfrm>
                    <a:prstGeom prst="rect">
                      <a:avLst/>
                    </a:prstGeom>
                    <a:noFill/>
                    <a:ln w="9525">
                      <a:noFill/>
                      <a:miter lim="800000"/>
                      <a:headEnd/>
                      <a:tailEnd/>
                    </a:ln>
                  </pic:spPr>
                </pic:pic>
              </a:graphicData>
            </a:graphic>
          </wp:inline>
        </w:drawing>
      </w:r>
    </w:p>
    <w:p w:rsidR="00F11709" w:rsidRPr="002723CA" w:rsidRDefault="00F11709" w:rsidP="002723CA">
      <w:pPr>
        <w:pStyle w:val="Caption"/>
        <w:jc w:val="center"/>
      </w:pPr>
      <w:bookmarkStart w:id="31" w:name="_Toc207007210"/>
      <w:r w:rsidRPr="002723CA">
        <w:t>F</w:t>
      </w:r>
      <w:r w:rsidRPr="0062725D">
        <w:t xml:space="preserve">igure </w:t>
      </w:r>
      <w:r w:rsidR="00FC0435">
        <w:fldChar w:fldCharType="begin"/>
      </w:r>
      <w:r w:rsidR="00E732DA">
        <w:instrText xml:space="preserve"> STYLEREF 1 \s </w:instrText>
      </w:r>
      <w:r w:rsidR="00FC0435">
        <w:fldChar w:fldCharType="separate"/>
      </w:r>
      <w:r w:rsidR="0060131C">
        <w:rPr>
          <w:noProof/>
        </w:rPr>
        <w:t>3</w:t>
      </w:r>
      <w:r w:rsidR="00FC0435">
        <w:fldChar w:fldCharType="end"/>
      </w:r>
      <w:r w:rsidR="00E94D45">
        <w:noBreakHyphen/>
      </w:r>
      <w:r w:rsidR="00FC0435">
        <w:fldChar w:fldCharType="begin"/>
      </w:r>
      <w:r w:rsidR="00E732DA">
        <w:instrText xml:space="preserve"> SEQ Figure \* ARABIC \s 1 </w:instrText>
      </w:r>
      <w:r w:rsidR="00FC0435">
        <w:fldChar w:fldCharType="separate"/>
      </w:r>
      <w:r w:rsidR="0060131C">
        <w:rPr>
          <w:noProof/>
        </w:rPr>
        <w:t>1</w:t>
      </w:r>
      <w:r w:rsidR="00FC0435">
        <w:fldChar w:fldCharType="end"/>
      </w:r>
      <w:r w:rsidRPr="0062725D">
        <w:t>: Entity Relationships in the Investment Management World</w:t>
      </w:r>
      <w:bookmarkEnd w:id="31"/>
    </w:p>
    <w:p w:rsidR="00F11709" w:rsidRPr="002A79D0" w:rsidRDefault="00F11709" w:rsidP="002A79D0">
      <w:pPr>
        <w:spacing w:before="120" w:after="120"/>
        <w:jc w:val="both"/>
        <w:rPr>
          <w:rFonts w:ascii="Arial" w:hAnsi="Arial" w:cs="Arial"/>
          <w:sz w:val="20"/>
          <w:szCs w:val="20"/>
        </w:rPr>
      </w:pPr>
      <w:r w:rsidRPr="002A79D0">
        <w:rPr>
          <w:rFonts w:ascii="Arial" w:hAnsi="Arial" w:cs="Arial"/>
          <w:sz w:val="20"/>
          <w:szCs w:val="20"/>
        </w:rPr>
        <w:t>Let’s get a brief idea of each of the entities shown in the above diagram.</w:t>
      </w:r>
    </w:p>
    <w:p w:rsidR="00F11709" w:rsidRPr="002A79D0" w:rsidRDefault="00B119AE" w:rsidP="002A79D0">
      <w:pPr>
        <w:pStyle w:val="Heading4"/>
        <w:keepNext w:val="0"/>
        <w:spacing w:before="120" w:after="120"/>
        <w:jc w:val="both"/>
        <w:rPr>
          <w:color w:val="auto"/>
          <w:sz w:val="20"/>
          <w:szCs w:val="20"/>
        </w:rPr>
      </w:pPr>
      <w:r w:rsidRPr="00710006">
        <w:rPr>
          <w:rFonts w:cs="Arial"/>
          <w:i/>
          <w:color w:val="auto"/>
          <w:sz w:val="20"/>
          <w:szCs w:val="20"/>
        </w:rPr>
        <w:lastRenderedPageBreak/>
        <w:t>Sponsor</w:t>
      </w:r>
      <w:r w:rsidRPr="002A79D0">
        <w:rPr>
          <w:rFonts w:cs="Arial"/>
          <w:color w:val="auto"/>
          <w:sz w:val="20"/>
          <w:szCs w:val="20"/>
        </w:rPr>
        <w:t xml:space="preserve">: </w:t>
      </w:r>
      <w:r w:rsidR="00F11709" w:rsidRPr="002A79D0">
        <w:rPr>
          <w:color w:val="auto"/>
          <w:sz w:val="20"/>
          <w:szCs w:val="20"/>
        </w:rPr>
        <w:t xml:space="preserve">Sponsor is a firm that establishes, organizes, maintains and in most cases markets investment programs that offer investment management, brokerage and custodial services for asset-based fee. </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Program</w:t>
      </w:r>
      <w:r w:rsidR="00B119AE" w:rsidRPr="002A79D0">
        <w:rPr>
          <w:rFonts w:cs="Arial"/>
          <w:color w:val="auto"/>
          <w:sz w:val="20"/>
          <w:szCs w:val="20"/>
        </w:rPr>
        <w:t xml:space="preserve">: </w:t>
      </w:r>
      <w:r w:rsidRPr="002A79D0">
        <w:rPr>
          <w:color w:val="auto"/>
          <w:sz w:val="20"/>
          <w:szCs w:val="20"/>
        </w:rPr>
        <w:t>Investment Programs are sponsor products, and consist of an investment plan based on a specific investment strategy designed to achieve specific goals and objectives. The main difference between an investment plan and an investment program is that the former is drawn for each individual and institutional investor, while a program is drawn based on consideration and analysis of broad investment objectives of a class of investors.</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 xml:space="preserve">Financial </w:t>
      </w:r>
      <w:r w:rsidR="00B119AE" w:rsidRPr="00710006">
        <w:rPr>
          <w:rFonts w:cs="Arial"/>
          <w:i/>
          <w:color w:val="auto"/>
          <w:sz w:val="20"/>
          <w:szCs w:val="20"/>
        </w:rPr>
        <w:t>Advisor</w:t>
      </w:r>
      <w:r w:rsidR="00B119AE" w:rsidRPr="002A79D0">
        <w:rPr>
          <w:rFonts w:cs="Arial"/>
          <w:color w:val="auto"/>
          <w:sz w:val="20"/>
          <w:szCs w:val="20"/>
        </w:rPr>
        <w:t>:</w:t>
      </w:r>
      <w:r w:rsidR="00B119AE" w:rsidRPr="002A79D0">
        <w:rPr>
          <w:color w:val="auto"/>
          <w:sz w:val="20"/>
          <w:szCs w:val="20"/>
        </w:rPr>
        <w:t xml:space="preserve"> Financial</w:t>
      </w:r>
      <w:r w:rsidRPr="002A79D0">
        <w:rPr>
          <w:color w:val="auto"/>
          <w:sz w:val="20"/>
          <w:szCs w:val="20"/>
        </w:rPr>
        <w:t xml:space="preserve"> Advisor is an advisor to individual and institutional investors and is responsible for establishing the liquidity needs, return needs and risk appetite of the investors, based on which goals and objectives are decided and an overall Financial Plan is drawn, which may include, besides the investment plan for securities and funds, insurance policies, charitable trusts, and inheritance / estate planning. In many cases, advisors also distribute mutual funds and other investment products and investor can buy them directly from the investor. Managing relationship with the clients is a critical component of financial advisory services.</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 xml:space="preserve">Investment </w:t>
      </w:r>
      <w:r w:rsidR="00B119AE" w:rsidRPr="00710006">
        <w:rPr>
          <w:rFonts w:cs="Arial"/>
          <w:i/>
          <w:color w:val="auto"/>
          <w:sz w:val="20"/>
          <w:szCs w:val="20"/>
        </w:rPr>
        <w:t>Manager</w:t>
      </w:r>
      <w:r w:rsidR="00B119AE" w:rsidRPr="002A79D0">
        <w:rPr>
          <w:rFonts w:cs="Arial"/>
          <w:color w:val="auto"/>
          <w:sz w:val="20"/>
          <w:szCs w:val="20"/>
        </w:rPr>
        <w:t>:</w:t>
      </w:r>
      <w:r w:rsidR="00B119AE" w:rsidRPr="002A79D0">
        <w:rPr>
          <w:color w:val="auto"/>
          <w:sz w:val="20"/>
          <w:szCs w:val="20"/>
        </w:rPr>
        <w:t xml:space="preserve"> Investment</w:t>
      </w:r>
      <w:r w:rsidRPr="002A79D0">
        <w:rPr>
          <w:color w:val="auto"/>
          <w:sz w:val="20"/>
          <w:szCs w:val="20"/>
        </w:rPr>
        <w:t xml:space="preserve"> Manager is an individual or firm that charges a management fee for investing the funds of investors in securities appropriate for their stated investment objectives. The investment manager is also called as Asset Manager, Portfolio Manager, Money Manager or Fund Manager when they manage a pool of investors’ funds such as a Mutual Fund. </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Investment Style</w:t>
      </w:r>
      <w:r w:rsidR="00B119AE" w:rsidRPr="002A79D0">
        <w:rPr>
          <w:rFonts w:cs="Arial"/>
          <w:color w:val="auto"/>
          <w:sz w:val="20"/>
          <w:szCs w:val="20"/>
        </w:rPr>
        <w:t xml:space="preserve">: </w:t>
      </w:r>
      <w:r w:rsidRPr="002A79D0">
        <w:rPr>
          <w:color w:val="auto"/>
          <w:sz w:val="20"/>
          <w:szCs w:val="20"/>
        </w:rPr>
        <w:t xml:space="preserve">Investment Styles are investment manager’s products or offerings. Most investment managers specialize in certain investment styles. Each Investment Style is associated with one or more </w:t>
      </w:r>
      <w:r w:rsidR="00895315" w:rsidRPr="002A79D0">
        <w:rPr>
          <w:color w:val="auto"/>
          <w:sz w:val="20"/>
          <w:szCs w:val="20"/>
        </w:rPr>
        <w:t>m</w:t>
      </w:r>
      <w:r w:rsidRPr="002A79D0">
        <w:rPr>
          <w:color w:val="auto"/>
          <w:sz w:val="20"/>
          <w:szCs w:val="20"/>
        </w:rPr>
        <w:t>odels, comprising of several Instruments that determine the asset allocation</w:t>
      </w:r>
      <w:r w:rsidR="00895315" w:rsidRPr="002A79D0">
        <w:rPr>
          <w:color w:val="auto"/>
          <w:sz w:val="20"/>
          <w:szCs w:val="20"/>
        </w:rPr>
        <w:t>.</w:t>
      </w:r>
    </w:p>
    <w:p w:rsidR="00CB6BFC" w:rsidRPr="002A79D0" w:rsidRDefault="00B119AE" w:rsidP="002A79D0">
      <w:pPr>
        <w:pStyle w:val="Heading4"/>
        <w:keepNext w:val="0"/>
        <w:spacing w:before="120" w:after="120"/>
        <w:jc w:val="both"/>
        <w:rPr>
          <w:color w:val="auto"/>
          <w:sz w:val="20"/>
          <w:szCs w:val="20"/>
        </w:rPr>
      </w:pPr>
      <w:r w:rsidRPr="00710006">
        <w:rPr>
          <w:rFonts w:cs="Arial"/>
          <w:i/>
          <w:color w:val="auto"/>
          <w:sz w:val="20"/>
          <w:szCs w:val="20"/>
        </w:rPr>
        <w:t>Investor</w:t>
      </w:r>
      <w:r w:rsidRPr="002A79D0">
        <w:rPr>
          <w:rFonts w:cs="Arial"/>
          <w:color w:val="auto"/>
          <w:sz w:val="20"/>
          <w:szCs w:val="20"/>
        </w:rPr>
        <w:t>:</w:t>
      </w:r>
      <w:r w:rsidRPr="002A79D0">
        <w:rPr>
          <w:color w:val="auto"/>
          <w:sz w:val="20"/>
          <w:szCs w:val="20"/>
        </w:rPr>
        <w:t xml:space="preserve"> Investor</w:t>
      </w:r>
      <w:r w:rsidR="00F11709" w:rsidRPr="002A79D0">
        <w:rPr>
          <w:color w:val="auto"/>
          <w:sz w:val="20"/>
          <w:szCs w:val="20"/>
        </w:rPr>
        <w:t xml:space="preserve"> may be an individual retail investor or an institutional investor. Each investor’s needs and objectives are unique and even vary with time, but they also tend to be similar among investors with similar levels of income, similar (broad) risk-return profile and even within an age group</w:t>
      </w:r>
      <w:r w:rsidR="00895315" w:rsidRPr="002A79D0">
        <w:rPr>
          <w:color w:val="auto"/>
          <w:sz w:val="20"/>
          <w:szCs w:val="20"/>
        </w:rPr>
        <w:t>.</w:t>
      </w:r>
      <w:r w:rsidR="00F11709" w:rsidRPr="002A79D0">
        <w:rPr>
          <w:color w:val="auto"/>
          <w:sz w:val="20"/>
          <w:szCs w:val="20"/>
        </w:rPr>
        <w:t xml:space="preserve"> Also, the objectives and demands of the institutional investors are different from those of retail investors.</w:t>
      </w:r>
    </w:p>
    <w:p w:rsidR="00F11709" w:rsidRPr="002A79D0" w:rsidRDefault="00B119AE" w:rsidP="002A79D0">
      <w:pPr>
        <w:pStyle w:val="Heading4"/>
        <w:keepNext w:val="0"/>
        <w:spacing w:before="120" w:after="120"/>
        <w:jc w:val="both"/>
        <w:rPr>
          <w:color w:val="auto"/>
          <w:sz w:val="20"/>
          <w:szCs w:val="20"/>
        </w:rPr>
      </w:pPr>
      <w:r w:rsidRPr="00710006">
        <w:rPr>
          <w:rFonts w:cs="Arial"/>
          <w:i/>
          <w:color w:val="auto"/>
          <w:sz w:val="20"/>
          <w:szCs w:val="20"/>
        </w:rPr>
        <w:t>Fund</w:t>
      </w:r>
      <w:r w:rsidRPr="002A79D0">
        <w:rPr>
          <w:rFonts w:cs="Arial"/>
          <w:color w:val="auto"/>
          <w:sz w:val="20"/>
          <w:szCs w:val="20"/>
        </w:rPr>
        <w:t>:</w:t>
      </w:r>
      <w:r w:rsidRPr="002A79D0">
        <w:rPr>
          <w:color w:val="auto"/>
          <w:sz w:val="20"/>
          <w:szCs w:val="20"/>
        </w:rPr>
        <w:t xml:space="preserve"> An</w:t>
      </w:r>
      <w:r w:rsidR="00F11709" w:rsidRPr="002A79D0">
        <w:rPr>
          <w:color w:val="auto"/>
          <w:sz w:val="20"/>
          <w:szCs w:val="20"/>
        </w:rPr>
        <w:t xml:space="preserve"> investment manager may manage individual portfolios or a Fund, which is nothing but a pool of funds of multiple investors. Mutual Fund, Pension Fund, Hedge Fund are all different kinds of funds with different characteristics, but they are all basically pools of funds of multiple investors, managed by one or more fund managers</w:t>
      </w:r>
      <w:r w:rsidR="00895315" w:rsidRPr="002A79D0">
        <w:rPr>
          <w:color w:val="auto"/>
          <w:sz w:val="20"/>
          <w:szCs w:val="20"/>
        </w:rPr>
        <w:t>.</w:t>
      </w:r>
    </w:p>
    <w:p w:rsidR="00F11709" w:rsidRPr="002A79D0" w:rsidRDefault="00B119AE" w:rsidP="002A79D0">
      <w:pPr>
        <w:pStyle w:val="Heading4"/>
        <w:keepNext w:val="0"/>
        <w:spacing w:before="120" w:after="120"/>
        <w:jc w:val="both"/>
        <w:rPr>
          <w:color w:val="auto"/>
          <w:sz w:val="20"/>
          <w:szCs w:val="20"/>
        </w:rPr>
      </w:pPr>
      <w:r w:rsidRPr="00710006">
        <w:rPr>
          <w:rFonts w:cs="Arial"/>
          <w:i/>
          <w:color w:val="auto"/>
          <w:sz w:val="20"/>
          <w:szCs w:val="20"/>
        </w:rPr>
        <w:t>Account</w:t>
      </w:r>
      <w:r w:rsidRPr="002A79D0">
        <w:rPr>
          <w:rFonts w:cs="Arial"/>
          <w:color w:val="auto"/>
          <w:sz w:val="20"/>
          <w:szCs w:val="20"/>
        </w:rPr>
        <w:t>:</w:t>
      </w:r>
      <w:r w:rsidRPr="002A79D0">
        <w:rPr>
          <w:color w:val="auto"/>
          <w:sz w:val="20"/>
          <w:szCs w:val="20"/>
        </w:rPr>
        <w:t xml:space="preserve"> Account</w:t>
      </w:r>
      <w:r w:rsidR="00F11709" w:rsidRPr="002A79D0">
        <w:rPr>
          <w:color w:val="auto"/>
          <w:sz w:val="20"/>
          <w:szCs w:val="20"/>
        </w:rPr>
        <w:t xml:space="preserve"> is a legal entity representing an investor or customer. An investor may hold several accounts, under different programs or with different investment managers, each managing a part of investor’s wealth. Within each account, there may be several portfolios, representing different set of similar investments tied to a benchmark and investment style for re-balancing and performance measurement purposes. </w:t>
      </w:r>
    </w:p>
    <w:p w:rsidR="00F11709" w:rsidRPr="002A79D0" w:rsidRDefault="00B119AE" w:rsidP="002A79D0">
      <w:pPr>
        <w:pStyle w:val="Heading4"/>
        <w:keepNext w:val="0"/>
        <w:spacing w:before="120" w:after="120"/>
        <w:jc w:val="both"/>
        <w:rPr>
          <w:color w:val="auto"/>
          <w:sz w:val="20"/>
          <w:szCs w:val="20"/>
        </w:rPr>
      </w:pPr>
      <w:r w:rsidRPr="00710006">
        <w:rPr>
          <w:rFonts w:cs="Arial"/>
          <w:i/>
          <w:color w:val="auto"/>
          <w:sz w:val="20"/>
          <w:szCs w:val="20"/>
        </w:rPr>
        <w:t>Portfolio</w:t>
      </w:r>
      <w:r w:rsidRPr="002A79D0">
        <w:rPr>
          <w:rFonts w:cs="Arial"/>
          <w:color w:val="auto"/>
          <w:sz w:val="20"/>
          <w:szCs w:val="20"/>
        </w:rPr>
        <w:t>:</w:t>
      </w:r>
      <w:r w:rsidRPr="002A79D0">
        <w:rPr>
          <w:color w:val="auto"/>
          <w:sz w:val="20"/>
          <w:szCs w:val="20"/>
        </w:rPr>
        <w:t xml:space="preserve"> Portfolio</w:t>
      </w:r>
      <w:r w:rsidR="00F11709" w:rsidRPr="002A79D0">
        <w:rPr>
          <w:color w:val="auto"/>
          <w:sz w:val="20"/>
          <w:szCs w:val="20"/>
        </w:rPr>
        <w:t xml:space="preserve"> refers to a basket of holdings that are related, representing a partial or complete set of an investor’s in investments or assets. The holdings or investments may be in any form and security – from esoteric asset classes like art and real estate to stocks, bonds and mutual funds.  </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Position / Holding / Investment</w:t>
      </w:r>
      <w:r w:rsidR="00B119AE" w:rsidRPr="002A79D0">
        <w:rPr>
          <w:rFonts w:cs="Arial"/>
          <w:color w:val="auto"/>
          <w:sz w:val="20"/>
          <w:szCs w:val="20"/>
        </w:rPr>
        <w:t xml:space="preserve">: </w:t>
      </w:r>
      <w:r w:rsidRPr="002A79D0">
        <w:rPr>
          <w:color w:val="auto"/>
          <w:sz w:val="20"/>
          <w:szCs w:val="20"/>
        </w:rPr>
        <w:t xml:space="preserve">Each distinct item – security or asset - in an investment portfolio is called a Position or Holding or simply an Investment. It may be a Cash Position or a Security Position. A portfolio may contain several cash holdings, in multiple currencies. </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 xml:space="preserve">Tax </w:t>
      </w:r>
      <w:r w:rsidR="00B119AE" w:rsidRPr="00710006">
        <w:rPr>
          <w:rFonts w:cs="Arial"/>
          <w:i/>
          <w:color w:val="auto"/>
          <w:sz w:val="20"/>
          <w:szCs w:val="20"/>
        </w:rPr>
        <w:t>Lots</w:t>
      </w:r>
      <w:r w:rsidR="00B119AE" w:rsidRPr="002A79D0">
        <w:rPr>
          <w:rFonts w:cs="Arial"/>
          <w:color w:val="auto"/>
          <w:sz w:val="20"/>
          <w:szCs w:val="20"/>
        </w:rPr>
        <w:t>:</w:t>
      </w:r>
      <w:r w:rsidR="00B119AE" w:rsidRPr="002A79D0">
        <w:rPr>
          <w:color w:val="auto"/>
          <w:sz w:val="20"/>
          <w:szCs w:val="20"/>
        </w:rPr>
        <w:t xml:space="preserve"> Each</w:t>
      </w:r>
      <w:r w:rsidRPr="002A79D0">
        <w:rPr>
          <w:color w:val="auto"/>
          <w:sz w:val="20"/>
          <w:szCs w:val="20"/>
        </w:rPr>
        <w:t xml:space="preserve"> security position may actually be built by several trades, not necessarily just one. Each trade may have been executed at a different price, thus each lot – holding resulted by an individual trade - has its own profitability associated with it. The accounting and tax implications also make each lot a distinct entity on its own, called Tax Lot. The investor may choose a particular lot while reducing a position, because of its tax implications and certain rules such as </w:t>
      </w:r>
      <w:r w:rsidRPr="002A79D0">
        <w:rPr>
          <w:color w:val="auto"/>
          <w:sz w:val="20"/>
          <w:szCs w:val="20"/>
        </w:rPr>
        <w:lastRenderedPageBreak/>
        <w:t xml:space="preserve">the wash sale rule. Accounting – valuation and calculations of profit/loss – is done on a tax lot basis in the </w:t>
      </w:r>
      <w:smartTag w:uri="urn:schemas-microsoft-com:office:smarttags" w:element="place">
        <w:smartTag w:uri="urn:schemas-microsoft-com:office:smarttags" w:element="country-region">
          <w:r w:rsidRPr="002A79D0">
            <w:rPr>
              <w:color w:val="auto"/>
              <w:sz w:val="20"/>
              <w:szCs w:val="20"/>
            </w:rPr>
            <w:t>US</w:t>
          </w:r>
        </w:smartTag>
      </w:smartTag>
      <w:r w:rsidRPr="002A79D0">
        <w:rPr>
          <w:color w:val="auto"/>
          <w:sz w:val="20"/>
          <w:szCs w:val="20"/>
        </w:rPr>
        <w:t>, and aggregated for the position.</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 xml:space="preserve">Portfolio </w:t>
      </w:r>
      <w:r w:rsidR="00B119AE" w:rsidRPr="00710006">
        <w:rPr>
          <w:rFonts w:cs="Arial"/>
          <w:i/>
          <w:color w:val="auto"/>
          <w:sz w:val="20"/>
          <w:szCs w:val="20"/>
        </w:rPr>
        <w:t>Order</w:t>
      </w:r>
      <w:r w:rsidR="00B119AE" w:rsidRPr="002A79D0">
        <w:rPr>
          <w:rFonts w:cs="Arial"/>
          <w:color w:val="auto"/>
          <w:sz w:val="20"/>
          <w:szCs w:val="20"/>
        </w:rPr>
        <w:t>:</w:t>
      </w:r>
      <w:r w:rsidR="00B119AE" w:rsidRPr="002A79D0">
        <w:rPr>
          <w:color w:val="auto"/>
          <w:sz w:val="20"/>
          <w:szCs w:val="20"/>
        </w:rPr>
        <w:t xml:space="preserve"> An</w:t>
      </w:r>
      <w:r w:rsidRPr="002A79D0">
        <w:rPr>
          <w:color w:val="auto"/>
          <w:sz w:val="20"/>
          <w:szCs w:val="20"/>
        </w:rPr>
        <w:t xml:space="preserve"> order generated when a portfolio is re-balanced to reduce or remove deviations from the desired asset allocation or the reference model portfolio. It indicates the trades that need to be executed – securities bought and sold. Each portfolio order may be for multiple accounts as well as one or multiple securities. Portfolio order is typically broken down into block orders – typically aggregate order for a security - that are sent to the trading desk.</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Trade Order</w:t>
      </w:r>
      <w:r w:rsidR="00B119AE" w:rsidRPr="002A79D0">
        <w:rPr>
          <w:rFonts w:cs="Arial"/>
          <w:color w:val="auto"/>
          <w:sz w:val="20"/>
          <w:szCs w:val="20"/>
        </w:rPr>
        <w:t xml:space="preserve">: </w:t>
      </w:r>
      <w:r w:rsidRPr="002A79D0">
        <w:rPr>
          <w:color w:val="auto"/>
          <w:sz w:val="20"/>
          <w:szCs w:val="20"/>
        </w:rPr>
        <w:t xml:space="preserve">A portfolio order or block order is worked upon by the trading desk to create Trade Orders that are actually sent to one or more brokers (or directly to the market for the security) for execution. </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Trade</w:t>
      </w:r>
      <w:r w:rsidR="00B119AE" w:rsidRPr="002A79D0">
        <w:rPr>
          <w:rFonts w:cs="Arial"/>
          <w:color w:val="auto"/>
          <w:sz w:val="20"/>
          <w:szCs w:val="20"/>
        </w:rPr>
        <w:t xml:space="preserve">: </w:t>
      </w:r>
      <w:r w:rsidRPr="002A79D0">
        <w:rPr>
          <w:color w:val="auto"/>
          <w:sz w:val="20"/>
          <w:szCs w:val="20"/>
        </w:rPr>
        <w:t xml:space="preserve">When a trade order gets executed, it results in a </w:t>
      </w:r>
      <w:r w:rsidR="00E00008" w:rsidRPr="002A79D0">
        <w:rPr>
          <w:color w:val="auto"/>
          <w:sz w:val="20"/>
          <w:szCs w:val="20"/>
        </w:rPr>
        <w:t>Trade, which</w:t>
      </w:r>
      <w:r w:rsidRPr="002A79D0">
        <w:rPr>
          <w:color w:val="auto"/>
          <w:sz w:val="20"/>
          <w:szCs w:val="20"/>
        </w:rPr>
        <w:t xml:space="preserve"> is then cleared and settled. </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Allocation</w:t>
      </w:r>
      <w:r w:rsidR="00B119AE" w:rsidRPr="002A79D0">
        <w:rPr>
          <w:rFonts w:cs="Arial"/>
          <w:color w:val="auto"/>
          <w:sz w:val="20"/>
          <w:szCs w:val="20"/>
        </w:rPr>
        <w:t xml:space="preserve">: </w:t>
      </w:r>
      <w:r w:rsidRPr="002A79D0">
        <w:rPr>
          <w:color w:val="auto"/>
          <w:sz w:val="20"/>
          <w:szCs w:val="20"/>
        </w:rPr>
        <w:t xml:space="preserve">Along with a trade order – or soon afterwards – the manager has to indicate how the securities will be divided – allocated - among the multiple accounts or funds under management, if the order is partially or fully executed. The allocations are typically done based on a simple percentage division or a hierarchy. </w:t>
      </w:r>
    </w:p>
    <w:p w:rsidR="00DC0252" w:rsidRPr="002A79D0" w:rsidRDefault="00B119AE" w:rsidP="002A79D0">
      <w:pPr>
        <w:pStyle w:val="Heading4"/>
        <w:keepNext w:val="0"/>
        <w:spacing w:before="120" w:after="120"/>
        <w:jc w:val="both"/>
        <w:rPr>
          <w:color w:val="auto"/>
          <w:sz w:val="20"/>
          <w:szCs w:val="20"/>
        </w:rPr>
      </w:pPr>
      <w:r w:rsidRPr="00710006">
        <w:rPr>
          <w:rFonts w:cs="Arial"/>
          <w:i/>
          <w:color w:val="auto"/>
          <w:sz w:val="20"/>
          <w:szCs w:val="20"/>
        </w:rPr>
        <w:t>Composite</w:t>
      </w:r>
      <w:r w:rsidRPr="002A79D0">
        <w:rPr>
          <w:rFonts w:cs="Arial"/>
          <w:color w:val="auto"/>
          <w:sz w:val="20"/>
          <w:szCs w:val="20"/>
        </w:rPr>
        <w:t>:</w:t>
      </w:r>
      <w:r w:rsidRPr="002A79D0">
        <w:rPr>
          <w:color w:val="auto"/>
          <w:sz w:val="20"/>
          <w:szCs w:val="20"/>
        </w:rPr>
        <w:t xml:space="preserve"> Composite</w:t>
      </w:r>
      <w:r w:rsidR="00F11709" w:rsidRPr="002A79D0">
        <w:rPr>
          <w:color w:val="auto"/>
          <w:sz w:val="20"/>
          <w:szCs w:val="20"/>
        </w:rPr>
        <w:t xml:space="preserve"> is a bunch of accounts or portfolios or positions grouped together based on some pre-defined rule or characteristics. It may be created based on asset class of investments, or accounts belonging to an advisor, or to one or more programs or styles, or characteristics like currency, credit rating, or geography and so on</w:t>
      </w:r>
      <w:r w:rsidR="00E00008" w:rsidRPr="002A79D0">
        <w:rPr>
          <w:color w:val="auto"/>
          <w:sz w:val="20"/>
          <w:szCs w:val="20"/>
        </w:rPr>
        <w:t>.</w:t>
      </w:r>
      <w:r w:rsidR="00F11709" w:rsidRPr="002A79D0">
        <w:rPr>
          <w:color w:val="auto"/>
          <w:sz w:val="20"/>
          <w:szCs w:val="20"/>
        </w:rPr>
        <w:t xml:space="preserve">. </w:t>
      </w:r>
      <w:r w:rsidR="00DC0252" w:rsidRPr="002A79D0">
        <w:rPr>
          <w:color w:val="auto"/>
          <w:sz w:val="20"/>
          <w:szCs w:val="20"/>
        </w:rPr>
        <w:t xml:space="preserve"> ‘Composite’ is a term coined by CFA Institute as part of the GIPS Standard</w:t>
      </w:r>
    </w:p>
    <w:p w:rsidR="00F11709" w:rsidRPr="002A79D0" w:rsidRDefault="00F11709" w:rsidP="002A79D0">
      <w:pPr>
        <w:pStyle w:val="Heading4"/>
        <w:keepNext w:val="0"/>
        <w:spacing w:before="120" w:after="120"/>
        <w:jc w:val="both"/>
        <w:rPr>
          <w:color w:val="auto"/>
          <w:sz w:val="20"/>
          <w:szCs w:val="20"/>
        </w:rPr>
      </w:pPr>
      <w:r w:rsidRPr="00710006">
        <w:rPr>
          <w:rFonts w:cs="Arial"/>
          <w:i/>
          <w:color w:val="auto"/>
          <w:sz w:val="20"/>
          <w:szCs w:val="20"/>
        </w:rPr>
        <w:t xml:space="preserve">Benchmark / </w:t>
      </w:r>
      <w:r w:rsidR="00B119AE" w:rsidRPr="00710006">
        <w:rPr>
          <w:rFonts w:cs="Arial"/>
          <w:i/>
          <w:color w:val="auto"/>
          <w:sz w:val="20"/>
          <w:szCs w:val="20"/>
        </w:rPr>
        <w:t>Index</w:t>
      </w:r>
      <w:r w:rsidR="00B119AE" w:rsidRPr="002A79D0">
        <w:rPr>
          <w:rFonts w:cs="Arial"/>
          <w:color w:val="auto"/>
          <w:sz w:val="20"/>
          <w:szCs w:val="20"/>
        </w:rPr>
        <w:t>:</w:t>
      </w:r>
      <w:r w:rsidR="00B119AE" w:rsidRPr="002A79D0">
        <w:rPr>
          <w:color w:val="auto"/>
          <w:sz w:val="20"/>
          <w:szCs w:val="20"/>
        </w:rPr>
        <w:t xml:space="preserve"> Benchmark</w:t>
      </w:r>
      <w:r w:rsidRPr="002A79D0">
        <w:rPr>
          <w:color w:val="auto"/>
          <w:sz w:val="20"/>
          <w:szCs w:val="20"/>
        </w:rPr>
        <w:t xml:space="preserve">, as the name suggests, is the reference entity with which performance of a portfolio or a composite or a fund is compared. Naturally, the underlying portfolio of the chosen benchmark should be close to or similar in objectives and risk-return profile to the portfolio to which it is attached.  </w:t>
      </w:r>
    </w:p>
    <w:p w:rsidR="00F11709" w:rsidRPr="002A79D0" w:rsidRDefault="00B119AE" w:rsidP="002A79D0">
      <w:pPr>
        <w:pStyle w:val="Heading4"/>
        <w:keepNext w:val="0"/>
        <w:spacing w:before="120" w:after="120"/>
        <w:jc w:val="both"/>
        <w:rPr>
          <w:color w:val="auto"/>
          <w:sz w:val="20"/>
          <w:szCs w:val="20"/>
        </w:rPr>
      </w:pPr>
      <w:r w:rsidRPr="00710006">
        <w:rPr>
          <w:rFonts w:cs="Arial"/>
          <w:i/>
          <w:color w:val="auto"/>
          <w:sz w:val="20"/>
          <w:szCs w:val="20"/>
        </w:rPr>
        <w:t>Fee</w:t>
      </w:r>
      <w:r w:rsidRPr="002A79D0">
        <w:rPr>
          <w:rFonts w:cs="Arial"/>
          <w:color w:val="auto"/>
          <w:sz w:val="20"/>
          <w:szCs w:val="20"/>
        </w:rPr>
        <w:t>:</w:t>
      </w:r>
      <w:r w:rsidRPr="002A79D0">
        <w:rPr>
          <w:color w:val="auto"/>
          <w:sz w:val="20"/>
          <w:szCs w:val="20"/>
        </w:rPr>
        <w:t xml:space="preserve"> Sponsors</w:t>
      </w:r>
      <w:r w:rsidR="00F11709" w:rsidRPr="002A79D0">
        <w:rPr>
          <w:color w:val="auto"/>
          <w:sz w:val="20"/>
          <w:szCs w:val="20"/>
        </w:rPr>
        <w:t xml:space="preserve"> typically receive a fixed fee from the investor (although some programs allow for variable fee components). The sponsors in turn could utilize other firms for investment management, custody, record keeping and reporting functions and may pay a portion of the fees/commissions to these firms. Advisors and investment managers also may charge their fees separately. There are several types of fees charged by sponsors / advisors / managers, such as account management fee, transaction fee, sales charges, performance-based fee, and so on, or they may all be bundled – as in the case of separately managed accounts (wrap accounts) – into a single composite or wrap fee.</w:t>
      </w:r>
    </w:p>
    <w:p w:rsidR="00B33A4A" w:rsidRDefault="00B33A4A">
      <w:pPr>
        <w:rPr>
          <w:rFonts w:ascii="Arial" w:hAnsi="Arial" w:cs="Arial"/>
          <w:b/>
          <w:bCs/>
          <w:iCs/>
          <w:color w:val="333333"/>
          <w:sz w:val="28"/>
          <w:szCs w:val="28"/>
        </w:rPr>
      </w:pPr>
      <w:bookmarkStart w:id="32" w:name="_Toc202158927"/>
      <w:bookmarkStart w:id="33" w:name="_Toc202158928"/>
      <w:bookmarkStart w:id="34" w:name="_Toc133730611"/>
      <w:bookmarkStart w:id="35" w:name="_Toc134366465"/>
      <w:bookmarkEnd w:id="32"/>
      <w:bookmarkEnd w:id="33"/>
      <w:r>
        <w:br w:type="page"/>
      </w:r>
    </w:p>
    <w:p w:rsidR="00F11709" w:rsidRPr="009413F6" w:rsidRDefault="00F11709" w:rsidP="003E3FB6">
      <w:pPr>
        <w:pStyle w:val="Heading2"/>
        <w:keepNext w:val="0"/>
        <w:spacing w:before="120" w:after="120" w:line="240" w:lineRule="atLeast"/>
        <w:ind w:left="0" w:firstLine="0"/>
        <w:jc w:val="both"/>
      </w:pPr>
      <w:bookmarkStart w:id="36" w:name="_Toc226530518"/>
      <w:r w:rsidRPr="009413F6">
        <w:lastRenderedPageBreak/>
        <w:t>High-Level Processes</w:t>
      </w:r>
      <w:bookmarkEnd w:id="34"/>
      <w:bookmarkEnd w:id="35"/>
      <w:bookmarkEnd w:id="36"/>
    </w:p>
    <w:p w:rsidR="00F11709" w:rsidRPr="009413F6" w:rsidRDefault="00F11709" w:rsidP="002A79D0">
      <w:pPr>
        <w:spacing w:before="120" w:after="120"/>
        <w:jc w:val="both"/>
        <w:rPr>
          <w:rFonts w:ascii="Arial" w:hAnsi="Arial" w:cs="Arial"/>
          <w:sz w:val="20"/>
          <w:szCs w:val="20"/>
        </w:rPr>
      </w:pPr>
      <w:r w:rsidRPr="009413F6">
        <w:rPr>
          <w:rFonts w:ascii="Arial" w:hAnsi="Arial" w:cs="Arial"/>
          <w:sz w:val="20"/>
          <w:szCs w:val="20"/>
        </w:rPr>
        <w:t xml:space="preserve">The end-to-end </w:t>
      </w:r>
      <w:r w:rsidR="002066AD" w:rsidRPr="009413F6">
        <w:rPr>
          <w:rFonts w:ascii="Arial" w:hAnsi="Arial" w:cs="Arial"/>
          <w:sz w:val="20"/>
          <w:szCs w:val="20"/>
        </w:rPr>
        <w:t xml:space="preserve">Investment Management </w:t>
      </w:r>
      <w:r w:rsidRPr="009413F6">
        <w:rPr>
          <w:rFonts w:ascii="Arial" w:hAnsi="Arial" w:cs="Arial"/>
          <w:sz w:val="20"/>
          <w:szCs w:val="20"/>
        </w:rPr>
        <w:t>process starts from acquisition of a client and opening a customer account, and ends with portfolio accounting, updating of shareholder account balances, and performance reporting.</w:t>
      </w:r>
    </w:p>
    <w:p w:rsidR="00F11709" w:rsidRPr="009413F6" w:rsidRDefault="00F11709" w:rsidP="002A79D0">
      <w:pPr>
        <w:spacing w:before="120" w:after="120"/>
        <w:jc w:val="both"/>
        <w:rPr>
          <w:rFonts w:ascii="Arial" w:hAnsi="Arial" w:cs="Arial"/>
          <w:sz w:val="20"/>
          <w:szCs w:val="20"/>
        </w:rPr>
      </w:pPr>
      <w:r w:rsidRPr="009413F6">
        <w:rPr>
          <w:rFonts w:ascii="Arial" w:hAnsi="Arial" w:cs="Arial"/>
          <w:sz w:val="20"/>
          <w:szCs w:val="20"/>
        </w:rPr>
        <w:t xml:space="preserve">Following is a high-level chart showing </w:t>
      </w:r>
      <w:r w:rsidR="002066AD">
        <w:rPr>
          <w:rFonts w:ascii="Arial" w:hAnsi="Arial" w:cs="Arial"/>
          <w:sz w:val="20"/>
          <w:szCs w:val="20"/>
        </w:rPr>
        <w:t xml:space="preserve">the </w:t>
      </w:r>
      <w:r w:rsidRPr="009413F6">
        <w:rPr>
          <w:rFonts w:ascii="Arial" w:hAnsi="Arial" w:cs="Arial"/>
          <w:sz w:val="20"/>
          <w:szCs w:val="20"/>
        </w:rPr>
        <w:t>typical Investment Management processes:</w:t>
      </w:r>
    </w:p>
    <w:p w:rsidR="002176C2" w:rsidRDefault="002176C2" w:rsidP="002723CA">
      <w:pPr>
        <w:pStyle w:val="Caption"/>
        <w:jc w:val="center"/>
      </w:pPr>
    </w:p>
    <w:p w:rsidR="002176C2" w:rsidRDefault="002176C2" w:rsidP="002723CA">
      <w:pPr>
        <w:pStyle w:val="Caption"/>
        <w:jc w:val="center"/>
      </w:pPr>
    </w:p>
    <w:p w:rsidR="002176C2" w:rsidRDefault="00FC0435" w:rsidP="002723CA">
      <w:pPr>
        <w:pStyle w:val="Caption"/>
        <w:jc w:val="center"/>
      </w:pPr>
      <w:r w:rsidRPr="00FC0435">
        <w:rPr>
          <w:rFonts w:ascii="Arial" w:hAnsi="Arial" w:cs="Arial"/>
          <w:noProof/>
        </w:rPr>
        <w:pict>
          <v:shape id="Object 2" o:spid="_x0000_s1250" type="#_x0000_t75" style="position:absolute;left:0;text-align:left;margin-left:-9pt;margin-top:-4.9pt;width:423pt;height:252pt;z-index:251652608;visibility:visible">
            <v:imagedata r:id="rId37" o:title=""/>
          </v:shape>
          <o:OLEObject Type="Embed" ProgID="Visio.Drawing.11" ShapeID="Object 2" DrawAspect="Content" ObjectID="_1324125804" r:id="rId38"/>
        </w:pict>
      </w: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2176C2" w:rsidRDefault="002176C2" w:rsidP="002723CA">
      <w:pPr>
        <w:pStyle w:val="Caption"/>
        <w:jc w:val="center"/>
      </w:pPr>
    </w:p>
    <w:p w:rsidR="008401A7" w:rsidRDefault="008401A7" w:rsidP="002723CA">
      <w:pPr>
        <w:pStyle w:val="Caption"/>
        <w:jc w:val="center"/>
      </w:pPr>
    </w:p>
    <w:p w:rsidR="008401A7" w:rsidRDefault="008401A7" w:rsidP="002723CA">
      <w:pPr>
        <w:pStyle w:val="Caption"/>
        <w:jc w:val="center"/>
      </w:pPr>
    </w:p>
    <w:p w:rsidR="008401A7" w:rsidRDefault="008401A7" w:rsidP="002723CA">
      <w:pPr>
        <w:pStyle w:val="Caption"/>
        <w:jc w:val="center"/>
      </w:pPr>
    </w:p>
    <w:p w:rsidR="00F11709" w:rsidRPr="0062725D" w:rsidRDefault="00F11709" w:rsidP="002723CA">
      <w:pPr>
        <w:pStyle w:val="Caption"/>
        <w:jc w:val="center"/>
      </w:pPr>
      <w:bookmarkStart w:id="37" w:name="_Toc207007211"/>
      <w:r w:rsidRPr="0062725D">
        <w:t xml:space="preserve">Figure </w:t>
      </w:r>
      <w:r w:rsidR="00FC0435">
        <w:fldChar w:fldCharType="begin"/>
      </w:r>
      <w:r w:rsidR="00E732DA">
        <w:instrText xml:space="preserve"> STYLEREF 1 \s </w:instrText>
      </w:r>
      <w:r w:rsidR="00FC0435">
        <w:fldChar w:fldCharType="separate"/>
      </w:r>
      <w:r w:rsidR="0060131C">
        <w:rPr>
          <w:noProof/>
        </w:rPr>
        <w:t>3</w:t>
      </w:r>
      <w:r w:rsidR="00FC0435">
        <w:fldChar w:fldCharType="end"/>
      </w:r>
      <w:r w:rsidR="00E94D45">
        <w:noBreakHyphen/>
      </w:r>
      <w:r w:rsidR="00FC0435">
        <w:fldChar w:fldCharType="begin"/>
      </w:r>
      <w:r w:rsidR="00E732DA">
        <w:instrText xml:space="preserve"> SEQ Figure \* ARABIC \s 1 </w:instrText>
      </w:r>
      <w:r w:rsidR="00FC0435">
        <w:fldChar w:fldCharType="separate"/>
      </w:r>
      <w:r w:rsidR="0060131C">
        <w:rPr>
          <w:noProof/>
        </w:rPr>
        <w:t>2</w:t>
      </w:r>
      <w:r w:rsidR="00FC0435">
        <w:fldChar w:fldCharType="end"/>
      </w:r>
      <w:r w:rsidRPr="0062725D">
        <w:t>: High-Level Process Chart for Investment Management</w:t>
      </w:r>
      <w:bookmarkEnd w:id="37"/>
    </w:p>
    <w:p w:rsidR="00B33A4A" w:rsidRDefault="00B33A4A" w:rsidP="00B33A4A">
      <w:pPr>
        <w:pStyle w:val="body"/>
        <w:spacing w:line="240" w:lineRule="auto"/>
        <w:jc w:val="both"/>
        <w:rPr>
          <w:rFonts w:ascii="Arial" w:hAnsi="Arial" w:cs="Arial"/>
          <w:sz w:val="20"/>
          <w:szCs w:val="20"/>
        </w:rPr>
      </w:pPr>
    </w:p>
    <w:p w:rsidR="00C332BB" w:rsidRPr="009413F6" w:rsidRDefault="00C94E1D" w:rsidP="00C332BB">
      <w:pPr>
        <w:pStyle w:val="Heading3"/>
        <w:keepNext w:val="0"/>
        <w:tabs>
          <w:tab w:val="clear" w:pos="6444"/>
          <w:tab w:val="num" w:pos="540"/>
        </w:tabs>
        <w:spacing w:before="120" w:after="120" w:line="240" w:lineRule="atLeast"/>
        <w:ind w:left="0" w:firstLine="0"/>
        <w:jc w:val="both"/>
      </w:pPr>
      <w:r>
        <w:t>Client Acquisition</w:t>
      </w:r>
    </w:p>
    <w:p w:rsidR="00C332BB" w:rsidRPr="00B84102" w:rsidRDefault="00C332BB" w:rsidP="00C332BB">
      <w:pPr>
        <w:pStyle w:val="body"/>
        <w:spacing w:before="120" w:after="120" w:line="240" w:lineRule="auto"/>
        <w:jc w:val="both"/>
        <w:rPr>
          <w:rFonts w:ascii="Arial" w:hAnsi="Arial" w:cs="Arial"/>
          <w:sz w:val="20"/>
          <w:szCs w:val="20"/>
        </w:rPr>
      </w:pPr>
      <w:r>
        <w:rPr>
          <w:rFonts w:ascii="Arial" w:hAnsi="Arial" w:cs="Arial"/>
          <w:sz w:val="20"/>
          <w:szCs w:val="20"/>
        </w:rPr>
        <w:t>Sales and marketing is a key activity</w:t>
      </w:r>
      <w:r w:rsidRPr="00B84102">
        <w:rPr>
          <w:rFonts w:ascii="Arial" w:hAnsi="Arial" w:cs="Arial"/>
          <w:sz w:val="20"/>
          <w:szCs w:val="20"/>
        </w:rPr>
        <w:t xml:space="preserve"> </w:t>
      </w:r>
      <w:r>
        <w:rPr>
          <w:rFonts w:ascii="Arial" w:hAnsi="Arial" w:cs="Arial"/>
          <w:sz w:val="20"/>
          <w:szCs w:val="20"/>
        </w:rPr>
        <w:t xml:space="preserve">that takes place leading to acquisition of new clients (depicted as “client acquisition / account opening in the diagram) and attracting additional investments by existing clients. </w:t>
      </w:r>
    </w:p>
    <w:p w:rsidR="00C332BB"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 xml:space="preserve">The Sales and marketing team of any </w:t>
      </w:r>
      <w:r>
        <w:rPr>
          <w:rFonts w:ascii="Arial" w:hAnsi="Arial" w:cs="Arial"/>
          <w:sz w:val="20"/>
          <w:szCs w:val="20"/>
        </w:rPr>
        <w:t>Asset</w:t>
      </w:r>
      <w:r w:rsidRPr="00B84102">
        <w:rPr>
          <w:rFonts w:ascii="Arial" w:hAnsi="Arial" w:cs="Arial"/>
          <w:sz w:val="20"/>
          <w:szCs w:val="20"/>
        </w:rPr>
        <w:t xml:space="preserve"> Management company interfaces with the </w:t>
      </w:r>
      <w:r w:rsidRPr="00B84102">
        <w:rPr>
          <w:rFonts w:ascii="Arial" w:hAnsi="Arial" w:cs="Arial"/>
          <w:bCs/>
          <w:sz w:val="20"/>
          <w:szCs w:val="20"/>
        </w:rPr>
        <w:t xml:space="preserve">clients </w:t>
      </w:r>
      <w:r w:rsidRPr="00B84102">
        <w:rPr>
          <w:rFonts w:ascii="Arial" w:hAnsi="Arial" w:cs="Arial"/>
          <w:sz w:val="20"/>
          <w:szCs w:val="20"/>
        </w:rPr>
        <w:t>and ensures widening to new relationships and deepening of the existing ones. This division in turn draws heavily on the other functions of research, portfolio management and other areas in order to sell the Investment management company’s services to the clients.</w:t>
      </w:r>
      <w:r w:rsidRPr="00F84B48">
        <w:rPr>
          <w:rFonts w:ascii="Arial" w:hAnsi="Arial" w:cs="Arial"/>
          <w:sz w:val="20"/>
          <w:szCs w:val="20"/>
        </w:rPr>
        <w:t xml:space="preserve"> </w:t>
      </w:r>
      <w:r>
        <w:rPr>
          <w:rFonts w:ascii="Arial" w:hAnsi="Arial" w:cs="Arial"/>
          <w:sz w:val="20"/>
          <w:szCs w:val="20"/>
        </w:rPr>
        <w:t>Different asset and wealth management firms use a number of different “channels” to reach their target customers (retail and institutional) and to manage the client relationships. The typical channels are financial advisors (own employee or a third party that acts as a distributor / agent), relationship managers, bank branches, websites (owned or shared online “markets”), ATMs, etc.</w:t>
      </w:r>
    </w:p>
    <w:p w:rsidR="000C5CE9" w:rsidRPr="00B84102" w:rsidRDefault="000C5CE9" w:rsidP="00C332BB">
      <w:pPr>
        <w:pStyle w:val="body"/>
        <w:spacing w:before="120" w:after="120" w:line="240" w:lineRule="auto"/>
        <w:jc w:val="both"/>
        <w:rPr>
          <w:rFonts w:ascii="Arial" w:hAnsi="Arial" w:cs="Arial"/>
          <w:sz w:val="20"/>
          <w:szCs w:val="20"/>
        </w:rPr>
      </w:pPr>
      <w:r>
        <w:rPr>
          <w:rFonts w:ascii="Arial" w:hAnsi="Arial" w:cs="Arial"/>
          <w:sz w:val="20"/>
          <w:szCs w:val="20"/>
        </w:rPr>
        <w:t xml:space="preserve">The account opening activity involves creation of accounts in the core systems /front office systems by the relationship manager in consultation with the operations team. Accounts can be of </w:t>
      </w:r>
      <w:r>
        <w:rPr>
          <w:rFonts w:ascii="Arial" w:hAnsi="Arial" w:cs="Arial"/>
          <w:sz w:val="20"/>
          <w:szCs w:val="20"/>
        </w:rPr>
        <w:lastRenderedPageBreak/>
        <w:t xml:space="preserve">various categories such as non checking accounts in different </w:t>
      </w:r>
      <w:proofErr w:type="gramStart"/>
      <w:r>
        <w:rPr>
          <w:rFonts w:ascii="Arial" w:hAnsi="Arial" w:cs="Arial"/>
          <w:sz w:val="20"/>
          <w:szCs w:val="20"/>
        </w:rPr>
        <w:t>currencies ,</w:t>
      </w:r>
      <w:proofErr w:type="gramEnd"/>
      <w:r>
        <w:rPr>
          <w:rFonts w:ascii="Arial" w:hAnsi="Arial" w:cs="Arial"/>
          <w:sz w:val="20"/>
          <w:szCs w:val="20"/>
        </w:rPr>
        <w:t xml:space="preserve"> trading accounts , security accounts etc based on specific requests &amp; investment goals as proposed  by the client .</w:t>
      </w:r>
    </w:p>
    <w:p w:rsidR="00C332BB" w:rsidRPr="009413F6" w:rsidRDefault="00C332BB" w:rsidP="00C332BB">
      <w:pPr>
        <w:pStyle w:val="body"/>
        <w:spacing w:before="120" w:after="120" w:line="240" w:lineRule="auto"/>
        <w:jc w:val="both"/>
        <w:rPr>
          <w:rFonts w:ascii="Arial" w:hAnsi="Arial" w:cs="Arial"/>
          <w:szCs w:val="22"/>
        </w:rPr>
      </w:pPr>
      <w:r>
        <w:rPr>
          <w:rFonts w:ascii="Arial" w:hAnsi="Arial" w:cs="Arial"/>
          <w:sz w:val="20"/>
          <w:szCs w:val="20"/>
        </w:rPr>
        <w:t xml:space="preserve">For a third party distributor of investment products, </w:t>
      </w:r>
      <w:r w:rsidRPr="00B84102">
        <w:rPr>
          <w:rFonts w:ascii="Arial" w:hAnsi="Arial" w:cs="Arial"/>
          <w:sz w:val="20"/>
          <w:szCs w:val="20"/>
        </w:rPr>
        <w:t xml:space="preserve">the </w:t>
      </w:r>
      <w:r>
        <w:rPr>
          <w:rFonts w:ascii="Arial" w:hAnsi="Arial" w:cs="Arial"/>
          <w:sz w:val="20"/>
          <w:szCs w:val="20"/>
        </w:rPr>
        <w:t>s</w:t>
      </w:r>
      <w:r w:rsidRPr="00B84102">
        <w:rPr>
          <w:rFonts w:ascii="Arial" w:hAnsi="Arial" w:cs="Arial"/>
          <w:sz w:val="20"/>
          <w:szCs w:val="20"/>
        </w:rPr>
        <w:t xml:space="preserve">ales and </w:t>
      </w:r>
      <w:r>
        <w:rPr>
          <w:rFonts w:ascii="Arial" w:hAnsi="Arial" w:cs="Arial"/>
          <w:sz w:val="20"/>
          <w:szCs w:val="20"/>
        </w:rPr>
        <w:t>m</w:t>
      </w:r>
      <w:r w:rsidRPr="00B84102">
        <w:rPr>
          <w:rFonts w:ascii="Arial" w:hAnsi="Arial" w:cs="Arial"/>
          <w:sz w:val="20"/>
          <w:szCs w:val="20"/>
        </w:rPr>
        <w:t xml:space="preserve">arketing team </w:t>
      </w:r>
      <w:r>
        <w:rPr>
          <w:rFonts w:ascii="Arial" w:hAnsi="Arial" w:cs="Arial"/>
          <w:sz w:val="20"/>
          <w:szCs w:val="20"/>
        </w:rPr>
        <w:t xml:space="preserve">also needs </w:t>
      </w:r>
      <w:r w:rsidRPr="00B84102">
        <w:rPr>
          <w:rFonts w:ascii="Arial" w:hAnsi="Arial" w:cs="Arial"/>
          <w:sz w:val="20"/>
          <w:szCs w:val="20"/>
        </w:rPr>
        <w:t xml:space="preserve">to be in touch with the </w:t>
      </w:r>
      <w:r w:rsidRPr="00B84102">
        <w:rPr>
          <w:rFonts w:ascii="Arial" w:hAnsi="Arial" w:cs="Arial"/>
          <w:bCs/>
          <w:sz w:val="20"/>
          <w:szCs w:val="20"/>
        </w:rPr>
        <w:t>issuers</w:t>
      </w:r>
      <w:r w:rsidRPr="00B84102">
        <w:rPr>
          <w:rFonts w:ascii="Arial" w:hAnsi="Arial" w:cs="Arial"/>
          <w:sz w:val="20"/>
          <w:szCs w:val="20"/>
        </w:rPr>
        <w:t xml:space="preserve"> </w:t>
      </w:r>
      <w:r>
        <w:rPr>
          <w:rFonts w:ascii="Arial" w:hAnsi="Arial" w:cs="Arial"/>
          <w:sz w:val="20"/>
          <w:szCs w:val="20"/>
        </w:rPr>
        <w:t xml:space="preserve">(those who actually manage the investment products) </w:t>
      </w:r>
      <w:r w:rsidRPr="00B84102">
        <w:rPr>
          <w:rFonts w:ascii="Arial" w:hAnsi="Arial" w:cs="Arial"/>
          <w:sz w:val="20"/>
          <w:szCs w:val="20"/>
        </w:rPr>
        <w:t xml:space="preserve">in order to get lucrative deals </w:t>
      </w:r>
      <w:r>
        <w:rPr>
          <w:rFonts w:ascii="Arial" w:hAnsi="Arial" w:cs="Arial"/>
          <w:sz w:val="20"/>
          <w:szCs w:val="20"/>
        </w:rPr>
        <w:t xml:space="preserve">(higher commissions or discounted prices) </w:t>
      </w:r>
      <w:r w:rsidRPr="00B84102">
        <w:rPr>
          <w:rFonts w:ascii="Arial" w:hAnsi="Arial" w:cs="Arial"/>
          <w:sz w:val="20"/>
          <w:szCs w:val="20"/>
        </w:rPr>
        <w:t xml:space="preserve">that enable the company to generate better </w:t>
      </w:r>
      <w:r>
        <w:rPr>
          <w:rFonts w:ascii="Arial" w:hAnsi="Arial" w:cs="Arial"/>
          <w:sz w:val="20"/>
          <w:szCs w:val="20"/>
        </w:rPr>
        <w:t xml:space="preserve">revenues and/or higher </w:t>
      </w:r>
      <w:r w:rsidRPr="00B84102">
        <w:rPr>
          <w:rFonts w:ascii="Arial" w:hAnsi="Arial" w:cs="Arial"/>
          <w:sz w:val="20"/>
          <w:szCs w:val="20"/>
        </w:rPr>
        <w:t>returns for its clients’ portfolio.</w:t>
      </w:r>
    </w:p>
    <w:p w:rsidR="00C332BB" w:rsidRPr="009413F6" w:rsidRDefault="00C332BB" w:rsidP="00C332BB">
      <w:pPr>
        <w:pStyle w:val="Heading3"/>
        <w:keepNext w:val="0"/>
        <w:tabs>
          <w:tab w:val="clear" w:pos="6444"/>
          <w:tab w:val="num" w:pos="540"/>
        </w:tabs>
        <w:spacing w:before="120" w:after="120" w:line="240" w:lineRule="atLeast"/>
        <w:ind w:left="0" w:firstLine="0"/>
        <w:jc w:val="both"/>
      </w:pPr>
      <w:r w:rsidRPr="009413F6">
        <w:t>Research</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 xml:space="preserve">The reason why investors entrust their money with professional </w:t>
      </w:r>
      <w:r>
        <w:rPr>
          <w:rFonts w:ascii="Arial" w:hAnsi="Arial" w:cs="Arial"/>
          <w:sz w:val="20"/>
          <w:szCs w:val="20"/>
        </w:rPr>
        <w:t>Asset</w:t>
      </w:r>
      <w:r w:rsidRPr="00B84102">
        <w:rPr>
          <w:rFonts w:ascii="Arial" w:hAnsi="Arial" w:cs="Arial"/>
          <w:sz w:val="20"/>
          <w:szCs w:val="20"/>
        </w:rPr>
        <w:t xml:space="preserve"> Management firms is for their superior information access and the capability to interpret that information in a meaningful way.</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 xml:space="preserve">Investment houses have dedicated research teams, which take immense pride in data mining and coming out with their views on all sorts of investment opportunities available in the market. These research reports draw on a rich source of data, advice and statistical tools that are not readily available to small individual and institutional investors. </w:t>
      </w:r>
    </w:p>
    <w:p w:rsidR="00C332BB" w:rsidRDefault="00C332BB" w:rsidP="00C332BB">
      <w:pPr>
        <w:pStyle w:val="Heading3"/>
        <w:keepNext w:val="0"/>
        <w:tabs>
          <w:tab w:val="clear" w:pos="6444"/>
          <w:tab w:val="num" w:pos="540"/>
        </w:tabs>
        <w:spacing w:before="120" w:after="120" w:line="240" w:lineRule="atLeast"/>
        <w:ind w:left="0" w:firstLine="0"/>
        <w:jc w:val="both"/>
      </w:pPr>
      <w:r>
        <w:t>Financial Planning</w:t>
      </w:r>
    </w:p>
    <w:p w:rsidR="00C332BB" w:rsidRDefault="00C332BB" w:rsidP="00C332BB">
      <w:pPr>
        <w:pStyle w:val="body"/>
        <w:spacing w:before="120" w:after="120" w:line="240" w:lineRule="auto"/>
        <w:jc w:val="both"/>
        <w:rPr>
          <w:rFonts w:ascii="Arial" w:hAnsi="Arial" w:cs="Arial"/>
          <w:sz w:val="20"/>
          <w:szCs w:val="20"/>
        </w:rPr>
      </w:pPr>
      <w:r w:rsidRPr="00620912">
        <w:rPr>
          <w:rFonts w:ascii="Arial" w:hAnsi="Arial" w:cs="Arial"/>
          <w:sz w:val="20"/>
          <w:szCs w:val="20"/>
        </w:rPr>
        <w:t>Detailed financial planning is the basic foundation for formulating a prudent investment strategy. The financial-planning services respond to client’s financial goals, including planning for retirement, saving for education, managing stock options, and considering the specific planning concerns of domestic partnerships or families with special needs. A Financial Advisor understands client’s financial goals and develops an up-to-date plan and the appropriate strategies to help him achieve his financial goals.</w:t>
      </w:r>
    </w:p>
    <w:p w:rsidR="00C332BB" w:rsidRDefault="00C332BB" w:rsidP="00C332BB">
      <w:pPr>
        <w:pStyle w:val="Cog-body"/>
        <w:spacing w:before="120" w:line="360" w:lineRule="auto"/>
        <w:ind w:left="0" w:right="29"/>
      </w:pPr>
      <w:r>
        <w:t>The following areas fall under the gamut of financial planning:</w:t>
      </w:r>
    </w:p>
    <w:p w:rsidR="00C332BB" w:rsidRDefault="00C332BB" w:rsidP="00C332BB">
      <w:pPr>
        <w:pStyle w:val="Cog-body"/>
        <w:numPr>
          <w:ilvl w:val="0"/>
          <w:numId w:val="148"/>
        </w:numPr>
        <w:spacing w:before="40" w:after="40" w:line="360" w:lineRule="auto"/>
        <w:ind w:right="29"/>
        <w:jc w:val="left"/>
      </w:pPr>
      <w:r>
        <w:t>Asset allocation : Asset allocation is a risk management strategy that helps reduce the effects of market fluctuations by balancing the different characteristics of investment instruments in relation to ones financial goals and tolerance for investment risk</w:t>
      </w:r>
    </w:p>
    <w:p w:rsidR="00C332BB" w:rsidRDefault="00C332BB" w:rsidP="00C332BB">
      <w:pPr>
        <w:pStyle w:val="Cog-body"/>
        <w:numPr>
          <w:ilvl w:val="0"/>
          <w:numId w:val="148"/>
        </w:numPr>
        <w:spacing w:before="40" w:after="40" w:line="360" w:lineRule="auto"/>
        <w:ind w:right="29"/>
        <w:jc w:val="left"/>
      </w:pPr>
      <w:r>
        <w:t>Assessing goals: An assessment of the client financial goals and risk appetite along with the consideration for the present and future cash flows. This assessment highlights financial issues to consider, while prioritizing the client’s needs, understand key planning considerations, and develop the solutions and strategies to achieve his financial goals</w:t>
      </w:r>
    </w:p>
    <w:p w:rsidR="00C332BB" w:rsidRDefault="00C332BB" w:rsidP="00C332BB">
      <w:pPr>
        <w:pStyle w:val="Cog-body"/>
        <w:numPr>
          <w:ilvl w:val="0"/>
          <w:numId w:val="148"/>
        </w:numPr>
        <w:spacing w:before="40" w:after="40" w:line="360" w:lineRule="auto"/>
        <w:ind w:right="29"/>
        <w:jc w:val="left"/>
      </w:pPr>
      <w:r>
        <w:t>Education Funding: Meeting the educational expense of the children can be one of the most important things a person has to plan for. The planning includes the saving and investments one might have to make at various hypothetical rates of return between now and the time one’s children begin their education. Also would there be a shortfall between the college savings and actual expenses.</w:t>
      </w:r>
    </w:p>
    <w:p w:rsidR="00C332BB" w:rsidRDefault="00C332BB" w:rsidP="00C332BB">
      <w:pPr>
        <w:pStyle w:val="Cog-body"/>
        <w:numPr>
          <w:ilvl w:val="0"/>
          <w:numId w:val="148"/>
        </w:numPr>
        <w:spacing w:before="40" w:after="40" w:line="360" w:lineRule="auto"/>
        <w:ind w:right="29"/>
        <w:jc w:val="left"/>
      </w:pPr>
      <w:r>
        <w:t>Tax Planning:  Minimizing Capital Gains, Tax deferral plans, tax efficient inheritance structures, Knowledge of International Taxation and applying the same.</w:t>
      </w:r>
    </w:p>
    <w:p w:rsidR="00C332BB" w:rsidRDefault="00C332BB" w:rsidP="00C332BB">
      <w:pPr>
        <w:pStyle w:val="Cog-body"/>
        <w:numPr>
          <w:ilvl w:val="0"/>
          <w:numId w:val="148"/>
        </w:numPr>
        <w:spacing w:before="40" w:after="40" w:line="360" w:lineRule="auto"/>
        <w:ind w:right="29"/>
        <w:jc w:val="left"/>
      </w:pPr>
      <w:r>
        <w:lastRenderedPageBreak/>
        <w:t>Retirement Planning: The goal of retirement planning is to accumulate sufficient funds to lead the desired retirement lifestyle. One has to plan/ compute how much one needs to save annually or in a lump sum to achieve the desired retirement lifestyle. While planning one has to define the retirement goals, identify opportunities to fund one’s retirement account and analyze research that can help you make appropriate investment decisions</w:t>
      </w:r>
    </w:p>
    <w:p w:rsidR="00C332BB" w:rsidRDefault="00C332BB" w:rsidP="00C332BB">
      <w:pPr>
        <w:pStyle w:val="Cog-body"/>
        <w:numPr>
          <w:ilvl w:val="0"/>
          <w:numId w:val="148"/>
        </w:numPr>
        <w:spacing w:before="40" w:after="40" w:line="360" w:lineRule="auto"/>
        <w:ind w:right="29"/>
        <w:jc w:val="left"/>
      </w:pPr>
      <w:r>
        <w:t>Estate Planning: An estate plan is one of the best ways to help assure that, after the client’s death, his assets will be handled as he had intended. The estate planning process typically involves working with your financial, tax and legal advisors.</w:t>
      </w:r>
    </w:p>
    <w:p w:rsidR="00C332BB" w:rsidRDefault="00C332BB" w:rsidP="00C332BB">
      <w:pPr>
        <w:pStyle w:val="Heading3"/>
        <w:keepNext w:val="0"/>
        <w:tabs>
          <w:tab w:val="clear" w:pos="6444"/>
          <w:tab w:val="num" w:pos="540"/>
        </w:tabs>
        <w:spacing w:before="120" w:after="120" w:line="240" w:lineRule="atLeast"/>
        <w:ind w:left="0" w:firstLine="0"/>
        <w:jc w:val="both"/>
      </w:pPr>
      <w:r>
        <w:t>Portfolio Construction</w:t>
      </w:r>
    </w:p>
    <w:p w:rsidR="006E7C6D" w:rsidRPr="006E7C6D" w:rsidRDefault="006E7C6D" w:rsidP="006E7C6D">
      <w:pPr>
        <w:pStyle w:val="body"/>
        <w:spacing w:before="120" w:after="120" w:line="240" w:lineRule="auto"/>
        <w:jc w:val="both"/>
        <w:rPr>
          <w:rFonts w:ascii="Arial" w:hAnsi="Arial" w:cs="Arial"/>
          <w:sz w:val="20"/>
          <w:szCs w:val="20"/>
        </w:rPr>
      </w:pPr>
      <w:r w:rsidRPr="006E7C6D">
        <w:rPr>
          <w:rFonts w:ascii="Arial" w:hAnsi="Arial" w:cs="Arial"/>
          <w:sz w:val="20"/>
          <w:szCs w:val="20"/>
        </w:rPr>
        <w:t>A portfolio is constructed with the guiding principles like the clients objectives, asset allocation strategy, time horizon and the risk appetite. The portfolio incorporates client’s total investments including liquid and illiquid forms of assets.</w:t>
      </w:r>
    </w:p>
    <w:p w:rsidR="006E7C6D" w:rsidRDefault="006E7C6D" w:rsidP="006E7C6D">
      <w:pPr>
        <w:pStyle w:val="Cog-body"/>
        <w:spacing w:line="360" w:lineRule="auto"/>
        <w:ind w:left="0" w:right="29"/>
      </w:pPr>
      <w:r>
        <w:t>There are many methods used for designing efficient portfolios, some of which are:</w:t>
      </w:r>
    </w:p>
    <w:p w:rsidR="006E7C6D" w:rsidRDefault="006E7C6D" w:rsidP="006E7C6D">
      <w:pPr>
        <w:pStyle w:val="Cog-body"/>
        <w:spacing w:before="120" w:after="120"/>
        <w:ind w:left="0" w:right="29"/>
        <w:rPr>
          <w:b/>
        </w:rPr>
      </w:pPr>
      <w:smartTag w:uri="urn:schemas-microsoft-com:office:smarttags" w:element="place">
        <w:r>
          <w:rPr>
            <w:b/>
          </w:rPr>
          <w:t>I.</w:t>
        </w:r>
      </w:smartTag>
      <w:r>
        <w:rPr>
          <w:b/>
        </w:rPr>
        <w:t xml:space="preserve"> Mean-Variance Optimization (MVO)</w:t>
      </w:r>
    </w:p>
    <w:p w:rsidR="006E7C6D" w:rsidRDefault="006E7C6D" w:rsidP="006E7C6D">
      <w:pPr>
        <w:pStyle w:val="Cog-body"/>
        <w:spacing w:line="360" w:lineRule="auto"/>
        <w:ind w:left="0" w:right="29"/>
      </w:pPr>
      <w:r>
        <w:t xml:space="preserve">This throws up results based on historical estimates of </w:t>
      </w:r>
    </w:p>
    <w:p w:rsidR="006E7C6D" w:rsidRDefault="006E7C6D" w:rsidP="006E7C6D">
      <w:pPr>
        <w:pStyle w:val="Cog-body"/>
        <w:numPr>
          <w:ilvl w:val="0"/>
          <w:numId w:val="74"/>
        </w:numPr>
        <w:tabs>
          <w:tab w:val="num" w:pos="0"/>
        </w:tabs>
        <w:spacing w:before="40" w:after="40" w:line="360" w:lineRule="auto"/>
        <w:ind w:left="360" w:right="29"/>
      </w:pPr>
      <w:r>
        <w:t>Expected returns</w:t>
      </w:r>
    </w:p>
    <w:p w:rsidR="006E7C6D" w:rsidRDefault="006E7C6D" w:rsidP="006E7C6D">
      <w:pPr>
        <w:pStyle w:val="Cog-body"/>
        <w:numPr>
          <w:ilvl w:val="0"/>
          <w:numId w:val="74"/>
        </w:numPr>
        <w:tabs>
          <w:tab w:val="num" w:pos="0"/>
        </w:tabs>
        <w:spacing w:before="40" w:after="40" w:line="360" w:lineRule="auto"/>
        <w:ind w:left="360" w:right="29"/>
      </w:pPr>
      <w:r>
        <w:t>Standard deviation of returns (Risk of each asset)</w:t>
      </w:r>
    </w:p>
    <w:p w:rsidR="006E7C6D" w:rsidRDefault="006E7C6D" w:rsidP="006E7C6D">
      <w:pPr>
        <w:pStyle w:val="Cog-body"/>
        <w:numPr>
          <w:ilvl w:val="0"/>
          <w:numId w:val="74"/>
        </w:numPr>
        <w:tabs>
          <w:tab w:val="num" w:pos="0"/>
        </w:tabs>
        <w:spacing w:before="40" w:after="40" w:line="360" w:lineRule="auto"/>
        <w:ind w:left="360" w:right="29"/>
      </w:pPr>
      <w:r>
        <w:t>Correlation of returns with other asset classes constituting the portfolio</w:t>
      </w:r>
    </w:p>
    <w:p w:rsidR="006E7C6D" w:rsidRDefault="006E7C6D" w:rsidP="006E7C6D">
      <w:pPr>
        <w:pStyle w:val="Cog-body"/>
        <w:spacing w:line="360" w:lineRule="auto"/>
        <w:ind w:left="0" w:right="29"/>
      </w:pPr>
      <w:r>
        <w:t xml:space="preserve">The assets included in the portfolio are the ones having the risk/return qualities that resemble those of the asset classes included in the efficient portfolios. This efficient portfolio construction involves huge number of mathematical calculations. Then to optimize the portfolio so as to minimize the risk associated, techniques like quadratic programming are used. The optimization develops a series of efficient portfolios, each representing trade-offs in terms of risk and return. </w:t>
      </w:r>
    </w:p>
    <w:p w:rsidR="006E7C6D" w:rsidRDefault="006E7C6D" w:rsidP="006E7C6D">
      <w:pPr>
        <w:pStyle w:val="Cog-body"/>
        <w:spacing w:line="360" w:lineRule="auto"/>
        <w:ind w:left="0" w:right="29"/>
      </w:pPr>
      <w:r>
        <w:t xml:space="preserve">The final portfolio construction step determines the "optimal" portfolio (Efficient frontier) for the client. This optimal portfolio is based on the target asset allocation as defined in the client’s profile. </w:t>
      </w:r>
    </w:p>
    <w:p w:rsidR="006E7C6D" w:rsidRDefault="006E7C6D" w:rsidP="006E7C6D">
      <w:pPr>
        <w:pStyle w:val="Cog-body"/>
        <w:spacing w:before="120" w:after="120"/>
        <w:ind w:left="0" w:right="29"/>
        <w:rPr>
          <w:b/>
        </w:rPr>
      </w:pPr>
      <w:r>
        <w:rPr>
          <w:b/>
        </w:rPr>
        <w:t>II. The Black-</w:t>
      </w:r>
      <w:proofErr w:type="spellStart"/>
      <w:r>
        <w:rPr>
          <w:b/>
        </w:rPr>
        <w:t>Litterman</w:t>
      </w:r>
      <w:proofErr w:type="spellEnd"/>
      <w:r>
        <w:rPr>
          <w:b/>
        </w:rPr>
        <w:t xml:space="preserve"> model </w:t>
      </w:r>
    </w:p>
    <w:p w:rsidR="006E7C6D" w:rsidRDefault="006E7C6D" w:rsidP="006E7C6D">
      <w:pPr>
        <w:pStyle w:val="Cog-body"/>
        <w:spacing w:line="360" w:lineRule="auto"/>
        <w:ind w:left="0" w:right="29"/>
      </w:pPr>
      <w:r>
        <w:t>This is very similar to MVO method but differs in the forecasts used. Instead of using historical numbers to predict future returns, the Black-</w:t>
      </w:r>
      <w:proofErr w:type="spellStart"/>
      <w:r>
        <w:t>Litterman</w:t>
      </w:r>
      <w:proofErr w:type="spellEnd"/>
      <w:r>
        <w:t xml:space="preserve"> model starts with the set of returns implied by equilibrium in the market. Then these returns are adjusted for any views that the clients hold about sections of the market or relative future performance of different asset classes. The resulting portfolios are intuitive and diversified.</w:t>
      </w:r>
    </w:p>
    <w:p w:rsidR="006E7C6D" w:rsidRDefault="006E7C6D" w:rsidP="006E7C6D">
      <w:pPr>
        <w:pStyle w:val="Cog-body"/>
        <w:spacing w:before="120" w:after="120"/>
        <w:ind w:left="0" w:right="29"/>
        <w:rPr>
          <w:b/>
        </w:rPr>
      </w:pPr>
      <w:r>
        <w:rPr>
          <w:b/>
        </w:rPr>
        <w:t>III. Simulation optimization</w:t>
      </w:r>
    </w:p>
    <w:p w:rsidR="006E7C6D" w:rsidRDefault="006E7C6D" w:rsidP="006E7C6D">
      <w:pPr>
        <w:pStyle w:val="Cog-body"/>
        <w:spacing w:line="360" w:lineRule="auto"/>
        <w:ind w:left="0" w:right="29"/>
      </w:pPr>
      <w:r>
        <w:lastRenderedPageBreak/>
        <w:t xml:space="preserve">Simulation optimization (SO) develops a multi-period asset allocation solution to achieve client’s objectives under a range of possible future asset class return-scenarios. SO uses the following inputs as the basis for a complex </w:t>
      </w:r>
      <w:smartTag w:uri="urn:schemas-microsoft-com:office:smarttags" w:element="place">
        <w:r>
          <w:t>Monte Carlo</w:t>
        </w:r>
      </w:smartTag>
      <w:r>
        <w:t xml:space="preserve"> simulation analysis </w:t>
      </w:r>
    </w:p>
    <w:p w:rsidR="006E7C6D" w:rsidRDefault="006E7C6D" w:rsidP="006E7C6D">
      <w:pPr>
        <w:pStyle w:val="Cog-body"/>
        <w:numPr>
          <w:ilvl w:val="0"/>
          <w:numId w:val="74"/>
        </w:numPr>
        <w:tabs>
          <w:tab w:val="num" w:pos="0"/>
        </w:tabs>
        <w:spacing w:before="40" w:after="40" w:line="360" w:lineRule="auto"/>
        <w:ind w:left="360" w:right="29"/>
      </w:pPr>
      <w:r>
        <w:t xml:space="preserve">Investment objectives </w:t>
      </w:r>
    </w:p>
    <w:p w:rsidR="006E7C6D" w:rsidRDefault="006E7C6D" w:rsidP="006E7C6D">
      <w:pPr>
        <w:pStyle w:val="Cog-body"/>
        <w:numPr>
          <w:ilvl w:val="0"/>
          <w:numId w:val="74"/>
        </w:numPr>
        <w:tabs>
          <w:tab w:val="num" w:pos="0"/>
        </w:tabs>
        <w:spacing w:before="40" w:after="40" w:line="360" w:lineRule="auto"/>
        <w:ind w:left="360" w:right="29"/>
      </w:pPr>
      <w:r>
        <w:t xml:space="preserve">Average annual return, standard deviation, and correlation assumptions for the asset classes under consideration. </w:t>
      </w:r>
    </w:p>
    <w:p w:rsidR="006E7C6D" w:rsidRDefault="006E7C6D" w:rsidP="006E7C6D">
      <w:pPr>
        <w:pStyle w:val="Cog-body"/>
        <w:numPr>
          <w:ilvl w:val="0"/>
          <w:numId w:val="74"/>
        </w:numPr>
        <w:tabs>
          <w:tab w:val="num" w:pos="0"/>
        </w:tabs>
        <w:spacing w:before="40" w:after="40" w:line="360" w:lineRule="auto"/>
        <w:ind w:left="360" w:right="29"/>
      </w:pPr>
      <w:r>
        <w:t xml:space="preserve">Maximum amounts that can be invested in any single asset class. </w:t>
      </w:r>
    </w:p>
    <w:p w:rsidR="006E7C6D" w:rsidRDefault="006E7C6D" w:rsidP="006E7C6D">
      <w:pPr>
        <w:pStyle w:val="Cog-body"/>
        <w:spacing w:line="360" w:lineRule="auto"/>
        <w:ind w:left="0" w:right="29"/>
      </w:pPr>
      <w:r>
        <w:t xml:space="preserve">SO starts with a "candidate" asset allocation solution. It then uses the asset class inputs to calculate a scenario covering a holding period. For example, for 7 asset classes and a holding period of 20 years, the scenario would contain 140 different annual returns (scenarios). To check how well the candidate asset allocation strategy satisfies the client's objective a large number of iterations are done (2,000 to 5,000 scenarios per asset allocation strategy) to develop a range of returns the candidate asset allocation strategy might produce. The process is run over and over again to test other asset allocation strategies that might do a better job of achieving the client's goals. </w:t>
      </w:r>
    </w:p>
    <w:p w:rsidR="006E7C6D" w:rsidRDefault="006E7C6D" w:rsidP="006E7C6D">
      <w:pPr>
        <w:pStyle w:val="Cog-body"/>
        <w:spacing w:line="360" w:lineRule="auto"/>
        <w:ind w:left="0" w:right="29"/>
      </w:pPr>
      <w:r>
        <w:t>There are many software tools to enable advisors in creating efficient portfolios and also provide added functionalities like:</w:t>
      </w:r>
    </w:p>
    <w:p w:rsidR="006E7C6D" w:rsidRDefault="006E7C6D" w:rsidP="006E7C6D">
      <w:pPr>
        <w:pStyle w:val="Cog-body"/>
        <w:numPr>
          <w:ilvl w:val="0"/>
          <w:numId w:val="74"/>
        </w:numPr>
        <w:spacing w:before="40" w:after="40" w:line="360" w:lineRule="auto"/>
        <w:ind w:right="29"/>
      </w:pPr>
      <w:r>
        <w:t>Comparing portfolios across different time periods</w:t>
      </w:r>
    </w:p>
    <w:p w:rsidR="006E7C6D" w:rsidRDefault="006E7C6D" w:rsidP="006E7C6D">
      <w:pPr>
        <w:pStyle w:val="Cog-body"/>
        <w:numPr>
          <w:ilvl w:val="0"/>
          <w:numId w:val="74"/>
        </w:numPr>
        <w:spacing w:before="40" w:after="40" w:line="360" w:lineRule="auto"/>
        <w:ind w:right="29"/>
      </w:pPr>
      <w:r>
        <w:t>Adding new products or asset classes to the existing portfolios</w:t>
      </w:r>
    </w:p>
    <w:p w:rsidR="006E7C6D" w:rsidRDefault="006E7C6D" w:rsidP="006E7C6D">
      <w:pPr>
        <w:pStyle w:val="Cog-body"/>
        <w:numPr>
          <w:ilvl w:val="0"/>
          <w:numId w:val="74"/>
        </w:numPr>
        <w:spacing w:before="40" w:after="40" w:line="360" w:lineRule="auto"/>
        <w:ind w:right="29"/>
      </w:pPr>
      <w:r>
        <w:t>Portfolio projections like expected best and worst case returns, probability of negative returns, tracking and benchmarking etc.</w:t>
      </w:r>
    </w:p>
    <w:p w:rsidR="006E7C6D" w:rsidRPr="000E29CC" w:rsidRDefault="006E7C6D" w:rsidP="006E7C6D">
      <w:pPr>
        <w:pStyle w:val="Cog-body"/>
        <w:spacing w:line="360" w:lineRule="auto"/>
        <w:ind w:left="0" w:right="29"/>
        <w:rPr>
          <w:color w:val="FF0000"/>
        </w:rPr>
      </w:pPr>
      <w:r>
        <w:t>Once an efficient portfolio in terms of asset classes has been constructed, the next step is to select products in each asset class like equities, bonds, and funds etc. which are most suitable in terms of their risk-return figures. These products can be the proprietary products of the wealth manager/ bank or be some third party products. These orders can either be placed manually or through online order management solutions, providing real-time trading, straight through processing.</w:t>
      </w:r>
    </w:p>
    <w:p w:rsidR="00C332BB" w:rsidRDefault="00C332BB" w:rsidP="00C332BB"/>
    <w:p w:rsidR="00C332BB" w:rsidRDefault="00C332BB" w:rsidP="00C332BB">
      <w:pPr>
        <w:pStyle w:val="Heading3"/>
        <w:keepNext w:val="0"/>
        <w:tabs>
          <w:tab w:val="clear" w:pos="6444"/>
          <w:tab w:val="num" w:pos="540"/>
        </w:tabs>
        <w:spacing w:before="120" w:after="120" w:line="240" w:lineRule="atLeast"/>
        <w:ind w:left="0" w:firstLine="0"/>
        <w:jc w:val="both"/>
      </w:pPr>
      <w:r>
        <w:t>Trading</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Any investment management process shall deal with the most important activity of buying and selling of various securities depending upon the state of the market and the view taken by the portfolio manager. Such trading activities need a lot of monitoring and have to be settled in accordance with the market practices.</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 xml:space="preserve">The </w:t>
      </w:r>
      <w:r>
        <w:rPr>
          <w:rFonts w:ascii="Arial" w:hAnsi="Arial" w:cs="Arial"/>
          <w:sz w:val="20"/>
          <w:szCs w:val="20"/>
        </w:rPr>
        <w:t>Asset</w:t>
      </w:r>
      <w:r w:rsidRPr="00B84102">
        <w:rPr>
          <w:rFonts w:ascii="Arial" w:hAnsi="Arial" w:cs="Arial"/>
          <w:sz w:val="20"/>
          <w:szCs w:val="20"/>
        </w:rPr>
        <w:t xml:space="preserve"> Management firm has a dedicated team of specialists who ensure that trades get executed and settled once they have been placed into the system. For trading to take place each </w:t>
      </w:r>
      <w:r w:rsidRPr="00B84102">
        <w:rPr>
          <w:rFonts w:ascii="Arial" w:hAnsi="Arial" w:cs="Arial"/>
          <w:sz w:val="20"/>
          <w:szCs w:val="20"/>
        </w:rPr>
        <w:lastRenderedPageBreak/>
        <w:t xml:space="preserve">and every </w:t>
      </w:r>
      <w:r>
        <w:rPr>
          <w:rFonts w:ascii="Arial" w:hAnsi="Arial" w:cs="Arial"/>
          <w:sz w:val="20"/>
          <w:szCs w:val="20"/>
        </w:rPr>
        <w:t>Asset</w:t>
      </w:r>
      <w:r w:rsidRPr="00B84102">
        <w:rPr>
          <w:rFonts w:ascii="Arial" w:hAnsi="Arial" w:cs="Arial"/>
          <w:sz w:val="20"/>
          <w:szCs w:val="20"/>
        </w:rPr>
        <w:t xml:space="preserve"> Management firm has a list of empanelled brokers who take a designated order to the street. Once the orders get executed they get a confirmation back after which it moves into settlement. </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 xml:space="preserve">The settlement wing ensures the movement of appropriate securities and cash in order to settle the transaction. In case of a buy transaction, the designated funds have to move out to the exchange and relevant securities credited into the clients account. In case of a sell transaction the </w:t>
      </w:r>
      <w:r>
        <w:rPr>
          <w:rFonts w:ascii="Arial" w:hAnsi="Arial" w:cs="Arial"/>
          <w:sz w:val="20"/>
          <w:szCs w:val="20"/>
        </w:rPr>
        <w:t>Asset</w:t>
      </w:r>
      <w:r w:rsidRPr="00B84102">
        <w:rPr>
          <w:rFonts w:ascii="Arial" w:hAnsi="Arial" w:cs="Arial"/>
          <w:sz w:val="20"/>
          <w:szCs w:val="20"/>
        </w:rPr>
        <w:t xml:space="preserve"> </w:t>
      </w:r>
      <w:r>
        <w:rPr>
          <w:rFonts w:ascii="Arial" w:hAnsi="Arial" w:cs="Arial"/>
          <w:sz w:val="20"/>
          <w:szCs w:val="20"/>
        </w:rPr>
        <w:t>M</w:t>
      </w:r>
      <w:r w:rsidRPr="00B84102">
        <w:rPr>
          <w:rFonts w:ascii="Arial" w:hAnsi="Arial" w:cs="Arial"/>
          <w:sz w:val="20"/>
          <w:szCs w:val="20"/>
        </w:rPr>
        <w:t>anagement Company has to ensure that the relevant securities move out of the clients account and the funds are credited on the due date.</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Once the trading and settlement activity takes place for a particular transaction the same is reported to the respective databases and client account updated for the same.</w:t>
      </w:r>
    </w:p>
    <w:p w:rsidR="00C332BB" w:rsidRDefault="00C332BB" w:rsidP="00C332BB">
      <w:pPr>
        <w:pStyle w:val="Heading3"/>
        <w:keepNext w:val="0"/>
        <w:tabs>
          <w:tab w:val="clear" w:pos="6444"/>
          <w:tab w:val="num" w:pos="540"/>
        </w:tabs>
        <w:spacing w:before="120" w:after="120" w:line="240" w:lineRule="atLeast"/>
        <w:ind w:left="0" w:firstLine="0"/>
        <w:jc w:val="both"/>
      </w:pPr>
      <w:r>
        <w:t>Trade Order M</w:t>
      </w:r>
      <w:r w:rsidRPr="00952F55">
        <w:t>anagement</w:t>
      </w:r>
    </w:p>
    <w:p w:rsidR="00C332BB" w:rsidRPr="006E7C6D" w:rsidRDefault="00C332BB" w:rsidP="00C332BB">
      <w:pPr>
        <w:tabs>
          <w:tab w:val="left" w:pos="8640"/>
        </w:tabs>
        <w:ind w:right="-180"/>
        <w:rPr>
          <w:rFonts w:ascii="Arial" w:hAnsi="Arial" w:cs="Arial"/>
          <w:sz w:val="20"/>
          <w:szCs w:val="20"/>
        </w:rPr>
      </w:pPr>
      <w:r w:rsidRPr="006E7C6D">
        <w:rPr>
          <w:rFonts w:ascii="Arial" w:hAnsi="Arial" w:cs="Arial"/>
          <w:sz w:val="20"/>
          <w:szCs w:val="20"/>
        </w:rPr>
        <w:t>The key elements of the trading infrastructure on the buy-side can be broken down into the following categories:</w:t>
      </w:r>
    </w:p>
    <w:p w:rsidR="00C332BB" w:rsidRPr="00C90EB2" w:rsidRDefault="00C332BB" w:rsidP="00C332BB">
      <w:pPr>
        <w:tabs>
          <w:tab w:val="left" w:pos="8640"/>
        </w:tabs>
        <w:ind w:right="-180"/>
        <w:rPr>
          <w:rFonts w:ascii="Verdana" w:hAnsi="Verdana" w:cs="Arial"/>
          <w:sz w:val="20"/>
          <w:szCs w:val="20"/>
        </w:rPr>
      </w:pPr>
    </w:p>
    <w:p w:rsidR="00C332BB" w:rsidRPr="00696517" w:rsidRDefault="00C332BB" w:rsidP="00C332BB">
      <w:pPr>
        <w:numPr>
          <w:ilvl w:val="0"/>
          <w:numId w:val="149"/>
        </w:numPr>
        <w:tabs>
          <w:tab w:val="left" w:pos="8640"/>
        </w:tabs>
        <w:ind w:right="-180"/>
        <w:rPr>
          <w:rFonts w:ascii="Arial" w:hAnsi="Arial" w:cs="Arial"/>
          <w:sz w:val="20"/>
          <w:szCs w:val="20"/>
        </w:rPr>
      </w:pPr>
      <w:r w:rsidRPr="00696517">
        <w:rPr>
          <w:rFonts w:ascii="Arial" w:hAnsi="Arial" w:cs="Arial"/>
          <w:sz w:val="20"/>
          <w:szCs w:val="20"/>
        </w:rPr>
        <w:t>Order Capture &amp; Validation</w:t>
      </w:r>
    </w:p>
    <w:p w:rsidR="00C332BB" w:rsidRPr="00696517" w:rsidRDefault="00C332BB" w:rsidP="00C332BB">
      <w:pPr>
        <w:numPr>
          <w:ilvl w:val="0"/>
          <w:numId w:val="149"/>
        </w:numPr>
        <w:tabs>
          <w:tab w:val="left" w:pos="8640"/>
        </w:tabs>
        <w:ind w:right="-180"/>
        <w:rPr>
          <w:rFonts w:ascii="Arial" w:hAnsi="Arial" w:cs="Arial"/>
          <w:sz w:val="20"/>
          <w:szCs w:val="20"/>
        </w:rPr>
      </w:pPr>
      <w:r w:rsidRPr="00696517">
        <w:rPr>
          <w:rFonts w:ascii="Arial" w:hAnsi="Arial" w:cs="Arial"/>
          <w:sz w:val="20"/>
          <w:szCs w:val="20"/>
        </w:rPr>
        <w:t xml:space="preserve">Pre-Trade &amp; Post Trade Compliance </w:t>
      </w:r>
    </w:p>
    <w:p w:rsidR="00C332BB" w:rsidRPr="00696517" w:rsidRDefault="00C332BB" w:rsidP="00C332BB">
      <w:pPr>
        <w:numPr>
          <w:ilvl w:val="0"/>
          <w:numId w:val="149"/>
        </w:numPr>
        <w:tabs>
          <w:tab w:val="left" w:pos="8640"/>
        </w:tabs>
        <w:ind w:right="-180"/>
        <w:rPr>
          <w:rFonts w:ascii="Arial" w:hAnsi="Arial" w:cs="Arial"/>
          <w:sz w:val="20"/>
          <w:szCs w:val="20"/>
        </w:rPr>
      </w:pPr>
      <w:r w:rsidRPr="00696517">
        <w:rPr>
          <w:rFonts w:ascii="Arial" w:hAnsi="Arial" w:cs="Arial"/>
          <w:sz w:val="20"/>
          <w:szCs w:val="20"/>
        </w:rPr>
        <w:t>Order Routing</w:t>
      </w:r>
    </w:p>
    <w:p w:rsidR="00C332BB" w:rsidRPr="00696517" w:rsidRDefault="00C332BB" w:rsidP="00C332BB">
      <w:pPr>
        <w:numPr>
          <w:ilvl w:val="0"/>
          <w:numId w:val="149"/>
        </w:numPr>
        <w:tabs>
          <w:tab w:val="left" w:pos="8640"/>
        </w:tabs>
        <w:ind w:right="-180"/>
        <w:rPr>
          <w:rFonts w:ascii="Arial" w:hAnsi="Arial" w:cs="Arial"/>
          <w:sz w:val="20"/>
          <w:szCs w:val="20"/>
        </w:rPr>
      </w:pPr>
      <w:r w:rsidRPr="00696517">
        <w:rPr>
          <w:rFonts w:ascii="Arial" w:hAnsi="Arial" w:cs="Arial"/>
          <w:sz w:val="20"/>
          <w:szCs w:val="20"/>
        </w:rPr>
        <w:t>Order Execution &amp; Trade Allocation</w:t>
      </w:r>
    </w:p>
    <w:p w:rsidR="00C332BB" w:rsidRPr="00696517" w:rsidRDefault="00C332BB" w:rsidP="00C332BB">
      <w:pPr>
        <w:numPr>
          <w:ilvl w:val="0"/>
          <w:numId w:val="149"/>
        </w:numPr>
        <w:tabs>
          <w:tab w:val="left" w:pos="8640"/>
        </w:tabs>
        <w:ind w:right="-180"/>
        <w:rPr>
          <w:rFonts w:ascii="Arial" w:hAnsi="Arial" w:cs="Arial"/>
          <w:sz w:val="20"/>
          <w:szCs w:val="20"/>
        </w:rPr>
      </w:pPr>
      <w:r w:rsidRPr="00696517">
        <w:rPr>
          <w:rFonts w:ascii="Arial" w:hAnsi="Arial" w:cs="Arial"/>
          <w:sz w:val="20"/>
          <w:szCs w:val="20"/>
        </w:rPr>
        <w:t>Order Post to downstream systems</w:t>
      </w:r>
    </w:p>
    <w:p w:rsidR="00C332BB" w:rsidRPr="00696517" w:rsidRDefault="00C332BB" w:rsidP="00C332BB">
      <w:pPr>
        <w:numPr>
          <w:ilvl w:val="0"/>
          <w:numId w:val="149"/>
        </w:numPr>
        <w:tabs>
          <w:tab w:val="left" w:pos="8640"/>
        </w:tabs>
        <w:ind w:right="-180"/>
        <w:rPr>
          <w:rFonts w:ascii="Arial" w:hAnsi="Arial" w:cs="Arial"/>
          <w:sz w:val="20"/>
          <w:szCs w:val="20"/>
        </w:rPr>
      </w:pPr>
      <w:r w:rsidRPr="00696517">
        <w:rPr>
          <w:rFonts w:ascii="Arial" w:hAnsi="Arial" w:cs="Arial"/>
          <w:sz w:val="20"/>
          <w:szCs w:val="20"/>
        </w:rPr>
        <w:t>Reporting</w:t>
      </w:r>
    </w:p>
    <w:p w:rsidR="00C332BB" w:rsidRDefault="00C332BB" w:rsidP="00C332BB"/>
    <w:p w:rsidR="00C332BB" w:rsidRDefault="00C332BB" w:rsidP="00C332BB">
      <w:pPr>
        <w:pStyle w:val="Heading3"/>
        <w:keepNext w:val="0"/>
        <w:tabs>
          <w:tab w:val="clear" w:pos="6444"/>
          <w:tab w:val="num" w:pos="540"/>
        </w:tabs>
        <w:spacing w:before="120" w:after="120" w:line="240" w:lineRule="atLeast"/>
        <w:ind w:left="0" w:firstLine="0"/>
        <w:jc w:val="both"/>
      </w:pPr>
      <w:r>
        <w:t>Position Maintenance</w:t>
      </w:r>
    </w:p>
    <w:p w:rsidR="00C332BB" w:rsidRPr="00C332BB" w:rsidRDefault="00C332BB" w:rsidP="00C332BB">
      <w:pPr>
        <w:pStyle w:val="body"/>
        <w:spacing w:before="120" w:after="120" w:line="240" w:lineRule="auto"/>
        <w:jc w:val="both"/>
        <w:rPr>
          <w:rFonts w:ascii="Arial" w:hAnsi="Arial" w:cs="Arial"/>
          <w:sz w:val="20"/>
          <w:szCs w:val="20"/>
        </w:rPr>
      </w:pPr>
      <w:r w:rsidRPr="00C332BB">
        <w:rPr>
          <w:rFonts w:ascii="Arial" w:hAnsi="Arial" w:cs="Arial"/>
          <w:sz w:val="20"/>
          <w:szCs w:val="20"/>
        </w:rPr>
        <w:t>The back office system would update positions of securities held within portfolios and determine portfolio valued holdings and calculate net asset value of funds. Positions can be maintained at various levels – account level, instrument level, trader level or fund level. Position management is used for calculating, viewing and adjusting P&amp;L information which results from trading activities. Some of the features of a position management system include: Track intraday positions for all customers and accounts and view positions and histories , Provide real time data on trades, instrument prices and Exchange rates , Manage cash constraints and compliance requirements , Facilitating limits on trading, book, instruments and cash positions.</w:t>
      </w:r>
    </w:p>
    <w:p w:rsidR="00C332BB" w:rsidRDefault="00C332BB" w:rsidP="00C332BB">
      <w:pPr>
        <w:pStyle w:val="Heading3"/>
        <w:keepNext w:val="0"/>
        <w:tabs>
          <w:tab w:val="clear" w:pos="6444"/>
          <w:tab w:val="num" w:pos="540"/>
        </w:tabs>
        <w:spacing w:before="120" w:after="120" w:line="240" w:lineRule="atLeast"/>
        <w:ind w:left="0" w:firstLine="0"/>
        <w:jc w:val="both"/>
      </w:pPr>
      <w:r>
        <w:t>Portfolio Rebalancing</w:t>
      </w:r>
    </w:p>
    <w:p w:rsidR="00C332BB" w:rsidRPr="00C332BB" w:rsidRDefault="00C332BB" w:rsidP="00C332BB">
      <w:pPr>
        <w:jc w:val="both"/>
        <w:rPr>
          <w:rFonts w:ascii="Arial" w:hAnsi="Arial" w:cs="Arial"/>
          <w:sz w:val="20"/>
          <w:szCs w:val="20"/>
        </w:rPr>
      </w:pPr>
      <w:r w:rsidRPr="00C332BB">
        <w:rPr>
          <w:rFonts w:ascii="Arial" w:hAnsi="Arial" w:cs="Arial"/>
          <w:sz w:val="20"/>
          <w:szCs w:val="20"/>
        </w:rPr>
        <w:t>Portfolio rebalancing is executed by the portfolio manager. Portfolio order is for multiple security and multiple accounts. This is created as a result of rebalancing or after usage of any other trading tool like what if, Raise Cash, etc. Portfolio orders can be either created through account rebalancing or manual entry.</w:t>
      </w:r>
      <w:r w:rsidR="00563923">
        <w:rPr>
          <w:rFonts w:ascii="Arial" w:hAnsi="Arial" w:cs="Arial"/>
          <w:sz w:val="20"/>
          <w:szCs w:val="20"/>
        </w:rPr>
        <w:t xml:space="preserve"> Further d</w:t>
      </w:r>
      <w:r w:rsidRPr="00C332BB">
        <w:rPr>
          <w:rFonts w:ascii="Arial" w:hAnsi="Arial" w:cs="Arial"/>
          <w:sz w:val="20"/>
          <w:szCs w:val="20"/>
        </w:rPr>
        <w:t>etails are provided in section 5.2</w:t>
      </w:r>
    </w:p>
    <w:p w:rsidR="00C332BB" w:rsidRDefault="00C332BB" w:rsidP="00C332BB"/>
    <w:p w:rsidR="00C332BB" w:rsidRDefault="00C332BB" w:rsidP="00C332BB">
      <w:pPr>
        <w:pStyle w:val="Heading3"/>
        <w:keepNext w:val="0"/>
        <w:tabs>
          <w:tab w:val="clear" w:pos="6444"/>
          <w:tab w:val="num" w:pos="540"/>
        </w:tabs>
        <w:spacing w:before="120" w:after="120" w:line="240" w:lineRule="atLeast"/>
        <w:ind w:left="0" w:firstLine="0"/>
        <w:jc w:val="both"/>
      </w:pPr>
      <w:r>
        <w:t>Compliance</w:t>
      </w:r>
    </w:p>
    <w:p w:rsidR="00C332BB" w:rsidRDefault="00C332BB" w:rsidP="00C332BB">
      <w:pPr>
        <w:pStyle w:val="body"/>
        <w:spacing w:before="120" w:after="120" w:line="240" w:lineRule="auto"/>
        <w:jc w:val="both"/>
        <w:rPr>
          <w:rFonts w:ascii="Arial" w:hAnsi="Arial" w:cs="Arial"/>
          <w:sz w:val="20"/>
          <w:szCs w:val="20"/>
        </w:rPr>
      </w:pPr>
      <w:r>
        <w:rPr>
          <w:rFonts w:ascii="Arial" w:hAnsi="Arial" w:cs="Arial"/>
          <w:sz w:val="20"/>
          <w:szCs w:val="20"/>
        </w:rPr>
        <w:t>Compliance encompasses different types of precautions that have to be taken by Asset Management companies as they conduct their business.</w:t>
      </w:r>
    </w:p>
    <w:p w:rsidR="00C332BB" w:rsidRDefault="00C332BB" w:rsidP="00C332BB">
      <w:pPr>
        <w:pStyle w:val="body"/>
        <w:spacing w:before="120" w:after="120" w:line="240" w:lineRule="auto"/>
        <w:jc w:val="both"/>
        <w:rPr>
          <w:rFonts w:ascii="Arial" w:hAnsi="Arial" w:cs="Arial"/>
          <w:sz w:val="20"/>
          <w:szCs w:val="20"/>
        </w:rPr>
      </w:pPr>
      <w:r>
        <w:rPr>
          <w:rFonts w:ascii="Arial" w:hAnsi="Arial" w:cs="Arial"/>
          <w:sz w:val="20"/>
          <w:szCs w:val="20"/>
        </w:rPr>
        <w:t>The objectives of compliance management are as follows:</w:t>
      </w:r>
    </w:p>
    <w:p w:rsidR="00C332BB" w:rsidRDefault="00C332BB" w:rsidP="00C332BB">
      <w:pPr>
        <w:pStyle w:val="body"/>
        <w:numPr>
          <w:ilvl w:val="0"/>
          <w:numId w:val="17"/>
        </w:numPr>
        <w:spacing w:before="120" w:after="120" w:line="240" w:lineRule="auto"/>
        <w:jc w:val="both"/>
        <w:rPr>
          <w:rFonts w:ascii="Arial" w:hAnsi="Arial" w:cs="Arial"/>
          <w:sz w:val="20"/>
          <w:szCs w:val="20"/>
        </w:rPr>
      </w:pPr>
      <w:r>
        <w:rPr>
          <w:rFonts w:ascii="Arial" w:hAnsi="Arial" w:cs="Arial"/>
          <w:sz w:val="20"/>
          <w:szCs w:val="20"/>
        </w:rPr>
        <w:t>To prevent and detect trading malpractices</w:t>
      </w:r>
    </w:p>
    <w:p w:rsidR="00C332BB" w:rsidRDefault="00C332BB" w:rsidP="00C332BB">
      <w:pPr>
        <w:pStyle w:val="body"/>
        <w:numPr>
          <w:ilvl w:val="0"/>
          <w:numId w:val="17"/>
        </w:numPr>
        <w:spacing w:before="120" w:after="120" w:line="240" w:lineRule="auto"/>
        <w:jc w:val="both"/>
        <w:rPr>
          <w:rFonts w:ascii="Arial" w:hAnsi="Arial" w:cs="Arial"/>
          <w:sz w:val="20"/>
          <w:szCs w:val="20"/>
        </w:rPr>
      </w:pPr>
      <w:r>
        <w:rPr>
          <w:rFonts w:ascii="Arial" w:hAnsi="Arial" w:cs="Arial"/>
          <w:sz w:val="20"/>
          <w:szCs w:val="20"/>
        </w:rPr>
        <w:lastRenderedPageBreak/>
        <w:t>To ensure that the firm deals with law-abiding clients</w:t>
      </w:r>
    </w:p>
    <w:p w:rsidR="00C332BB" w:rsidRPr="004971B0" w:rsidRDefault="00C332BB" w:rsidP="00C332BB">
      <w:pPr>
        <w:pStyle w:val="Heading4"/>
        <w:keepNext w:val="0"/>
        <w:spacing w:before="120" w:after="120" w:line="240" w:lineRule="atLeast"/>
        <w:jc w:val="both"/>
        <w:rPr>
          <w:rFonts w:cs="Arial"/>
          <w:sz w:val="22"/>
          <w:szCs w:val="22"/>
        </w:rPr>
      </w:pPr>
      <w:r w:rsidRPr="004971B0">
        <w:rPr>
          <w:rFonts w:cs="Arial"/>
          <w:sz w:val="22"/>
          <w:szCs w:val="22"/>
        </w:rPr>
        <w:t>Prevention and detection of Trading Malpractices</w:t>
      </w:r>
    </w:p>
    <w:p w:rsidR="00C332BB" w:rsidRDefault="00C332BB" w:rsidP="00C332BB">
      <w:pPr>
        <w:pStyle w:val="body"/>
        <w:spacing w:before="120" w:after="120" w:line="240" w:lineRule="auto"/>
        <w:jc w:val="both"/>
        <w:rPr>
          <w:rFonts w:ascii="Arial" w:hAnsi="Arial" w:cs="Arial"/>
          <w:sz w:val="20"/>
          <w:szCs w:val="20"/>
        </w:rPr>
      </w:pPr>
      <w:r>
        <w:rPr>
          <w:rFonts w:ascii="Arial" w:hAnsi="Arial" w:cs="Arial"/>
          <w:sz w:val="20"/>
          <w:szCs w:val="20"/>
        </w:rPr>
        <w:t xml:space="preserve">Trade compliance should prevent trading malpractices from happening as much as possible. Trading malpractices include late trades, </w:t>
      </w:r>
      <w:proofErr w:type="spellStart"/>
      <w:r>
        <w:rPr>
          <w:rFonts w:ascii="Arial" w:hAnsi="Arial" w:cs="Arial"/>
          <w:sz w:val="20"/>
          <w:szCs w:val="20"/>
        </w:rPr>
        <w:t>mis</w:t>
      </w:r>
      <w:proofErr w:type="spellEnd"/>
      <w:r>
        <w:rPr>
          <w:rFonts w:ascii="Arial" w:hAnsi="Arial" w:cs="Arial"/>
          <w:sz w:val="20"/>
          <w:szCs w:val="20"/>
        </w:rPr>
        <w:t>-trades, front running, trading in securities on the restricted list, soft dollars etc. If at all such malpractices do occur, strong detection mechanisms should be in place.</w:t>
      </w:r>
    </w:p>
    <w:p w:rsidR="00C332BB" w:rsidRPr="004971B0" w:rsidRDefault="00C332BB" w:rsidP="00C332BB">
      <w:pPr>
        <w:pStyle w:val="Heading4"/>
        <w:keepNext w:val="0"/>
        <w:spacing w:before="120" w:after="120" w:line="240" w:lineRule="atLeast"/>
        <w:jc w:val="both"/>
        <w:rPr>
          <w:rFonts w:cs="Arial"/>
          <w:sz w:val="22"/>
          <w:szCs w:val="22"/>
        </w:rPr>
      </w:pPr>
      <w:r w:rsidRPr="004971B0">
        <w:rPr>
          <w:rFonts w:cs="Arial"/>
          <w:sz w:val="22"/>
          <w:szCs w:val="22"/>
        </w:rPr>
        <w:t>Dealing with Law-abiding Clients</w:t>
      </w:r>
    </w:p>
    <w:p w:rsidR="00C332BB" w:rsidRPr="00B84102" w:rsidRDefault="00C332BB" w:rsidP="00C332BB">
      <w:pPr>
        <w:pStyle w:val="body"/>
        <w:spacing w:before="120" w:after="120" w:line="240" w:lineRule="auto"/>
        <w:jc w:val="both"/>
        <w:rPr>
          <w:rFonts w:ascii="Arial" w:hAnsi="Arial" w:cs="Arial"/>
          <w:sz w:val="20"/>
          <w:szCs w:val="20"/>
        </w:rPr>
      </w:pPr>
      <w:r>
        <w:rPr>
          <w:rFonts w:ascii="Arial" w:hAnsi="Arial" w:cs="Arial"/>
          <w:sz w:val="20"/>
          <w:szCs w:val="20"/>
        </w:rPr>
        <w:t>The Asset Management Company should not be exploited by money launderers as a conduit. The firm must institute procedures such as AML and Know Your Customer (KYC). The firm should also check whether it is dealing with high-risk clients or clients from high-risk geographies.</w:t>
      </w:r>
      <w:r w:rsidRPr="00B84102">
        <w:rPr>
          <w:rFonts w:ascii="Arial" w:hAnsi="Arial" w:cs="Arial"/>
          <w:sz w:val="20"/>
          <w:szCs w:val="20"/>
        </w:rPr>
        <w:t xml:space="preserve">  </w:t>
      </w:r>
    </w:p>
    <w:p w:rsidR="00C332BB" w:rsidRDefault="00C332BB" w:rsidP="00C332BB">
      <w:pPr>
        <w:pStyle w:val="Heading3"/>
        <w:keepNext w:val="0"/>
        <w:tabs>
          <w:tab w:val="clear" w:pos="6444"/>
          <w:tab w:val="num" w:pos="540"/>
        </w:tabs>
        <w:spacing w:before="120" w:after="120" w:line="240" w:lineRule="atLeast"/>
        <w:ind w:left="0" w:firstLine="0"/>
        <w:jc w:val="both"/>
      </w:pPr>
      <w:r>
        <w:t>Portfolio Analysis / Risk Management</w:t>
      </w:r>
    </w:p>
    <w:p w:rsidR="00C332BB" w:rsidRPr="00696517" w:rsidRDefault="00C332BB" w:rsidP="00C332BB">
      <w:pPr>
        <w:pStyle w:val="body"/>
        <w:spacing w:before="120" w:after="120" w:line="240" w:lineRule="auto"/>
        <w:jc w:val="both"/>
        <w:rPr>
          <w:rFonts w:ascii="Arial" w:hAnsi="Arial" w:cs="Arial"/>
          <w:sz w:val="20"/>
          <w:szCs w:val="20"/>
        </w:rPr>
      </w:pPr>
      <w:r w:rsidRPr="00696517">
        <w:rPr>
          <w:rFonts w:ascii="Arial" w:hAnsi="Arial" w:cs="Arial"/>
          <w:sz w:val="20"/>
          <w:szCs w:val="20"/>
        </w:rPr>
        <w:t>The Risk Management sub-system is responsible for monitoring the trade activities. This sub-system will look after maintaining, monitoring, and reporting restrictions and compliance related infor</w:t>
      </w:r>
      <w:r w:rsidR="00825F3B">
        <w:rPr>
          <w:rFonts w:ascii="Arial" w:hAnsi="Arial" w:cs="Arial"/>
          <w:sz w:val="20"/>
          <w:szCs w:val="20"/>
        </w:rPr>
        <w:t>mation about each account and custo</w:t>
      </w:r>
      <w:r w:rsidRPr="00696517">
        <w:rPr>
          <w:rFonts w:ascii="Arial" w:hAnsi="Arial" w:cs="Arial"/>
          <w:sz w:val="20"/>
          <w:szCs w:val="20"/>
        </w:rPr>
        <w:t>mer. It would interact with other sub-systems of Trade/Order Management to get relevant data (such as orders placed, trades executed, and security information) and to provide the appropriate output (such as trading limits reached, compliance breach, margin call etc.)</w:t>
      </w:r>
    </w:p>
    <w:p w:rsidR="00C332BB" w:rsidRDefault="00C332BB" w:rsidP="00C332BB">
      <w:pPr>
        <w:pStyle w:val="Heading3"/>
        <w:keepNext w:val="0"/>
        <w:tabs>
          <w:tab w:val="clear" w:pos="6444"/>
          <w:tab w:val="num" w:pos="540"/>
        </w:tabs>
        <w:spacing w:before="120" w:after="120" w:line="240" w:lineRule="atLeast"/>
        <w:ind w:left="0" w:firstLine="0"/>
        <w:jc w:val="both"/>
      </w:pPr>
      <w:r>
        <w:t>Performance Measurement</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To ensure that any portfolio performance evaluation should be objective and rational, it should be carried out subject to certain concrete paradigms.</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 xml:space="preserve">The first paradigm is that portfolio performance should always be measured with respect to the risks taken.  For, after all, there is a difference between generating 7 per cent return investing in treasury bills and generating 70 per cent investing in a </w:t>
      </w:r>
      <w:r w:rsidRPr="00B84102">
        <w:rPr>
          <w:rFonts w:ascii="Arial" w:hAnsi="Arial" w:cs="Arial"/>
          <w:bCs/>
          <w:iCs/>
          <w:sz w:val="20"/>
          <w:szCs w:val="20"/>
        </w:rPr>
        <w:t>fly by night scheme.</w:t>
      </w:r>
      <w:r w:rsidRPr="00B84102">
        <w:rPr>
          <w:rFonts w:ascii="Arial" w:hAnsi="Arial" w:cs="Arial"/>
          <w:sz w:val="20"/>
          <w:szCs w:val="20"/>
        </w:rPr>
        <w:t xml:space="preserve">  </w:t>
      </w:r>
    </w:p>
    <w:p w:rsidR="00C332BB" w:rsidRPr="002066AD"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Also, performance should be reckoned taking into account the circumstances and the restrictions.  During a period when stock market zooms by, say, 40 per cent, there is nothing spectacular if the stock component of a portfolio generates, say, 18 per cent.  On the other hand, if a similar return is generated when the secular market return is 3 per cent, then there is something to write home about the latter performance.</w:t>
      </w:r>
    </w:p>
    <w:p w:rsidR="00C332BB" w:rsidRPr="00B84102"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Various statistical measures like Value at Risk (</w:t>
      </w:r>
      <w:proofErr w:type="spellStart"/>
      <w:r w:rsidRPr="00B84102">
        <w:rPr>
          <w:rFonts w:ascii="Arial" w:hAnsi="Arial" w:cs="Arial"/>
          <w:sz w:val="20"/>
          <w:szCs w:val="20"/>
        </w:rPr>
        <w:t>V</w:t>
      </w:r>
      <w:r>
        <w:rPr>
          <w:rFonts w:ascii="Arial" w:hAnsi="Arial" w:cs="Arial"/>
          <w:sz w:val="20"/>
          <w:szCs w:val="20"/>
        </w:rPr>
        <w:t>a</w:t>
      </w:r>
      <w:r w:rsidRPr="00B84102">
        <w:rPr>
          <w:rFonts w:ascii="Arial" w:hAnsi="Arial" w:cs="Arial"/>
          <w:sz w:val="20"/>
          <w:szCs w:val="20"/>
        </w:rPr>
        <w:t>R</w:t>
      </w:r>
      <w:proofErr w:type="spellEnd"/>
      <w:r w:rsidRPr="00B84102">
        <w:rPr>
          <w:rFonts w:ascii="Arial" w:hAnsi="Arial" w:cs="Arial"/>
          <w:sz w:val="20"/>
          <w:szCs w:val="20"/>
        </w:rPr>
        <w:t>), risk adjusted returns etc. are used in order to determine the risk inherent in a portfolio at any particular point in time. Robust as they are, the above statistical measures do not convey much when seen in isolation.  Any performance evaluation exercise to be meaningful should use a comparative yardstick.  In this context, there are two ways to measure and compare the performance of the portfolio manager with a ‘reference point’.  Thus, the comparison could be with the market index or, for that matter, with a similar peer portfolio.</w:t>
      </w:r>
    </w:p>
    <w:p w:rsidR="00C332BB" w:rsidRPr="002066AD" w:rsidRDefault="00C332BB" w:rsidP="00C332BB">
      <w:pPr>
        <w:pStyle w:val="body"/>
        <w:spacing w:before="120" w:after="120" w:line="240" w:lineRule="auto"/>
        <w:jc w:val="both"/>
        <w:rPr>
          <w:rFonts w:ascii="Arial" w:hAnsi="Arial" w:cs="Arial"/>
          <w:sz w:val="20"/>
          <w:szCs w:val="20"/>
        </w:rPr>
      </w:pPr>
      <w:r w:rsidRPr="00B84102">
        <w:rPr>
          <w:rFonts w:ascii="Arial" w:hAnsi="Arial" w:cs="Arial"/>
          <w:sz w:val="20"/>
          <w:szCs w:val="20"/>
        </w:rPr>
        <w:t>The importance of portfolio evaluation stems from the fact that the markets are inherently volatile in nature and need active monitoring from a risk-return perspective identifying opportunities and challenges in any portfolio construct.</w:t>
      </w:r>
    </w:p>
    <w:p w:rsidR="00C332BB" w:rsidRDefault="00C332BB" w:rsidP="00C332BB">
      <w:pPr>
        <w:pStyle w:val="Heading3"/>
        <w:keepNext w:val="0"/>
        <w:tabs>
          <w:tab w:val="clear" w:pos="6444"/>
          <w:tab w:val="num" w:pos="540"/>
        </w:tabs>
        <w:spacing w:before="120" w:after="120" w:line="240" w:lineRule="atLeast"/>
        <w:ind w:left="0" w:firstLine="0"/>
        <w:jc w:val="both"/>
      </w:pPr>
      <w:r>
        <w:lastRenderedPageBreak/>
        <w:t>Reporting</w:t>
      </w:r>
    </w:p>
    <w:p w:rsidR="00C332BB" w:rsidRPr="00962C49" w:rsidRDefault="00C332BB" w:rsidP="00C332BB">
      <w:pPr>
        <w:pStyle w:val="body"/>
        <w:spacing w:before="120" w:after="120" w:line="240" w:lineRule="auto"/>
        <w:jc w:val="both"/>
        <w:rPr>
          <w:rFonts w:ascii="Arial" w:hAnsi="Arial" w:cs="Arial"/>
          <w:sz w:val="20"/>
          <w:szCs w:val="20"/>
        </w:rPr>
      </w:pPr>
      <w:r w:rsidRPr="00962C49">
        <w:rPr>
          <w:rFonts w:ascii="Arial" w:hAnsi="Arial" w:cs="Arial"/>
          <w:sz w:val="20"/>
          <w:szCs w:val="20"/>
        </w:rPr>
        <w:t xml:space="preserve">Being a fiduciary, it is the responsibility of the </w:t>
      </w:r>
      <w:r>
        <w:rPr>
          <w:rFonts w:ascii="Arial" w:hAnsi="Arial" w:cs="Arial"/>
          <w:sz w:val="20"/>
          <w:szCs w:val="20"/>
        </w:rPr>
        <w:t>Asset</w:t>
      </w:r>
      <w:r w:rsidRPr="00962C49">
        <w:rPr>
          <w:rFonts w:ascii="Arial" w:hAnsi="Arial" w:cs="Arial"/>
          <w:sz w:val="20"/>
          <w:szCs w:val="20"/>
        </w:rPr>
        <w:t xml:space="preserve"> Management firm to keep the clients informed about the performance of the portfolio from time to time.  In practice, from time to time, most of them send dime a dozen reports to their clients giving details of composite and decomposed returns generated by their specific portfolios.</w:t>
      </w:r>
    </w:p>
    <w:p w:rsidR="00C332BB" w:rsidRPr="00962C49" w:rsidRDefault="00C332BB" w:rsidP="00C332BB">
      <w:pPr>
        <w:pStyle w:val="body"/>
        <w:spacing w:before="120" w:after="120" w:line="240" w:lineRule="auto"/>
        <w:jc w:val="both"/>
        <w:rPr>
          <w:rFonts w:ascii="Arial" w:hAnsi="Arial" w:cs="Arial"/>
          <w:sz w:val="20"/>
          <w:szCs w:val="20"/>
        </w:rPr>
      </w:pPr>
      <w:r w:rsidRPr="00962C49">
        <w:rPr>
          <w:rFonts w:ascii="Arial" w:hAnsi="Arial" w:cs="Arial"/>
          <w:sz w:val="20"/>
          <w:szCs w:val="20"/>
        </w:rPr>
        <w:t>They also report details of annualized return, holding period return, dispersion of returns, portfolio risk measure, asset class wise return, performance attribution information, etc.  In respect of each asset class, there are drill-down reports made available to the client.  Nowadays reports are available to the clients through the Internet and can be accessed real-time from the place of client’s convenience.</w:t>
      </w:r>
    </w:p>
    <w:p w:rsidR="00C332BB" w:rsidRDefault="00C332BB" w:rsidP="00C332BB">
      <w:pPr>
        <w:pStyle w:val="body"/>
        <w:spacing w:before="120" w:after="120" w:line="240" w:lineRule="auto"/>
        <w:jc w:val="both"/>
        <w:rPr>
          <w:rFonts w:ascii="Arial" w:hAnsi="Arial" w:cs="Arial"/>
          <w:sz w:val="20"/>
          <w:szCs w:val="20"/>
        </w:rPr>
      </w:pPr>
      <w:r>
        <w:rPr>
          <w:rFonts w:ascii="Arial" w:hAnsi="Arial" w:cs="Arial"/>
          <w:sz w:val="20"/>
          <w:szCs w:val="20"/>
        </w:rPr>
        <w:t>Asset</w:t>
      </w:r>
      <w:r w:rsidRPr="00962C49">
        <w:rPr>
          <w:rFonts w:ascii="Arial" w:hAnsi="Arial" w:cs="Arial"/>
          <w:sz w:val="20"/>
          <w:szCs w:val="20"/>
        </w:rPr>
        <w:t xml:space="preserve"> Management firms are also required to do regulatory reporting. As already stated, the regulatory requirements in many of the </w:t>
      </w:r>
      <w:r>
        <w:rPr>
          <w:rFonts w:ascii="Arial" w:hAnsi="Arial" w:cs="Arial"/>
          <w:sz w:val="20"/>
          <w:szCs w:val="20"/>
        </w:rPr>
        <w:t>Asset</w:t>
      </w:r>
      <w:r w:rsidRPr="00962C49">
        <w:rPr>
          <w:rFonts w:ascii="Arial" w:hAnsi="Arial" w:cs="Arial"/>
          <w:sz w:val="20"/>
          <w:szCs w:val="20"/>
        </w:rPr>
        <w:t xml:space="preserve"> Management locations are not as stringent in bigger economies.</w:t>
      </w:r>
    </w:p>
    <w:p w:rsidR="00C332BB" w:rsidRDefault="00C332BB" w:rsidP="00C332BB">
      <w:pPr>
        <w:pStyle w:val="Heading3"/>
        <w:keepNext w:val="0"/>
        <w:tabs>
          <w:tab w:val="clear" w:pos="6444"/>
          <w:tab w:val="num" w:pos="540"/>
        </w:tabs>
        <w:spacing w:before="120" w:after="120" w:line="240" w:lineRule="atLeast"/>
        <w:ind w:left="0" w:firstLine="0"/>
        <w:jc w:val="both"/>
      </w:pPr>
      <w:r>
        <w:t>Data Management</w:t>
      </w:r>
    </w:p>
    <w:p w:rsidR="00C332BB" w:rsidRPr="00696517" w:rsidRDefault="00C332BB" w:rsidP="00C332BB">
      <w:pPr>
        <w:pStyle w:val="body"/>
        <w:spacing w:before="120" w:after="120" w:line="240" w:lineRule="auto"/>
        <w:jc w:val="both"/>
        <w:rPr>
          <w:rFonts w:ascii="Arial" w:hAnsi="Arial" w:cs="Arial"/>
          <w:sz w:val="20"/>
          <w:szCs w:val="20"/>
        </w:rPr>
      </w:pPr>
      <w:r w:rsidRPr="00696517">
        <w:rPr>
          <w:rFonts w:ascii="Arial" w:hAnsi="Arial" w:cs="Arial"/>
          <w:sz w:val="20"/>
          <w:szCs w:val="20"/>
        </w:rPr>
        <w:t xml:space="preserve">The Data Management subsystem is responsible for creation and maintenance of data repository for Trade/Order Management. It is responsible for the processes involving setup or capture of the reference data entities such as Users, customers, </w:t>
      </w:r>
      <w:proofErr w:type="spellStart"/>
      <w:r w:rsidRPr="00696517">
        <w:rPr>
          <w:rFonts w:ascii="Arial" w:hAnsi="Arial" w:cs="Arial"/>
          <w:sz w:val="20"/>
          <w:szCs w:val="20"/>
        </w:rPr>
        <w:t>authorisation</w:t>
      </w:r>
      <w:proofErr w:type="spellEnd"/>
      <w:r w:rsidRPr="00696517">
        <w:rPr>
          <w:rFonts w:ascii="Arial" w:hAnsi="Arial" w:cs="Arial"/>
          <w:sz w:val="20"/>
          <w:szCs w:val="20"/>
        </w:rPr>
        <w:t xml:space="preserve"> and trading rules, security, market data and so on.</w:t>
      </w:r>
    </w:p>
    <w:p w:rsidR="00C332BB" w:rsidRDefault="00C332BB" w:rsidP="00C332BB">
      <w:pPr>
        <w:pStyle w:val="Heading3"/>
        <w:keepNext w:val="0"/>
        <w:tabs>
          <w:tab w:val="clear" w:pos="6444"/>
          <w:tab w:val="num" w:pos="540"/>
        </w:tabs>
        <w:spacing w:before="120" w:after="120" w:line="240" w:lineRule="atLeast"/>
        <w:ind w:left="0" w:firstLine="0"/>
        <w:jc w:val="both"/>
      </w:pPr>
      <w:r>
        <w:t xml:space="preserve">Fees &amp; Billing </w:t>
      </w:r>
    </w:p>
    <w:p w:rsidR="00C332BB" w:rsidRPr="00696517" w:rsidRDefault="00C332BB" w:rsidP="00C332BB">
      <w:pPr>
        <w:pStyle w:val="body"/>
        <w:spacing w:before="120" w:after="120" w:line="240" w:lineRule="auto"/>
        <w:rPr>
          <w:rFonts w:ascii="Arial" w:hAnsi="Arial" w:cs="Arial"/>
          <w:sz w:val="20"/>
          <w:szCs w:val="20"/>
        </w:rPr>
      </w:pPr>
      <w:r w:rsidRPr="00696517">
        <w:rPr>
          <w:rFonts w:ascii="Arial" w:hAnsi="Arial" w:cs="Arial"/>
          <w:sz w:val="20"/>
          <w:szCs w:val="20"/>
        </w:rPr>
        <w:t xml:space="preserve">The fees &amp; billing module </w:t>
      </w:r>
      <w:r>
        <w:rPr>
          <w:rFonts w:ascii="Arial" w:hAnsi="Arial" w:cs="Arial"/>
          <w:sz w:val="20"/>
          <w:szCs w:val="20"/>
        </w:rPr>
        <w:t xml:space="preserve">computes the applicable fees &amp; charges </w:t>
      </w:r>
      <w:r w:rsidR="00825F3B">
        <w:rPr>
          <w:rFonts w:ascii="Arial" w:hAnsi="Arial" w:cs="Arial"/>
          <w:sz w:val="20"/>
          <w:szCs w:val="20"/>
        </w:rPr>
        <w:t xml:space="preserve">which is </w:t>
      </w:r>
      <w:r>
        <w:rPr>
          <w:rFonts w:ascii="Arial" w:hAnsi="Arial" w:cs="Arial"/>
          <w:sz w:val="20"/>
          <w:szCs w:val="20"/>
        </w:rPr>
        <w:t xml:space="preserve">a </w:t>
      </w:r>
      <w:r w:rsidRPr="00696517">
        <w:rPr>
          <w:rFonts w:ascii="Arial" w:hAnsi="Arial" w:cs="Arial"/>
          <w:sz w:val="20"/>
          <w:szCs w:val="20"/>
        </w:rPr>
        <w:t xml:space="preserve">significant </w:t>
      </w:r>
      <w:r>
        <w:rPr>
          <w:rFonts w:ascii="Arial" w:hAnsi="Arial" w:cs="Arial"/>
          <w:sz w:val="20"/>
          <w:szCs w:val="20"/>
        </w:rPr>
        <w:t xml:space="preserve">revenue component for the asset &amp; wealth management firms. The charges &amp; fees module is tightly coupled to the various systems </w:t>
      </w:r>
      <w:r w:rsidR="00825F3B">
        <w:rPr>
          <w:rFonts w:ascii="Arial" w:hAnsi="Arial" w:cs="Arial"/>
          <w:sz w:val="20"/>
          <w:szCs w:val="20"/>
        </w:rPr>
        <w:t>of the Front</w:t>
      </w:r>
      <w:r>
        <w:rPr>
          <w:rFonts w:ascii="Arial" w:hAnsi="Arial" w:cs="Arial"/>
          <w:sz w:val="20"/>
          <w:szCs w:val="20"/>
        </w:rPr>
        <w:t xml:space="preserve">, Middle &amp; Back office to accurately charge </w:t>
      </w:r>
      <w:r w:rsidR="00825F3B">
        <w:rPr>
          <w:rFonts w:ascii="Arial" w:hAnsi="Arial" w:cs="Arial"/>
          <w:sz w:val="20"/>
          <w:szCs w:val="20"/>
        </w:rPr>
        <w:t>the portfolio</w:t>
      </w:r>
      <w:r>
        <w:rPr>
          <w:rFonts w:ascii="Arial" w:hAnsi="Arial" w:cs="Arial"/>
          <w:sz w:val="20"/>
          <w:szCs w:val="20"/>
        </w:rPr>
        <w:t xml:space="preserve"> </w:t>
      </w:r>
      <w:r w:rsidR="00825F3B">
        <w:rPr>
          <w:rFonts w:ascii="Arial" w:hAnsi="Arial" w:cs="Arial"/>
          <w:sz w:val="20"/>
          <w:szCs w:val="20"/>
        </w:rPr>
        <w:t xml:space="preserve">transactions </w:t>
      </w:r>
      <w:r>
        <w:rPr>
          <w:rFonts w:ascii="Arial" w:hAnsi="Arial" w:cs="Arial"/>
          <w:sz w:val="20"/>
          <w:szCs w:val="20"/>
        </w:rPr>
        <w:t>&amp;</w:t>
      </w:r>
      <w:r w:rsidR="00825F3B">
        <w:rPr>
          <w:rFonts w:ascii="Arial" w:hAnsi="Arial" w:cs="Arial"/>
          <w:sz w:val="20"/>
          <w:szCs w:val="20"/>
        </w:rPr>
        <w:t xml:space="preserve"> aggregates these to the </w:t>
      </w:r>
      <w:r>
        <w:rPr>
          <w:rFonts w:ascii="Arial" w:hAnsi="Arial" w:cs="Arial"/>
          <w:sz w:val="20"/>
          <w:szCs w:val="20"/>
        </w:rPr>
        <w:t>client</w:t>
      </w:r>
      <w:r w:rsidR="00825F3B">
        <w:rPr>
          <w:rFonts w:ascii="Arial" w:hAnsi="Arial" w:cs="Arial"/>
          <w:sz w:val="20"/>
          <w:szCs w:val="20"/>
        </w:rPr>
        <w:t xml:space="preserve"> level.</w:t>
      </w:r>
    </w:p>
    <w:p w:rsidR="00C332BB" w:rsidRDefault="00C332BB" w:rsidP="00C332BB">
      <w:pPr>
        <w:pStyle w:val="Heading3"/>
        <w:keepNext w:val="0"/>
        <w:tabs>
          <w:tab w:val="clear" w:pos="6444"/>
          <w:tab w:val="num" w:pos="540"/>
        </w:tabs>
        <w:spacing w:before="120" w:after="120" w:line="240" w:lineRule="atLeast"/>
        <w:ind w:left="0" w:firstLine="0"/>
        <w:jc w:val="both"/>
      </w:pPr>
      <w:r>
        <w:t xml:space="preserve">Portfolio Accounting </w:t>
      </w:r>
    </w:p>
    <w:p w:rsidR="00C332BB" w:rsidRDefault="00C332BB" w:rsidP="00C332BB">
      <w:pPr>
        <w:jc w:val="both"/>
        <w:rPr>
          <w:rFonts w:ascii="Arial" w:hAnsi="Arial" w:cs="Arial"/>
          <w:sz w:val="20"/>
        </w:rPr>
      </w:pPr>
      <w:r w:rsidRPr="00C332BB">
        <w:rPr>
          <w:rFonts w:ascii="Arial" w:hAnsi="Arial" w:cs="Arial"/>
          <w:sz w:val="20"/>
          <w:szCs w:val="20"/>
        </w:rPr>
        <w:t>Timely review of current positions requires a reliable portfolio accounting system. Such a system must have facilities for timely automated reconciliation of holdings, trade affirmation, and settlement. Tight integration of front-and back-office systems improves execution of investment strategies and reduces overhead.</w:t>
      </w:r>
      <w:r w:rsidRPr="00C332BB">
        <w:rPr>
          <w:rFonts w:ascii="Arial" w:hAnsi="Arial" w:cs="Arial"/>
          <w:sz w:val="20"/>
        </w:rPr>
        <w:t xml:space="preserve"> To effectively provide all the reporting and analysis, the portfolio accounting system must take minimal transactional data from the trading system, automatically pull data from external sources, and compute accounting, performance and compliance, and other data as well as automatically generate custom reports using either electronic or paper form.</w:t>
      </w:r>
    </w:p>
    <w:p w:rsidR="00563923" w:rsidRPr="00C332BB" w:rsidRDefault="00563923" w:rsidP="00C332BB">
      <w:pPr>
        <w:jc w:val="both"/>
        <w:rPr>
          <w:rFonts w:ascii="Arial" w:hAnsi="Arial" w:cs="Arial"/>
          <w:sz w:val="20"/>
        </w:rPr>
      </w:pPr>
    </w:p>
    <w:p w:rsidR="00311F11" w:rsidRPr="004838C2" w:rsidRDefault="00311F11" w:rsidP="00311F11">
      <w:pPr>
        <w:pStyle w:val="Heading2"/>
        <w:keepNext w:val="0"/>
        <w:spacing w:before="120" w:after="120" w:line="240" w:lineRule="atLeast"/>
        <w:ind w:left="0" w:firstLine="0"/>
        <w:jc w:val="both"/>
      </w:pPr>
      <w:bookmarkStart w:id="38" w:name="_Toc226530519"/>
      <w:r w:rsidRPr="004838C2">
        <w:t>Areas of Service</w:t>
      </w:r>
      <w:bookmarkEnd w:id="38"/>
    </w:p>
    <w:p w:rsidR="00311F11" w:rsidRDefault="00311F11" w:rsidP="00311F11">
      <w:pPr>
        <w:pStyle w:val="body"/>
        <w:spacing w:before="120" w:after="120" w:line="240" w:lineRule="auto"/>
        <w:jc w:val="both"/>
        <w:rPr>
          <w:rFonts w:ascii="Arial" w:hAnsi="Arial" w:cs="Arial"/>
          <w:sz w:val="20"/>
          <w:szCs w:val="20"/>
        </w:rPr>
      </w:pPr>
      <w:r>
        <w:rPr>
          <w:rFonts w:ascii="Arial" w:hAnsi="Arial" w:cs="Arial"/>
          <w:sz w:val="20"/>
          <w:szCs w:val="20"/>
        </w:rPr>
        <w:t>It is important to note here that it is not necessary for an investment management firm to execute all of the processes shown in diagram 3-2 and described in the previous section itself. In fact, it is rare to find a firm that does all of this itself, because:</w:t>
      </w:r>
    </w:p>
    <w:p w:rsidR="00311F11" w:rsidRDefault="00311F11" w:rsidP="00311F11">
      <w:pPr>
        <w:pStyle w:val="body"/>
        <w:numPr>
          <w:ilvl w:val="1"/>
          <w:numId w:val="35"/>
        </w:numPr>
        <w:spacing w:before="120" w:after="120" w:line="240" w:lineRule="auto"/>
        <w:jc w:val="both"/>
        <w:rPr>
          <w:rFonts w:ascii="Arial" w:hAnsi="Arial" w:cs="Arial"/>
          <w:sz w:val="20"/>
          <w:szCs w:val="20"/>
        </w:rPr>
      </w:pPr>
      <w:r>
        <w:rPr>
          <w:rFonts w:ascii="Arial" w:hAnsi="Arial" w:cs="Arial"/>
          <w:sz w:val="20"/>
          <w:szCs w:val="20"/>
        </w:rPr>
        <w:t xml:space="preserve">There is a variety of business models that firms explore: some may not offer advice (i.e. financial planning), some may offer only advice. Some firms may decide to </w:t>
      </w:r>
      <w:r>
        <w:rPr>
          <w:rFonts w:ascii="Arial" w:hAnsi="Arial" w:cs="Arial"/>
          <w:sz w:val="20"/>
          <w:szCs w:val="20"/>
        </w:rPr>
        <w:lastRenderedPageBreak/>
        <w:t xml:space="preserve">specialize in one or more of the functions such as research or financial planning or accounting and reporting. </w:t>
      </w:r>
    </w:p>
    <w:p w:rsidR="00311F11" w:rsidRDefault="00311F11" w:rsidP="00311F11">
      <w:pPr>
        <w:pStyle w:val="body"/>
        <w:numPr>
          <w:ilvl w:val="1"/>
          <w:numId w:val="35"/>
        </w:numPr>
        <w:spacing w:before="120" w:after="120" w:line="240" w:lineRule="auto"/>
        <w:jc w:val="both"/>
        <w:rPr>
          <w:rFonts w:ascii="Arial" w:hAnsi="Arial" w:cs="Arial"/>
          <w:sz w:val="20"/>
          <w:szCs w:val="20"/>
        </w:rPr>
      </w:pPr>
      <w:r>
        <w:rPr>
          <w:rFonts w:ascii="Arial" w:hAnsi="Arial" w:cs="Arial"/>
          <w:sz w:val="20"/>
          <w:szCs w:val="20"/>
        </w:rPr>
        <w:t>Many customers – retail as well as institutional – decide their own asset allocation at least to some extent or take the help of an independent financial advisor before approaching an investment management firm or buying into an investment fund.</w:t>
      </w:r>
    </w:p>
    <w:p w:rsidR="00311F11" w:rsidRDefault="00311F11" w:rsidP="00311F11">
      <w:pPr>
        <w:pStyle w:val="body"/>
        <w:numPr>
          <w:ilvl w:val="1"/>
          <w:numId w:val="35"/>
        </w:numPr>
        <w:spacing w:before="120" w:after="120" w:line="240" w:lineRule="auto"/>
        <w:jc w:val="both"/>
        <w:rPr>
          <w:rFonts w:ascii="Arial" w:hAnsi="Arial" w:cs="Arial"/>
          <w:sz w:val="20"/>
          <w:szCs w:val="20"/>
        </w:rPr>
      </w:pPr>
      <w:r>
        <w:rPr>
          <w:rFonts w:ascii="Arial" w:hAnsi="Arial" w:cs="Arial"/>
          <w:sz w:val="20"/>
          <w:szCs w:val="20"/>
        </w:rPr>
        <w:t>Many firms outsource activities that they consider as “non-core” to focus on their area of expertise. For example, many investment management firms outsource accounting function; many firms buy research report from specialist research firms, etc.</w:t>
      </w:r>
    </w:p>
    <w:p w:rsidR="00311F11" w:rsidRPr="009413F6" w:rsidRDefault="00311F11" w:rsidP="00311F11">
      <w:pPr>
        <w:spacing w:before="120" w:after="120"/>
        <w:jc w:val="both"/>
        <w:rPr>
          <w:rFonts w:ascii="Arial" w:hAnsi="Arial" w:cs="Arial"/>
          <w:sz w:val="20"/>
          <w:szCs w:val="20"/>
        </w:rPr>
      </w:pPr>
      <w:r w:rsidRPr="009413F6">
        <w:rPr>
          <w:rFonts w:ascii="Arial" w:hAnsi="Arial" w:cs="Arial"/>
          <w:sz w:val="20"/>
          <w:szCs w:val="20"/>
        </w:rPr>
        <w:t>The activities in an Investment Management company can be divided into three areas of service:</w:t>
      </w:r>
    </w:p>
    <w:p w:rsidR="00311F11" w:rsidRPr="009413F6" w:rsidRDefault="00311F11" w:rsidP="00311F11">
      <w:pPr>
        <w:pStyle w:val="body"/>
        <w:numPr>
          <w:ilvl w:val="0"/>
          <w:numId w:val="13"/>
        </w:numPr>
        <w:spacing w:before="120" w:after="120" w:line="240" w:lineRule="auto"/>
        <w:ind w:left="0" w:firstLine="0"/>
        <w:jc w:val="both"/>
        <w:rPr>
          <w:rFonts w:ascii="Arial" w:hAnsi="Arial" w:cs="Arial"/>
          <w:sz w:val="20"/>
          <w:szCs w:val="20"/>
        </w:rPr>
      </w:pPr>
      <w:r>
        <w:rPr>
          <w:rFonts w:ascii="Arial" w:hAnsi="Arial" w:cs="Arial"/>
          <w:sz w:val="20"/>
          <w:szCs w:val="20"/>
        </w:rPr>
        <w:t xml:space="preserve">Manufacture - </w:t>
      </w:r>
      <w:r w:rsidRPr="009413F6">
        <w:rPr>
          <w:rFonts w:ascii="Arial" w:hAnsi="Arial" w:cs="Arial"/>
          <w:sz w:val="20"/>
          <w:szCs w:val="20"/>
        </w:rPr>
        <w:t>Generation and execution of investment advice</w:t>
      </w:r>
    </w:p>
    <w:p w:rsidR="00311F11" w:rsidRPr="009413F6" w:rsidRDefault="00311F11" w:rsidP="00311F11">
      <w:pPr>
        <w:pStyle w:val="body"/>
        <w:numPr>
          <w:ilvl w:val="0"/>
          <w:numId w:val="13"/>
        </w:numPr>
        <w:spacing w:before="120" w:after="120" w:line="240" w:lineRule="auto"/>
        <w:ind w:left="0" w:firstLine="0"/>
        <w:jc w:val="both"/>
        <w:rPr>
          <w:rFonts w:ascii="Arial" w:hAnsi="Arial" w:cs="Arial"/>
          <w:sz w:val="20"/>
          <w:szCs w:val="20"/>
        </w:rPr>
      </w:pPr>
      <w:r w:rsidRPr="009413F6">
        <w:rPr>
          <w:rFonts w:ascii="Arial" w:hAnsi="Arial" w:cs="Arial"/>
          <w:sz w:val="20"/>
          <w:szCs w:val="20"/>
        </w:rPr>
        <w:t>Distribution</w:t>
      </w:r>
      <w:r>
        <w:rPr>
          <w:rFonts w:ascii="Arial" w:hAnsi="Arial" w:cs="Arial"/>
          <w:sz w:val="20"/>
          <w:szCs w:val="20"/>
        </w:rPr>
        <w:t xml:space="preserve"> - T</w:t>
      </w:r>
      <w:r w:rsidRPr="009413F6">
        <w:rPr>
          <w:rFonts w:ascii="Arial" w:hAnsi="Arial" w:cs="Arial"/>
          <w:sz w:val="20"/>
          <w:szCs w:val="20"/>
        </w:rPr>
        <w:t>he packaging and selling of investment advice</w:t>
      </w:r>
    </w:p>
    <w:p w:rsidR="00311F11" w:rsidRPr="000C4ACF" w:rsidRDefault="00311F11" w:rsidP="00311F11">
      <w:pPr>
        <w:pStyle w:val="body"/>
        <w:numPr>
          <w:ilvl w:val="0"/>
          <w:numId w:val="13"/>
        </w:numPr>
        <w:spacing w:before="120" w:after="120" w:line="240" w:lineRule="auto"/>
        <w:ind w:left="0" w:firstLine="0"/>
        <w:jc w:val="both"/>
        <w:rPr>
          <w:rFonts w:ascii="Arial" w:hAnsi="Arial" w:cs="Arial"/>
          <w:sz w:val="20"/>
          <w:szCs w:val="20"/>
        </w:rPr>
      </w:pPr>
      <w:r w:rsidRPr="009413F6">
        <w:rPr>
          <w:rFonts w:ascii="Arial" w:hAnsi="Arial" w:cs="Arial"/>
          <w:sz w:val="20"/>
          <w:szCs w:val="20"/>
        </w:rPr>
        <w:t>Support</w:t>
      </w:r>
      <w:r>
        <w:rPr>
          <w:rFonts w:ascii="Arial" w:hAnsi="Arial" w:cs="Arial"/>
          <w:sz w:val="20"/>
          <w:szCs w:val="20"/>
        </w:rPr>
        <w:t xml:space="preserve"> - </w:t>
      </w:r>
      <w:r w:rsidRPr="009413F6">
        <w:rPr>
          <w:rFonts w:ascii="Arial" w:hAnsi="Arial" w:cs="Arial"/>
          <w:sz w:val="20"/>
          <w:szCs w:val="20"/>
        </w:rPr>
        <w:t>Enabling manufacture and distribution of investment advice</w:t>
      </w:r>
    </w:p>
    <w:p w:rsidR="00311F11" w:rsidRPr="008D2BF6" w:rsidRDefault="00311F11" w:rsidP="00311F11">
      <w:pPr>
        <w:pStyle w:val="Heading3"/>
        <w:keepNext w:val="0"/>
        <w:tabs>
          <w:tab w:val="clear" w:pos="6444"/>
          <w:tab w:val="num" w:pos="540"/>
        </w:tabs>
        <w:spacing w:before="120" w:after="120" w:line="240" w:lineRule="atLeast"/>
        <w:ind w:left="0" w:firstLine="0"/>
        <w:jc w:val="both"/>
      </w:pPr>
      <w:r w:rsidRPr="008D2BF6">
        <w:t>Manufacture</w:t>
      </w:r>
    </w:p>
    <w:p w:rsidR="00311F11" w:rsidRPr="000329C1" w:rsidRDefault="00311F11" w:rsidP="00311F11">
      <w:pPr>
        <w:pStyle w:val="Heading4"/>
        <w:keepNext w:val="0"/>
        <w:spacing w:before="120" w:after="120" w:line="240" w:lineRule="atLeast"/>
        <w:jc w:val="both"/>
        <w:rPr>
          <w:rFonts w:cs="Arial"/>
          <w:b/>
          <w:sz w:val="22"/>
          <w:szCs w:val="22"/>
        </w:rPr>
      </w:pPr>
      <w:r w:rsidRPr="000329C1">
        <w:rPr>
          <w:rFonts w:cs="Arial"/>
          <w:b/>
          <w:sz w:val="22"/>
          <w:szCs w:val="22"/>
        </w:rPr>
        <w:t>Product Management</w:t>
      </w:r>
    </w:p>
    <w:p w:rsidR="00311F11" w:rsidRPr="000C4ACF" w:rsidRDefault="00311F11" w:rsidP="00311F11">
      <w:pPr>
        <w:pStyle w:val="body"/>
        <w:spacing w:before="120" w:after="120" w:line="240" w:lineRule="auto"/>
        <w:jc w:val="both"/>
        <w:rPr>
          <w:rFonts w:ascii="Arial" w:hAnsi="Arial" w:cs="Arial"/>
          <w:sz w:val="20"/>
          <w:szCs w:val="20"/>
        </w:rPr>
      </w:pPr>
      <w:r>
        <w:rPr>
          <w:rFonts w:ascii="Arial" w:hAnsi="Arial" w:cs="Arial"/>
          <w:sz w:val="20"/>
          <w:szCs w:val="20"/>
        </w:rPr>
        <w:t>The product management function will devise different products (such as “large-cap value fund”, “high yield debt fund”) for various segments of customers. A specific product will suit customers with similar risk profiles and return expectations.</w:t>
      </w:r>
      <w:r w:rsidRPr="000C4ACF">
        <w:rPr>
          <w:rFonts w:ascii="Arial" w:hAnsi="Arial" w:cs="Arial"/>
          <w:sz w:val="20"/>
          <w:szCs w:val="20"/>
        </w:rPr>
        <w:t xml:space="preserve"> </w:t>
      </w:r>
    </w:p>
    <w:p w:rsidR="00311F11" w:rsidRPr="009413F6" w:rsidRDefault="00311F11" w:rsidP="00311F11">
      <w:pPr>
        <w:spacing w:before="120" w:after="120"/>
        <w:jc w:val="both"/>
        <w:rPr>
          <w:rFonts w:ascii="Arial" w:hAnsi="Arial" w:cs="Arial"/>
          <w:sz w:val="20"/>
          <w:szCs w:val="20"/>
        </w:rPr>
      </w:pPr>
      <w:r w:rsidRPr="009413F6">
        <w:rPr>
          <w:rFonts w:ascii="Arial" w:hAnsi="Arial" w:cs="Arial"/>
          <w:sz w:val="20"/>
          <w:szCs w:val="20"/>
        </w:rPr>
        <w:t>The manufacture of investment advice consists of devising and execution of investment strategies. Investment strategies are made by matching the investors’ risk profile and return expectations with the risk-return characteristics of assets. Execution happens by means of trading, i.e. buying and selling of assets or derivatives on the assets.</w:t>
      </w:r>
    </w:p>
    <w:p w:rsidR="00311F11" w:rsidRPr="009413F6" w:rsidRDefault="00311F11" w:rsidP="00311F11">
      <w:pPr>
        <w:spacing w:before="120" w:after="120"/>
        <w:jc w:val="both"/>
        <w:rPr>
          <w:rFonts w:ascii="Arial" w:hAnsi="Arial" w:cs="Arial"/>
          <w:sz w:val="20"/>
          <w:szCs w:val="20"/>
        </w:rPr>
      </w:pPr>
      <w:r w:rsidRPr="009413F6">
        <w:rPr>
          <w:rFonts w:ascii="Arial" w:hAnsi="Arial" w:cs="Arial"/>
          <w:sz w:val="20"/>
          <w:szCs w:val="20"/>
        </w:rPr>
        <w:t>The “Manufacture” function is made up of the following sub-functions:</w:t>
      </w:r>
    </w:p>
    <w:p w:rsidR="00311F11" w:rsidRPr="000329C1" w:rsidRDefault="00311F11" w:rsidP="00311F11">
      <w:pPr>
        <w:pStyle w:val="Heading4"/>
        <w:keepNext w:val="0"/>
        <w:spacing w:before="120" w:after="120" w:line="240" w:lineRule="atLeast"/>
        <w:jc w:val="both"/>
        <w:rPr>
          <w:rFonts w:cs="Arial"/>
          <w:b/>
          <w:sz w:val="22"/>
          <w:szCs w:val="22"/>
        </w:rPr>
      </w:pPr>
      <w:r w:rsidRPr="000329C1">
        <w:rPr>
          <w:rFonts w:cs="Arial"/>
          <w:b/>
          <w:sz w:val="22"/>
          <w:szCs w:val="22"/>
        </w:rPr>
        <w:t>Devising of Investment Strategy</w:t>
      </w:r>
    </w:p>
    <w:p w:rsidR="00311F11" w:rsidRPr="00E168FA" w:rsidRDefault="00311F11" w:rsidP="00311F11">
      <w:pPr>
        <w:numPr>
          <w:ilvl w:val="0"/>
          <w:numId w:val="42"/>
        </w:numPr>
        <w:spacing w:before="120" w:after="120"/>
        <w:jc w:val="both"/>
      </w:pPr>
      <w:r w:rsidRPr="00E168FA">
        <w:rPr>
          <w:rFonts w:ascii="Arial" w:hAnsi="Arial" w:cs="Arial"/>
          <w:sz w:val="20"/>
          <w:szCs w:val="20"/>
        </w:rPr>
        <w:t xml:space="preserve">Creation and delineation of investment style: The choice set of the investment style of a fund is determined by its Line of Business and in a given line of business, by the firm’s vision and mission. </w:t>
      </w:r>
    </w:p>
    <w:p w:rsidR="00311F11" w:rsidRPr="00E168FA" w:rsidRDefault="00311F11" w:rsidP="00311F11">
      <w:pPr>
        <w:numPr>
          <w:ilvl w:val="0"/>
          <w:numId w:val="42"/>
        </w:numPr>
        <w:spacing w:before="120" w:after="120"/>
        <w:jc w:val="both"/>
        <w:rPr>
          <w:rFonts w:ascii="Arial" w:hAnsi="Arial" w:cs="Arial"/>
          <w:sz w:val="20"/>
          <w:szCs w:val="20"/>
        </w:rPr>
      </w:pPr>
      <w:r w:rsidRPr="00E168FA">
        <w:rPr>
          <w:rFonts w:ascii="Arial" w:hAnsi="Arial" w:cs="Arial"/>
          <w:sz w:val="20"/>
          <w:szCs w:val="20"/>
        </w:rPr>
        <w:t xml:space="preserve">Devising product level strategy: Investment managers offer different products (like various “schemes” of a mutual fund or different “plans” in a pension fund) to satisfy the differing risk profiles of investors. Product-level strategy will change based on the return expectations being set in the offer document and on the timing and amounts of cash outflows </w:t>
      </w:r>
    </w:p>
    <w:p w:rsidR="00311F11" w:rsidRPr="000329C1" w:rsidRDefault="00311F11" w:rsidP="00311F11">
      <w:pPr>
        <w:pStyle w:val="Heading4"/>
        <w:keepNext w:val="0"/>
        <w:spacing w:before="120" w:after="120" w:line="240" w:lineRule="atLeast"/>
        <w:jc w:val="both"/>
        <w:rPr>
          <w:rFonts w:cs="Arial"/>
          <w:b/>
          <w:sz w:val="22"/>
          <w:szCs w:val="22"/>
        </w:rPr>
      </w:pPr>
      <w:r w:rsidRPr="000329C1">
        <w:rPr>
          <w:rFonts w:cs="Arial"/>
          <w:b/>
          <w:sz w:val="22"/>
          <w:szCs w:val="22"/>
        </w:rPr>
        <w:t>Assessment and Fund Allocation</w:t>
      </w:r>
    </w:p>
    <w:p w:rsidR="00311F11" w:rsidRPr="00E168FA" w:rsidRDefault="00311F11" w:rsidP="00311F11">
      <w:pPr>
        <w:numPr>
          <w:ilvl w:val="0"/>
          <w:numId w:val="42"/>
        </w:numPr>
        <w:spacing w:before="120" w:after="120"/>
        <w:jc w:val="both"/>
        <w:rPr>
          <w:rFonts w:ascii="Arial" w:hAnsi="Arial" w:cs="Arial"/>
          <w:sz w:val="20"/>
          <w:szCs w:val="20"/>
        </w:rPr>
      </w:pPr>
      <w:r w:rsidRPr="00E168FA">
        <w:rPr>
          <w:rFonts w:ascii="Arial" w:hAnsi="Arial" w:cs="Arial"/>
          <w:sz w:val="20"/>
          <w:szCs w:val="20"/>
        </w:rPr>
        <w:t>Economic analysis: Economy moves in cycles (or more accurately spirals, as there is an underlying secular uptrend or downtrend as well). All asset classes in an economy are affected by these secular and cyclical trends. Therefore, the Investment Managers have a perform economic analysis before they make any decision on asset allocation</w:t>
      </w:r>
    </w:p>
    <w:p w:rsidR="00311F11" w:rsidRPr="00E168FA" w:rsidRDefault="00311F11" w:rsidP="00311F11">
      <w:pPr>
        <w:numPr>
          <w:ilvl w:val="0"/>
          <w:numId w:val="42"/>
        </w:numPr>
        <w:spacing w:before="120" w:after="120"/>
        <w:jc w:val="both"/>
        <w:rPr>
          <w:rFonts w:ascii="Arial" w:hAnsi="Arial" w:cs="Arial"/>
          <w:sz w:val="20"/>
          <w:szCs w:val="20"/>
        </w:rPr>
      </w:pPr>
      <w:r w:rsidRPr="00E168FA">
        <w:rPr>
          <w:rFonts w:ascii="Arial" w:hAnsi="Arial" w:cs="Arial"/>
          <w:sz w:val="20"/>
          <w:szCs w:val="20"/>
        </w:rPr>
        <w:t>Research: The Investment Managers have to understand the risks underlying different investment options and their return profiles. The larger investment management setups will have their own research departments. In addition, they will buy research from sell-side research firms.</w:t>
      </w:r>
    </w:p>
    <w:p w:rsidR="00311F11" w:rsidRPr="00E168FA" w:rsidRDefault="00311F11" w:rsidP="00311F11">
      <w:pPr>
        <w:numPr>
          <w:ilvl w:val="0"/>
          <w:numId w:val="42"/>
        </w:numPr>
        <w:spacing w:before="120" w:after="120"/>
        <w:jc w:val="both"/>
        <w:rPr>
          <w:rFonts w:ascii="Arial" w:hAnsi="Arial" w:cs="Arial"/>
          <w:sz w:val="20"/>
          <w:szCs w:val="20"/>
        </w:rPr>
      </w:pPr>
      <w:r w:rsidRPr="00E168FA">
        <w:rPr>
          <w:rFonts w:ascii="Arial" w:hAnsi="Arial" w:cs="Arial"/>
          <w:sz w:val="20"/>
          <w:szCs w:val="20"/>
        </w:rPr>
        <w:t xml:space="preserve">Asset Allocation: This is the most important step in the “Manufacture” function, as it has been observed that the correct asset allocation is the most important determinant of investment returns. In this step, the investment managers will allocate funds to different </w:t>
      </w:r>
      <w:r w:rsidRPr="00E168FA">
        <w:rPr>
          <w:rFonts w:ascii="Arial" w:hAnsi="Arial" w:cs="Arial"/>
          <w:sz w:val="20"/>
          <w:szCs w:val="20"/>
        </w:rPr>
        <w:lastRenderedPageBreak/>
        <w:t>asset classes such as equities, debt, commodities, cash, currencies, alternative investments, and different hedging instruments.</w:t>
      </w:r>
    </w:p>
    <w:p w:rsidR="00311F11" w:rsidRPr="00E168FA" w:rsidRDefault="00311F11" w:rsidP="00311F11">
      <w:pPr>
        <w:numPr>
          <w:ilvl w:val="0"/>
          <w:numId w:val="42"/>
        </w:numPr>
        <w:spacing w:before="120" w:after="120"/>
        <w:jc w:val="both"/>
        <w:rPr>
          <w:rFonts w:ascii="Arial" w:hAnsi="Arial" w:cs="Arial"/>
          <w:sz w:val="20"/>
          <w:szCs w:val="20"/>
        </w:rPr>
      </w:pPr>
      <w:r w:rsidRPr="00E168FA">
        <w:rPr>
          <w:rFonts w:ascii="Arial" w:hAnsi="Arial" w:cs="Arial"/>
          <w:sz w:val="20"/>
          <w:szCs w:val="20"/>
        </w:rPr>
        <w:t>Security Selection:</w:t>
      </w:r>
      <w:r w:rsidRPr="00E168FA">
        <w:t xml:space="preserve"> </w:t>
      </w:r>
      <w:r w:rsidRPr="00E168FA">
        <w:rPr>
          <w:rFonts w:ascii="Arial" w:hAnsi="Arial" w:cs="Arial"/>
          <w:sz w:val="20"/>
          <w:szCs w:val="20"/>
        </w:rPr>
        <w:t>Having determined the percentage of funds to be allocated to each asset class, the next step is to select individual securities within each asset class. The security selection decision is aided by the fund manager’s extensive knowledge and experience and high-quality internal and external research.</w:t>
      </w:r>
    </w:p>
    <w:p w:rsidR="00311F11" w:rsidRPr="000329C1" w:rsidRDefault="00311F11" w:rsidP="00311F11">
      <w:pPr>
        <w:pStyle w:val="Heading4"/>
        <w:keepNext w:val="0"/>
        <w:spacing w:before="120" w:after="120" w:line="240" w:lineRule="atLeast"/>
        <w:jc w:val="both"/>
        <w:rPr>
          <w:rFonts w:cs="Arial"/>
          <w:b/>
          <w:sz w:val="22"/>
          <w:szCs w:val="22"/>
        </w:rPr>
      </w:pPr>
      <w:r w:rsidRPr="000329C1">
        <w:rPr>
          <w:rFonts w:cs="Arial"/>
          <w:b/>
          <w:sz w:val="22"/>
          <w:szCs w:val="22"/>
        </w:rPr>
        <w:t>Execution of Investment Decisions</w:t>
      </w:r>
    </w:p>
    <w:p w:rsidR="00311F11" w:rsidRPr="00E168FA" w:rsidRDefault="00311F11" w:rsidP="00311F11">
      <w:pPr>
        <w:pStyle w:val="body"/>
        <w:numPr>
          <w:ilvl w:val="0"/>
          <w:numId w:val="41"/>
        </w:numPr>
        <w:spacing w:before="120" w:beforeAutospacing="0" w:after="120" w:afterAutospacing="0" w:line="240" w:lineRule="auto"/>
        <w:jc w:val="both"/>
        <w:rPr>
          <w:rFonts w:ascii="Arial" w:hAnsi="Arial" w:cs="Arial"/>
          <w:sz w:val="20"/>
          <w:szCs w:val="20"/>
        </w:rPr>
      </w:pPr>
      <w:r w:rsidRPr="00E168FA">
        <w:rPr>
          <w:rFonts w:ascii="Arial" w:hAnsi="Arial" w:cs="Arial"/>
          <w:sz w:val="20"/>
          <w:szCs w:val="20"/>
        </w:rPr>
        <w:t xml:space="preserve">Risk Management and Pre-trade Compliance: Risk management involves the pre-trade estimation of risks, through scenario analysis and calculation of risk metrics. </w:t>
      </w:r>
    </w:p>
    <w:p w:rsidR="00311F11" w:rsidRPr="009413F6" w:rsidRDefault="00311F11" w:rsidP="00311F11">
      <w:pPr>
        <w:numPr>
          <w:ilvl w:val="0"/>
          <w:numId w:val="41"/>
        </w:numPr>
        <w:spacing w:before="120" w:after="120"/>
        <w:jc w:val="both"/>
      </w:pPr>
      <w:r w:rsidRPr="00E168FA">
        <w:rPr>
          <w:rFonts w:ascii="Arial" w:hAnsi="Arial" w:cs="Arial"/>
          <w:sz w:val="20"/>
          <w:szCs w:val="20"/>
        </w:rPr>
        <w:t>Trade Execution: This is the actual placement of orders. The Investment Manager will typically divide his/her corpus and allocate it to different executing brokers in order to minimize the costs of trading (namely bid-ask spread, and brokerage). Hedge funds and large institutional managers will have a Prime Broker, which will handle trade settlement, custody and other post-trade administrative functions. The executing brokers will “give-up” their trades to this prime broker. This achieves the twin objectives of reducing the trading costs and minimizing administrative procedure.</w:t>
      </w:r>
    </w:p>
    <w:p w:rsidR="00311F11" w:rsidRPr="008D2BF6" w:rsidRDefault="00311F11" w:rsidP="00311F11">
      <w:pPr>
        <w:pStyle w:val="Heading3"/>
        <w:keepNext w:val="0"/>
        <w:tabs>
          <w:tab w:val="clear" w:pos="6444"/>
          <w:tab w:val="num" w:pos="540"/>
        </w:tabs>
        <w:spacing w:before="120" w:after="120" w:line="240" w:lineRule="atLeast"/>
        <w:ind w:left="0" w:firstLine="0"/>
        <w:jc w:val="both"/>
      </w:pPr>
      <w:r w:rsidRPr="008D2BF6">
        <w:t>Distribution</w:t>
      </w:r>
    </w:p>
    <w:p w:rsidR="00311F11" w:rsidRPr="009413F6" w:rsidRDefault="00311F11" w:rsidP="00311F11">
      <w:pPr>
        <w:spacing w:before="120" w:after="120"/>
        <w:jc w:val="both"/>
        <w:rPr>
          <w:rFonts w:ascii="Arial" w:hAnsi="Arial" w:cs="Arial"/>
          <w:sz w:val="20"/>
          <w:szCs w:val="20"/>
        </w:rPr>
      </w:pPr>
      <w:r w:rsidRPr="009413F6">
        <w:rPr>
          <w:rFonts w:ascii="Arial" w:hAnsi="Arial" w:cs="Arial"/>
          <w:sz w:val="20"/>
          <w:szCs w:val="20"/>
        </w:rPr>
        <w:t xml:space="preserve">Distribution function will market the investment advice to the prospective investors. </w:t>
      </w:r>
    </w:p>
    <w:p w:rsidR="00311F11" w:rsidRPr="000329C1" w:rsidRDefault="00311F11" w:rsidP="00311F11">
      <w:pPr>
        <w:pStyle w:val="Heading4"/>
        <w:keepNext w:val="0"/>
        <w:spacing w:before="120" w:after="120" w:line="240" w:lineRule="atLeast"/>
        <w:jc w:val="both"/>
        <w:rPr>
          <w:b/>
          <w:sz w:val="22"/>
          <w:szCs w:val="22"/>
        </w:rPr>
      </w:pPr>
      <w:r w:rsidRPr="000329C1">
        <w:rPr>
          <w:b/>
          <w:sz w:val="22"/>
          <w:szCs w:val="22"/>
        </w:rPr>
        <w:t>Direct Distribution</w:t>
      </w:r>
    </w:p>
    <w:p w:rsidR="00311F11" w:rsidRDefault="00311F11" w:rsidP="000329C1">
      <w:pPr>
        <w:pStyle w:val="NormalWeb"/>
        <w:rPr>
          <w:rFonts w:ascii="Arial" w:hAnsi="Arial" w:cs="Arial"/>
          <w:sz w:val="20"/>
          <w:szCs w:val="20"/>
        </w:rPr>
      </w:pPr>
      <w:proofErr w:type="gramStart"/>
      <w:r>
        <w:rPr>
          <w:rFonts w:ascii="Arial" w:hAnsi="Arial" w:cs="Arial"/>
          <w:sz w:val="20"/>
          <w:szCs w:val="20"/>
        </w:rPr>
        <w:t xml:space="preserve">Own Office: </w:t>
      </w:r>
      <w:r w:rsidR="000329C1">
        <w:rPr>
          <w:rFonts w:ascii="Arial" w:hAnsi="Arial" w:cs="Arial"/>
          <w:sz w:val="20"/>
          <w:szCs w:val="20"/>
        </w:rPr>
        <w:t xml:space="preserve"> </w:t>
      </w:r>
      <w:r>
        <w:rPr>
          <w:rFonts w:ascii="Arial" w:hAnsi="Arial" w:cs="Arial"/>
          <w:sz w:val="20"/>
          <w:szCs w:val="20"/>
        </w:rPr>
        <w:t xml:space="preserve">Asset </w:t>
      </w:r>
      <w:r w:rsidR="000329C1">
        <w:rPr>
          <w:rFonts w:ascii="Arial" w:hAnsi="Arial" w:cs="Arial"/>
          <w:sz w:val="20"/>
          <w:szCs w:val="20"/>
        </w:rPr>
        <w:t xml:space="preserve">  </w:t>
      </w:r>
      <w:r>
        <w:rPr>
          <w:rFonts w:ascii="Arial" w:hAnsi="Arial" w:cs="Arial"/>
          <w:sz w:val="20"/>
          <w:szCs w:val="20"/>
        </w:rPr>
        <w:t xml:space="preserve">Management </w:t>
      </w:r>
      <w:r w:rsidR="000329C1">
        <w:rPr>
          <w:rFonts w:ascii="Arial" w:hAnsi="Arial" w:cs="Arial"/>
          <w:sz w:val="20"/>
          <w:szCs w:val="20"/>
        </w:rPr>
        <w:t xml:space="preserve">  </w:t>
      </w:r>
      <w:r>
        <w:rPr>
          <w:rFonts w:ascii="Arial" w:hAnsi="Arial" w:cs="Arial"/>
          <w:sz w:val="20"/>
          <w:szCs w:val="20"/>
        </w:rPr>
        <w:t>Companies set up their own representative office for distribution of the various products to the customers.</w:t>
      </w:r>
      <w:proofErr w:type="gramEnd"/>
      <w:r>
        <w:rPr>
          <w:rFonts w:ascii="Arial" w:hAnsi="Arial" w:cs="Arial"/>
          <w:sz w:val="20"/>
          <w:szCs w:val="20"/>
        </w:rPr>
        <w:t xml:space="preserve"> These set ups are owned by the companies. In this set up, the customer can avail the advisory services form the representative of the </w:t>
      </w:r>
    </w:p>
    <w:p w:rsidR="00311F11" w:rsidRDefault="00311F11" w:rsidP="00311F11">
      <w:pPr>
        <w:pStyle w:val="NormalWeb"/>
        <w:jc w:val="both"/>
        <w:rPr>
          <w:rFonts w:ascii="Arial" w:hAnsi="Arial" w:cs="Arial"/>
          <w:sz w:val="20"/>
          <w:szCs w:val="20"/>
        </w:rPr>
      </w:pPr>
      <w:r>
        <w:rPr>
          <w:rFonts w:ascii="Arial" w:hAnsi="Arial" w:cs="Arial"/>
          <w:sz w:val="20"/>
          <w:szCs w:val="20"/>
        </w:rPr>
        <w:t>Online: Often Asset Management Companies prefer to offer the products and services through internet. This distribution channel reduces the cost of setting up of an office and associated costs. This also reduces the need for employing its own staff.</w:t>
      </w:r>
    </w:p>
    <w:p w:rsidR="00311F11" w:rsidRPr="000329C1" w:rsidRDefault="00311F11" w:rsidP="00311F11">
      <w:pPr>
        <w:pStyle w:val="Heading4"/>
        <w:keepNext w:val="0"/>
        <w:spacing w:before="120" w:after="120" w:line="240" w:lineRule="atLeast"/>
        <w:jc w:val="both"/>
        <w:rPr>
          <w:b/>
          <w:sz w:val="22"/>
          <w:szCs w:val="22"/>
        </w:rPr>
      </w:pPr>
      <w:r w:rsidRPr="000329C1">
        <w:rPr>
          <w:b/>
          <w:sz w:val="22"/>
          <w:szCs w:val="22"/>
        </w:rPr>
        <w:t>Distribution through 3rd Party</w:t>
      </w:r>
    </w:p>
    <w:p w:rsidR="00311F11" w:rsidRPr="00BB4ECB" w:rsidRDefault="00311F11" w:rsidP="00311F11">
      <w:pPr>
        <w:pStyle w:val="NormalWeb"/>
        <w:jc w:val="both"/>
        <w:rPr>
          <w:rFonts w:ascii="Arial" w:hAnsi="Arial" w:cs="Arial"/>
          <w:sz w:val="20"/>
          <w:szCs w:val="20"/>
        </w:rPr>
      </w:pPr>
      <w:r>
        <w:rPr>
          <w:rFonts w:ascii="Arial" w:hAnsi="Arial" w:cs="Arial"/>
          <w:sz w:val="20"/>
          <w:szCs w:val="20"/>
        </w:rPr>
        <w:t>Online Fund Super Market:</w:t>
      </w:r>
      <w:r w:rsidRPr="00BB4ECB">
        <w:rPr>
          <w:rFonts w:ascii="Arial" w:hAnsi="Arial" w:cs="Arial"/>
          <w:sz w:val="20"/>
          <w:szCs w:val="20"/>
        </w:rPr>
        <w:t xml:space="preserve"> Fund supermarkets, pioneered in America are typically brokerage houses which provide </w:t>
      </w:r>
      <w:hyperlink r:id="rId39" w:tooltip="http://www.businessdictionary.com/definition/access.html" w:history="1">
        <w:r w:rsidRPr="00384030">
          <w:rPr>
            <w:rFonts w:ascii="Arial" w:hAnsi="Arial" w:cs="Arial"/>
            <w:sz w:val="20"/>
            <w:szCs w:val="20"/>
          </w:rPr>
          <w:t>access</w:t>
        </w:r>
      </w:hyperlink>
      <w:r w:rsidRPr="00BB4ECB">
        <w:rPr>
          <w:rFonts w:ascii="Arial" w:hAnsi="Arial" w:cs="Arial"/>
          <w:sz w:val="20"/>
          <w:szCs w:val="20"/>
        </w:rPr>
        <w:t xml:space="preserve"> to a variety of </w:t>
      </w:r>
      <w:hyperlink r:id="rId40" w:tooltip="http://www.investorwords.com/3173/mutual_fund.html" w:history="1">
        <w:r w:rsidRPr="00384030">
          <w:rPr>
            <w:rFonts w:ascii="Arial" w:hAnsi="Arial" w:cs="Arial"/>
            <w:sz w:val="20"/>
            <w:szCs w:val="20"/>
          </w:rPr>
          <w:t>mutual funds</w:t>
        </w:r>
      </w:hyperlink>
      <w:r w:rsidRPr="00BB4ECB">
        <w:rPr>
          <w:rFonts w:ascii="Arial" w:hAnsi="Arial" w:cs="Arial"/>
          <w:sz w:val="20"/>
          <w:szCs w:val="20"/>
        </w:rPr>
        <w:t xml:space="preserve"> from different </w:t>
      </w:r>
      <w:hyperlink r:id="rId41" w:tooltip="http://www.businessdictionary.com/definition/fund.html" w:history="1">
        <w:r w:rsidRPr="00384030">
          <w:rPr>
            <w:rFonts w:ascii="Arial" w:hAnsi="Arial" w:cs="Arial"/>
            <w:sz w:val="20"/>
            <w:szCs w:val="20"/>
          </w:rPr>
          <w:t>fund</w:t>
        </w:r>
      </w:hyperlink>
      <w:r w:rsidRPr="00BB4ECB">
        <w:rPr>
          <w:rFonts w:ascii="Arial" w:hAnsi="Arial" w:cs="Arial"/>
          <w:sz w:val="20"/>
          <w:szCs w:val="20"/>
        </w:rPr>
        <w:t xml:space="preserve"> families</w:t>
      </w:r>
      <w:r>
        <w:rPr>
          <w:rFonts w:ascii="Arial" w:hAnsi="Arial" w:cs="Arial"/>
          <w:sz w:val="20"/>
          <w:szCs w:val="20"/>
        </w:rPr>
        <w:t xml:space="preserve"> </w:t>
      </w:r>
      <w:r w:rsidRPr="00BB4ECB">
        <w:rPr>
          <w:rFonts w:ascii="Arial" w:hAnsi="Arial" w:cs="Arial"/>
          <w:sz w:val="20"/>
          <w:szCs w:val="20"/>
        </w:rPr>
        <w:t xml:space="preserve">at one central </w:t>
      </w:r>
      <w:hyperlink r:id="rId42" w:tooltip="http://www.businessdictionary.com/definition/location.html" w:history="1">
        <w:r w:rsidRPr="00384030">
          <w:rPr>
            <w:rFonts w:ascii="Arial" w:hAnsi="Arial" w:cs="Arial"/>
            <w:sz w:val="20"/>
            <w:szCs w:val="20"/>
          </w:rPr>
          <w:t>location</w:t>
        </w:r>
      </w:hyperlink>
      <w:r w:rsidRPr="00BB4ECB">
        <w:rPr>
          <w:rFonts w:ascii="Arial" w:hAnsi="Arial" w:cs="Arial"/>
          <w:sz w:val="20"/>
          <w:szCs w:val="20"/>
        </w:rPr>
        <w:t xml:space="preserve">. A fund supermarket is typically a web site that can provide an alternative, more convenient way of investing in collective investment funds. There is a multitude of fund supermarkets available online. Differences can be found in the number of funds on offer, services and functionality. Most fund supermarket models offer no advice, although many provide research tools to decide which funds to invest in. </w:t>
      </w:r>
    </w:p>
    <w:p w:rsidR="00311F11" w:rsidRDefault="00311F11" w:rsidP="00311F11">
      <w:pPr>
        <w:pStyle w:val="NormalWeb"/>
        <w:shd w:val="clear" w:color="auto" w:fill="FFFFFF"/>
        <w:jc w:val="both"/>
        <w:rPr>
          <w:rFonts w:ascii="Arial" w:hAnsi="Arial" w:cs="Arial"/>
          <w:color w:val="auto"/>
          <w:sz w:val="20"/>
          <w:szCs w:val="20"/>
        </w:rPr>
      </w:pPr>
      <w:r w:rsidRPr="00D50FDB">
        <w:rPr>
          <w:rFonts w:ascii="Arial" w:hAnsi="Arial" w:cs="Arial"/>
          <w:color w:val="auto"/>
          <w:sz w:val="20"/>
          <w:szCs w:val="20"/>
        </w:rPr>
        <w:t>Broker – Dealer: Another avenue where the investor can buy various products is through usual broker- dealer channel. Broker – Dealer are basically individuals or firms who buy and sell various products for it and others. While being a broker, the entity does trading on behalf of its customers and being a dealer it does trading for its own self.</w:t>
      </w:r>
    </w:p>
    <w:p w:rsidR="00311F11" w:rsidRDefault="00311F11" w:rsidP="00311F11">
      <w:pPr>
        <w:pStyle w:val="NormalWeb"/>
        <w:shd w:val="clear" w:color="auto" w:fill="FFFFFF"/>
        <w:jc w:val="both"/>
        <w:rPr>
          <w:rFonts w:ascii="Arial" w:hAnsi="Arial" w:cs="Arial"/>
          <w:color w:val="auto"/>
          <w:sz w:val="20"/>
          <w:szCs w:val="20"/>
        </w:rPr>
      </w:pPr>
      <w:r>
        <w:rPr>
          <w:rFonts w:ascii="Arial" w:hAnsi="Arial" w:cs="Arial"/>
          <w:color w:val="auto"/>
          <w:sz w:val="20"/>
          <w:szCs w:val="20"/>
        </w:rPr>
        <w:t>Affiliated Bank: Some time the Asset Management Companies is associated with a Bank. In these cases the affiliated Bank perform the act of selling for various products. These are typically cross selling in nature.</w:t>
      </w:r>
    </w:p>
    <w:p w:rsidR="00311F11" w:rsidRPr="000329C1" w:rsidRDefault="00311F11" w:rsidP="00311F11">
      <w:pPr>
        <w:pStyle w:val="Heading4"/>
        <w:keepNext w:val="0"/>
        <w:spacing w:before="120" w:after="120" w:line="240" w:lineRule="atLeast"/>
        <w:jc w:val="both"/>
        <w:rPr>
          <w:rFonts w:cs="Arial"/>
          <w:b/>
          <w:sz w:val="22"/>
          <w:szCs w:val="22"/>
        </w:rPr>
      </w:pPr>
      <w:r w:rsidRPr="000329C1">
        <w:rPr>
          <w:b/>
          <w:sz w:val="22"/>
          <w:szCs w:val="22"/>
        </w:rPr>
        <w:t>Marketing and CRM</w:t>
      </w:r>
    </w:p>
    <w:p w:rsidR="00311F11" w:rsidRPr="00E168FA" w:rsidRDefault="00311F11" w:rsidP="00311F11">
      <w:pPr>
        <w:pStyle w:val="body"/>
        <w:numPr>
          <w:ilvl w:val="0"/>
          <w:numId w:val="40"/>
        </w:numPr>
        <w:spacing w:before="120" w:beforeAutospacing="0" w:after="120" w:afterAutospacing="0" w:line="240" w:lineRule="auto"/>
        <w:jc w:val="both"/>
        <w:rPr>
          <w:rFonts w:ascii="Arial" w:hAnsi="Arial" w:cs="Arial"/>
          <w:sz w:val="20"/>
          <w:szCs w:val="20"/>
        </w:rPr>
      </w:pPr>
      <w:r w:rsidRPr="00E168FA">
        <w:rPr>
          <w:rFonts w:ascii="Arial" w:hAnsi="Arial" w:cs="Arial"/>
          <w:sz w:val="20"/>
          <w:szCs w:val="20"/>
        </w:rPr>
        <w:lastRenderedPageBreak/>
        <w:t>Direct Sales and Marketing: The Investment Management companies will market their products directly to the prospective investors. They will also distribute the products directly (e.g. to participate in an open-ended mutual fund, the investor has to directly contact the asset management company)</w:t>
      </w:r>
    </w:p>
    <w:p w:rsidR="00311F11" w:rsidRPr="00E168FA" w:rsidRDefault="00311F11" w:rsidP="00311F11">
      <w:pPr>
        <w:pStyle w:val="body"/>
        <w:numPr>
          <w:ilvl w:val="0"/>
          <w:numId w:val="40"/>
        </w:numPr>
        <w:spacing w:before="120" w:beforeAutospacing="0" w:after="120" w:afterAutospacing="0" w:line="240" w:lineRule="auto"/>
        <w:jc w:val="both"/>
        <w:rPr>
          <w:rFonts w:ascii="Arial" w:hAnsi="Arial" w:cs="Arial"/>
          <w:sz w:val="20"/>
          <w:szCs w:val="20"/>
        </w:rPr>
      </w:pPr>
      <w:r w:rsidRPr="00E168FA">
        <w:rPr>
          <w:rFonts w:ascii="Arial" w:hAnsi="Arial" w:cs="Arial"/>
          <w:sz w:val="20"/>
          <w:szCs w:val="20"/>
        </w:rPr>
        <w:t>Intermediary Sales and Marketing: Investment Management firms distribute some products through third-party channels such as banks, brokers, insurance companies, and RIAs.</w:t>
      </w:r>
    </w:p>
    <w:p w:rsidR="00311F11" w:rsidRPr="00E168FA" w:rsidRDefault="00311F11" w:rsidP="00311F11">
      <w:pPr>
        <w:pStyle w:val="body"/>
        <w:numPr>
          <w:ilvl w:val="0"/>
          <w:numId w:val="40"/>
        </w:numPr>
        <w:spacing w:before="120" w:beforeAutospacing="0" w:after="120" w:afterAutospacing="0" w:line="240" w:lineRule="auto"/>
        <w:jc w:val="both"/>
        <w:rPr>
          <w:rFonts w:ascii="Arial" w:hAnsi="Arial" w:cs="Arial"/>
          <w:sz w:val="20"/>
          <w:szCs w:val="20"/>
        </w:rPr>
      </w:pPr>
      <w:r w:rsidRPr="00E168FA">
        <w:rPr>
          <w:rFonts w:ascii="Arial" w:hAnsi="Arial" w:cs="Arial"/>
          <w:sz w:val="20"/>
          <w:szCs w:val="20"/>
        </w:rPr>
        <w:t>Client Reporting:  Investment Managers produce detailed reports on the performance of their portfolios, for the benefit of their clients. As a rule, greater the client money involved, greater is the pressure for reporting.</w:t>
      </w:r>
    </w:p>
    <w:p w:rsidR="00311F11" w:rsidRDefault="00311F11" w:rsidP="00311F11">
      <w:pPr>
        <w:pStyle w:val="body"/>
        <w:numPr>
          <w:ilvl w:val="0"/>
          <w:numId w:val="40"/>
        </w:numPr>
        <w:spacing w:before="120" w:beforeAutospacing="0" w:after="120" w:afterAutospacing="0" w:line="240" w:lineRule="auto"/>
        <w:jc w:val="both"/>
        <w:rPr>
          <w:rFonts w:ascii="Arial" w:hAnsi="Arial" w:cs="Arial"/>
          <w:sz w:val="20"/>
          <w:szCs w:val="20"/>
        </w:rPr>
      </w:pPr>
      <w:r w:rsidRPr="00E168FA">
        <w:rPr>
          <w:rFonts w:ascii="Arial" w:hAnsi="Arial" w:cs="Arial"/>
          <w:sz w:val="20"/>
          <w:szCs w:val="20"/>
        </w:rPr>
        <w:t>Client Servicing: This function comprises of providing the client with support required to make his/her investment decisions and facilitate the execution of these decisions.</w:t>
      </w:r>
    </w:p>
    <w:p w:rsidR="00311F11" w:rsidRPr="00E168FA" w:rsidRDefault="00311F11" w:rsidP="00311F11">
      <w:pPr>
        <w:pStyle w:val="body"/>
        <w:spacing w:before="120" w:beforeAutospacing="0" w:after="120" w:afterAutospacing="0" w:line="240" w:lineRule="auto"/>
        <w:ind w:left="720"/>
        <w:jc w:val="both"/>
        <w:rPr>
          <w:rFonts w:ascii="Arial" w:hAnsi="Arial" w:cs="Arial"/>
          <w:sz w:val="20"/>
          <w:szCs w:val="20"/>
        </w:rPr>
      </w:pPr>
    </w:p>
    <w:p w:rsidR="00311F11" w:rsidRPr="008D2BF6" w:rsidRDefault="00311F11" w:rsidP="00311F11">
      <w:pPr>
        <w:pStyle w:val="Heading3"/>
        <w:keepNext w:val="0"/>
        <w:tabs>
          <w:tab w:val="clear" w:pos="6444"/>
          <w:tab w:val="num" w:pos="540"/>
        </w:tabs>
        <w:spacing w:before="120" w:after="120" w:line="240" w:lineRule="atLeast"/>
        <w:ind w:left="0" w:firstLine="0"/>
        <w:jc w:val="both"/>
      </w:pPr>
      <w:r w:rsidRPr="008D2BF6">
        <w:t>Support</w:t>
      </w:r>
    </w:p>
    <w:p w:rsidR="00311F11" w:rsidRPr="004838C2" w:rsidRDefault="00311F11" w:rsidP="00311F11">
      <w:pPr>
        <w:pStyle w:val="body"/>
        <w:spacing w:before="120" w:beforeAutospacing="0" w:after="120" w:afterAutospacing="0" w:line="240" w:lineRule="auto"/>
        <w:jc w:val="both"/>
        <w:rPr>
          <w:rFonts w:ascii="Arial" w:hAnsi="Arial" w:cs="Arial"/>
          <w:sz w:val="20"/>
          <w:szCs w:val="20"/>
        </w:rPr>
      </w:pPr>
      <w:r w:rsidRPr="004838C2">
        <w:rPr>
          <w:rFonts w:ascii="Arial" w:hAnsi="Arial" w:cs="Arial"/>
          <w:sz w:val="20"/>
          <w:szCs w:val="20"/>
        </w:rPr>
        <w:t>The following activities support the Manufacture and Distribution services:</w:t>
      </w:r>
    </w:p>
    <w:p w:rsidR="00311F11"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sectPr w:rsidR="00311F11" w:rsidSect="00E672D2">
          <w:headerReference w:type="default" r:id="rId43"/>
          <w:footerReference w:type="default" r:id="rId44"/>
          <w:headerReference w:type="first" r:id="rId45"/>
          <w:type w:val="continuous"/>
          <w:pgSz w:w="12240" w:h="15840"/>
          <w:pgMar w:top="1440" w:right="1800" w:bottom="1440" w:left="1800" w:header="720" w:footer="720" w:gutter="0"/>
          <w:cols w:space="720"/>
          <w:titlePg/>
          <w:docGrid w:linePitch="360"/>
        </w:sectPr>
      </w:pP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lastRenderedPageBreak/>
        <w:t>Trade Operations &amp; Settlements</w:t>
      </w: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t>Accounting &amp; back office functions</w:t>
      </w: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t>Performance &amp; Risk Measurement</w:t>
      </w: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t>Client support systems</w:t>
      </w: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t>Client Reporting</w:t>
      </w: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lastRenderedPageBreak/>
        <w:t>Internal Reporting</w:t>
      </w: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t>Research &amp; Portfolio Management Application Support</w:t>
      </w: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t>Distribution Support</w:t>
      </w:r>
    </w:p>
    <w:p w:rsidR="00311F11" w:rsidRPr="000C4ACF" w:rsidRDefault="00311F11" w:rsidP="00311F11">
      <w:pPr>
        <w:pStyle w:val="body"/>
        <w:numPr>
          <w:ilvl w:val="0"/>
          <w:numId w:val="46"/>
        </w:numPr>
        <w:spacing w:before="120" w:beforeAutospacing="0" w:after="120" w:afterAutospacing="0" w:line="240" w:lineRule="auto"/>
        <w:jc w:val="both"/>
        <w:rPr>
          <w:rFonts w:ascii="Arial" w:hAnsi="Arial" w:cs="Arial"/>
          <w:sz w:val="20"/>
          <w:szCs w:val="20"/>
        </w:rPr>
      </w:pPr>
      <w:r w:rsidRPr="000C4ACF">
        <w:rPr>
          <w:rFonts w:ascii="Arial" w:hAnsi="Arial" w:cs="Arial"/>
          <w:sz w:val="20"/>
          <w:szCs w:val="20"/>
        </w:rPr>
        <w:t>General Systems &amp; Technology</w:t>
      </w:r>
    </w:p>
    <w:p w:rsidR="00311F11" w:rsidRDefault="00311F11" w:rsidP="00311F11">
      <w:pPr>
        <w:pStyle w:val="body"/>
        <w:spacing w:before="120" w:after="120" w:line="240" w:lineRule="atLeast"/>
        <w:jc w:val="both"/>
        <w:rPr>
          <w:rFonts w:ascii="Arial" w:hAnsi="Arial" w:cs="Arial"/>
          <w:sz w:val="20"/>
          <w:szCs w:val="20"/>
        </w:rPr>
        <w:sectPr w:rsidR="00311F11" w:rsidSect="00E672D2">
          <w:type w:val="continuous"/>
          <w:pgSz w:w="12240" w:h="15840"/>
          <w:pgMar w:top="1440" w:right="1800" w:bottom="1440" w:left="1800" w:header="720" w:footer="720" w:gutter="0"/>
          <w:cols w:num="2" w:space="720"/>
          <w:titlePg/>
          <w:docGrid w:linePitch="360"/>
        </w:sectPr>
      </w:pPr>
    </w:p>
    <w:p w:rsidR="00311F11" w:rsidRPr="000C4ACF" w:rsidRDefault="00311F11" w:rsidP="00311F11">
      <w:pPr>
        <w:pStyle w:val="body"/>
        <w:spacing w:before="120" w:after="120" w:line="240" w:lineRule="atLeast"/>
        <w:jc w:val="both"/>
        <w:rPr>
          <w:rFonts w:ascii="Arial" w:hAnsi="Arial" w:cs="Arial"/>
          <w:sz w:val="20"/>
          <w:szCs w:val="20"/>
        </w:rPr>
      </w:pPr>
    </w:p>
    <w:p w:rsidR="00F11709" w:rsidRPr="009413F6" w:rsidRDefault="004838C2" w:rsidP="003E3FB6">
      <w:pPr>
        <w:pStyle w:val="Heading2"/>
        <w:keepNext w:val="0"/>
        <w:spacing w:before="120" w:after="120" w:line="240" w:lineRule="atLeast"/>
        <w:ind w:left="0" w:firstLine="0"/>
        <w:jc w:val="both"/>
      </w:pPr>
      <w:bookmarkStart w:id="39" w:name="_Toc226530520"/>
      <w:r>
        <w:t>Business</w:t>
      </w:r>
      <w:r w:rsidR="000A1F5E">
        <w:t xml:space="preserve"> Segmentation</w:t>
      </w:r>
      <w:bookmarkEnd w:id="39"/>
      <w:r w:rsidR="000A1F5E">
        <w:t xml:space="preserve"> </w:t>
      </w:r>
    </w:p>
    <w:p w:rsidR="00F11709" w:rsidRPr="009413F6" w:rsidRDefault="004838C2" w:rsidP="00962C49">
      <w:pPr>
        <w:spacing w:before="120" w:after="120"/>
        <w:jc w:val="both"/>
        <w:rPr>
          <w:rFonts w:ascii="Arial" w:hAnsi="Arial" w:cs="Arial"/>
          <w:sz w:val="20"/>
          <w:szCs w:val="20"/>
        </w:rPr>
      </w:pPr>
      <w:r>
        <w:rPr>
          <w:rFonts w:ascii="Arial" w:hAnsi="Arial" w:cs="Arial"/>
          <w:sz w:val="20"/>
          <w:szCs w:val="20"/>
        </w:rPr>
        <w:t>The Investment Management practice</w:t>
      </w:r>
      <w:r w:rsidR="00F11709" w:rsidRPr="009413F6">
        <w:rPr>
          <w:rFonts w:ascii="Arial" w:hAnsi="Arial" w:cs="Arial"/>
          <w:sz w:val="20"/>
          <w:szCs w:val="20"/>
        </w:rPr>
        <w:t xml:space="preserve"> can be broadly divided into three business segments or verticals:</w:t>
      </w:r>
    </w:p>
    <w:p w:rsidR="00F11709" w:rsidRPr="009413F6" w:rsidRDefault="00217CB1" w:rsidP="00962C49">
      <w:pPr>
        <w:pStyle w:val="body"/>
        <w:numPr>
          <w:ilvl w:val="0"/>
          <w:numId w:val="44"/>
        </w:numPr>
        <w:spacing w:before="120" w:beforeAutospacing="0" w:after="120" w:afterAutospacing="0" w:line="240" w:lineRule="auto"/>
        <w:jc w:val="both"/>
        <w:rPr>
          <w:rFonts w:ascii="Arial" w:hAnsi="Arial" w:cs="Arial"/>
          <w:sz w:val="20"/>
          <w:szCs w:val="20"/>
        </w:rPr>
      </w:pPr>
      <w:r>
        <w:rPr>
          <w:rFonts w:ascii="Arial" w:hAnsi="Arial" w:cs="Arial"/>
          <w:sz w:val="20"/>
          <w:szCs w:val="20"/>
        </w:rPr>
        <w:t>Traditional Asset Management</w:t>
      </w:r>
    </w:p>
    <w:p w:rsidR="00F11709" w:rsidRPr="009413F6" w:rsidRDefault="00020971" w:rsidP="00962C49">
      <w:pPr>
        <w:pStyle w:val="body"/>
        <w:numPr>
          <w:ilvl w:val="0"/>
          <w:numId w:val="44"/>
        </w:numPr>
        <w:spacing w:before="120" w:beforeAutospacing="0" w:after="120" w:afterAutospacing="0" w:line="240" w:lineRule="auto"/>
        <w:jc w:val="both"/>
        <w:rPr>
          <w:rFonts w:ascii="Arial" w:hAnsi="Arial" w:cs="Arial"/>
          <w:sz w:val="20"/>
          <w:szCs w:val="20"/>
        </w:rPr>
      </w:pPr>
      <w:r>
        <w:rPr>
          <w:rFonts w:ascii="Arial" w:hAnsi="Arial" w:cs="Arial"/>
          <w:sz w:val="20"/>
          <w:szCs w:val="20"/>
        </w:rPr>
        <w:t>Wealth Management</w:t>
      </w:r>
    </w:p>
    <w:p w:rsidR="00F11709" w:rsidRDefault="00020971" w:rsidP="00962C49">
      <w:pPr>
        <w:pStyle w:val="body"/>
        <w:numPr>
          <w:ilvl w:val="0"/>
          <w:numId w:val="44"/>
        </w:numPr>
        <w:spacing w:before="120" w:beforeAutospacing="0" w:after="120" w:afterAutospacing="0" w:line="240" w:lineRule="auto"/>
        <w:jc w:val="both"/>
        <w:rPr>
          <w:rFonts w:ascii="Arial" w:hAnsi="Arial" w:cs="Arial"/>
          <w:sz w:val="20"/>
          <w:szCs w:val="20"/>
        </w:rPr>
      </w:pPr>
      <w:r>
        <w:rPr>
          <w:rFonts w:ascii="Arial" w:hAnsi="Arial" w:cs="Arial"/>
          <w:sz w:val="20"/>
          <w:szCs w:val="20"/>
        </w:rPr>
        <w:t>Alternative Investments</w:t>
      </w:r>
    </w:p>
    <w:p w:rsidR="00311F11" w:rsidRPr="004838C2" w:rsidRDefault="00311F11" w:rsidP="00311F11">
      <w:pPr>
        <w:pStyle w:val="body"/>
        <w:spacing w:before="120" w:beforeAutospacing="0" w:after="120" w:afterAutospacing="0" w:line="240" w:lineRule="auto"/>
        <w:ind w:left="360"/>
        <w:jc w:val="both"/>
        <w:rPr>
          <w:rFonts w:ascii="Arial" w:hAnsi="Arial" w:cs="Arial"/>
          <w:sz w:val="20"/>
          <w:szCs w:val="20"/>
        </w:rPr>
      </w:pPr>
    </w:p>
    <w:p w:rsidR="00F11709" w:rsidRPr="00AD2079" w:rsidRDefault="00217CB1" w:rsidP="00AD2079">
      <w:pPr>
        <w:pStyle w:val="Heading3"/>
        <w:keepNext w:val="0"/>
        <w:tabs>
          <w:tab w:val="clear" w:pos="6444"/>
          <w:tab w:val="num" w:pos="540"/>
        </w:tabs>
        <w:spacing w:before="120" w:after="120" w:line="240" w:lineRule="atLeast"/>
        <w:ind w:left="0" w:firstLine="0"/>
        <w:jc w:val="both"/>
      </w:pPr>
      <w:r>
        <w:t>Traditional Asset Management</w:t>
      </w:r>
    </w:p>
    <w:p w:rsidR="00F11709" w:rsidRPr="000329C1" w:rsidRDefault="00F11709" w:rsidP="00311F11">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t>Mutual Funds</w:t>
      </w:r>
    </w:p>
    <w:p w:rsidR="00F11709" w:rsidRPr="00E168FA" w:rsidRDefault="00F11709" w:rsidP="00962C49">
      <w:pPr>
        <w:spacing w:before="120" w:after="120"/>
        <w:jc w:val="both"/>
        <w:rPr>
          <w:rFonts w:ascii="Arial" w:hAnsi="Arial" w:cs="Arial"/>
          <w:sz w:val="20"/>
          <w:szCs w:val="20"/>
        </w:rPr>
      </w:pPr>
      <w:r w:rsidRPr="00E168FA">
        <w:rPr>
          <w:rFonts w:ascii="Arial" w:hAnsi="Arial" w:cs="Arial"/>
          <w:sz w:val="20"/>
          <w:szCs w:val="20"/>
        </w:rPr>
        <w:t xml:space="preserve">A mutual fund is an asset management company that pools together money from many investors and invests it on behalf of the group, in accordance with a stated set of objectives. Mutual funds raise the money by selling shares of the fund to the public; much like any other company can sell stock in itself to the public. These funds take the proceeds of the money from the sale of the shares and invest it in other instruments like bonds, stocks etc. In return for the money they give to the fund when purchasing shares, shareholders receive an equity position in the fund and, in effect, in each of its underlying securities. For most mutual funds, shareholders are free to sell their shares at any time, although the price of a share in a mutual fund will fluctuate daily, depending upon the performance of the securities held by the fund. </w:t>
      </w:r>
    </w:p>
    <w:p w:rsidR="00F11709" w:rsidRPr="00E168FA" w:rsidRDefault="00F11709" w:rsidP="00962C49">
      <w:pPr>
        <w:spacing w:before="120" w:after="120"/>
        <w:jc w:val="both"/>
        <w:rPr>
          <w:rFonts w:ascii="Arial" w:hAnsi="Arial" w:cs="Arial"/>
          <w:sz w:val="20"/>
          <w:szCs w:val="20"/>
        </w:rPr>
      </w:pPr>
      <w:r w:rsidRPr="00E168FA">
        <w:rPr>
          <w:rFonts w:ascii="Arial" w:hAnsi="Arial" w:cs="Arial"/>
          <w:sz w:val="20"/>
          <w:szCs w:val="20"/>
        </w:rPr>
        <w:t>A few advantages of investing in mutual funds are:</w:t>
      </w:r>
    </w:p>
    <w:p w:rsidR="00F11709" w:rsidRPr="00E168FA" w:rsidRDefault="00F11709" w:rsidP="009874A6">
      <w:pPr>
        <w:numPr>
          <w:ilvl w:val="0"/>
          <w:numId w:val="20"/>
        </w:numPr>
        <w:tabs>
          <w:tab w:val="clear" w:pos="720"/>
          <w:tab w:val="num" w:pos="360"/>
        </w:tabs>
        <w:spacing w:before="120" w:after="120"/>
        <w:jc w:val="both"/>
        <w:rPr>
          <w:rFonts w:ascii="Arial" w:hAnsi="Arial" w:cs="Arial"/>
          <w:sz w:val="20"/>
          <w:szCs w:val="20"/>
        </w:rPr>
      </w:pPr>
      <w:r w:rsidRPr="00E168FA">
        <w:rPr>
          <w:rFonts w:ascii="Arial" w:hAnsi="Arial" w:cs="Arial"/>
          <w:sz w:val="20"/>
          <w:szCs w:val="20"/>
        </w:rPr>
        <w:lastRenderedPageBreak/>
        <w:t xml:space="preserve">Diversification </w:t>
      </w:r>
      <w:r w:rsidR="00FE1670" w:rsidRPr="00E168FA">
        <w:rPr>
          <w:rFonts w:ascii="Arial" w:hAnsi="Arial" w:cs="Arial"/>
          <w:sz w:val="20"/>
          <w:szCs w:val="20"/>
        </w:rPr>
        <w:t xml:space="preserve">- </w:t>
      </w:r>
      <w:r w:rsidRPr="00E168FA">
        <w:rPr>
          <w:rFonts w:ascii="Arial" w:hAnsi="Arial" w:cs="Arial"/>
          <w:sz w:val="20"/>
          <w:szCs w:val="20"/>
        </w:rPr>
        <w:t>With a mutual fund one can diversify the investment both across companies and across asset classes. When some assets are falling in price, others are likely to be rising, so diversification results in less risk than if you purchased just one or two investments.</w:t>
      </w:r>
    </w:p>
    <w:p w:rsidR="00FE1670" w:rsidRPr="00E168FA" w:rsidRDefault="00F11709" w:rsidP="009874A6">
      <w:pPr>
        <w:numPr>
          <w:ilvl w:val="0"/>
          <w:numId w:val="20"/>
        </w:numPr>
        <w:tabs>
          <w:tab w:val="clear" w:pos="720"/>
          <w:tab w:val="num" w:pos="360"/>
        </w:tabs>
        <w:spacing w:before="120" w:after="120"/>
        <w:jc w:val="both"/>
        <w:rPr>
          <w:rFonts w:ascii="Arial" w:hAnsi="Arial" w:cs="Arial"/>
          <w:sz w:val="20"/>
          <w:szCs w:val="20"/>
        </w:rPr>
      </w:pPr>
      <w:r w:rsidRPr="00E168FA">
        <w:rPr>
          <w:rFonts w:ascii="Arial" w:hAnsi="Arial" w:cs="Arial"/>
          <w:sz w:val="20"/>
          <w:szCs w:val="20"/>
        </w:rPr>
        <w:t>Liquidity</w:t>
      </w:r>
      <w:r w:rsidR="00FE1670" w:rsidRPr="00E168FA">
        <w:rPr>
          <w:rFonts w:ascii="Arial" w:hAnsi="Arial" w:cs="Arial"/>
          <w:sz w:val="20"/>
          <w:szCs w:val="20"/>
        </w:rPr>
        <w:t xml:space="preserve"> </w:t>
      </w:r>
      <w:r w:rsidR="00E168FA" w:rsidRPr="00E168FA">
        <w:rPr>
          <w:rFonts w:ascii="Arial" w:hAnsi="Arial" w:cs="Arial"/>
          <w:sz w:val="20"/>
          <w:szCs w:val="20"/>
        </w:rPr>
        <w:t>- Most</w:t>
      </w:r>
      <w:r w:rsidRPr="00E168FA">
        <w:rPr>
          <w:rFonts w:ascii="Arial" w:hAnsi="Arial" w:cs="Arial"/>
          <w:sz w:val="20"/>
          <w:szCs w:val="20"/>
        </w:rPr>
        <w:t xml:space="preserve"> mutual funds are liquid and it is easy to sell the share of a mutual fund.</w:t>
      </w:r>
    </w:p>
    <w:p w:rsidR="00F11709" w:rsidRPr="00E168FA" w:rsidRDefault="00FE1670" w:rsidP="009874A6">
      <w:pPr>
        <w:numPr>
          <w:ilvl w:val="0"/>
          <w:numId w:val="20"/>
        </w:numPr>
        <w:tabs>
          <w:tab w:val="clear" w:pos="720"/>
          <w:tab w:val="num" w:pos="360"/>
        </w:tabs>
        <w:spacing w:before="120" w:after="120"/>
        <w:jc w:val="both"/>
        <w:rPr>
          <w:rFonts w:ascii="Arial" w:hAnsi="Arial" w:cs="Arial"/>
          <w:sz w:val="20"/>
          <w:szCs w:val="20"/>
        </w:rPr>
      </w:pPr>
      <w:r w:rsidRPr="00E168FA">
        <w:rPr>
          <w:rFonts w:ascii="Arial" w:hAnsi="Arial" w:cs="Arial"/>
          <w:sz w:val="20"/>
          <w:szCs w:val="20"/>
        </w:rPr>
        <w:t xml:space="preserve">Convenience - </w:t>
      </w:r>
      <w:r w:rsidR="00F11709" w:rsidRPr="00E168FA">
        <w:rPr>
          <w:rFonts w:ascii="Arial" w:hAnsi="Arial" w:cs="Arial"/>
          <w:sz w:val="20"/>
          <w:szCs w:val="20"/>
        </w:rPr>
        <w:t>When you own a mutual fund, you don't need to worry about tracking the dozens of different securities in which the fund invests; rather, all you need to do is to keep track of the fund's performance.</w:t>
      </w:r>
    </w:p>
    <w:p w:rsidR="00F11709" w:rsidRPr="000329C1" w:rsidRDefault="000A1F5E" w:rsidP="00311F11">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t>Institutional Asset Management (AMCs of Insurance Companies)</w:t>
      </w:r>
    </w:p>
    <w:p w:rsidR="00F11709" w:rsidRPr="009413F6" w:rsidRDefault="00F11709" w:rsidP="00962C49">
      <w:pPr>
        <w:spacing w:before="120" w:after="120"/>
        <w:jc w:val="both"/>
        <w:rPr>
          <w:rFonts w:ascii="Arial" w:hAnsi="Arial" w:cs="Arial"/>
          <w:sz w:val="20"/>
          <w:szCs w:val="20"/>
        </w:rPr>
      </w:pPr>
      <w:r w:rsidRPr="009413F6">
        <w:rPr>
          <w:rFonts w:ascii="Arial" w:hAnsi="Arial" w:cs="Arial"/>
          <w:sz w:val="20"/>
          <w:szCs w:val="20"/>
        </w:rPr>
        <w:t>Managing an insurance company’s assets is a complex task that requires specialized knowledge of all elements of the insurance industry and the many unique factors that influence investment management. As the timing and amount of liabilities of an insurer are very uncertain, the investment management process has to be integrated with liability management and daily operating cash flow management. Stability and predictability are the key constraints on the return profile of an insurance company.</w:t>
      </w:r>
    </w:p>
    <w:p w:rsidR="00F11709" w:rsidRPr="009413F6" w:rsidRDefault="00F11709" w:rsidP="00962C49">
      <w:pPr>
        <w:spacing w:before="120" w:after="120"/>
        <w:jc w:val="both"/>
        <w:rPr>
          <w:rFonts w:ascii="Arial" w:hAnsi="Arial" w:cs="Arial"/>
          <w:sz w:val="20"/>
          <w:szCs w:val="20"/>
        </w:rPr>
      </w:pPr>
      <w:r w:rsidRPr="009413F6">
        <w:rPr>
          <w:rFonts w:ascii="Arial" w:hAnsi="Arial" w:cs="Arial"/>
          <w:sz w:val="20"/>
          <w:szCs w:val="20"/>
        </w:rPr>
        <w:t xml:space="preserve">As a result, an insurance asset management company needs to possess a strong working knowledge of insurance company operations, lines of insurance, products, liabilities, statutory and regulatory requirements, and insurance company accounting and taxation issues. </w:t>
      </w:r>
    </w:p>
    <w:p w:rsidR="00F11709" w:rsidRPr="009413F6" w:rsidRDefault="00F11709" w:rsidP="00962C49">
      <w:pPr>
        <w:spacing w:before="120" w:after="120"/>
        <w:jc w:val="both"/>
        <w:rPr>
          <w:rFonts w:ascii="Arial" w:hAnsi="Arial" w:cs="Arial"/>
          <w:sz w:val="20"/>
          <w:szCs w:val="20"/>
        </w:rPr>
      </w:pPr>
      <w:r w:rsidRPr="009413F6">
        <w:rPr>
          <w:rFonts w:ascii="Arial" w:hAnsi="Arial" w:cs="Arial"/>
          <w:sz w:val="20"/>
          <w:szCs w:val="20"/>
        </w:rPr>
        <w:t>Worldwide, insurance companies hold assets more than US $ 1</w:t>
      </w:r>
      <w:r w:rsidR="00AF08D3">
        <w:rPr>
          <w:rFonts w:ascii="Arial" w:hAnsi="Arial" w:cs="Arial"/>
          <w:sz w:val="20"/>
          <w:szCs w:val="20"/>
        </w:rPr>
        <w:t xml:space="preserve">7.3 </w:t>
      </w:r>
      <w:r w:rsidRPr="009413F6">
        <w:rPr>
          <w:rFonts w:ascii="Arial" w:hAnsi="Arial" w:cs="Arial"/>
          <w:sz w:val="20"/>
          <w:szCs w:val="20"/>
        </w:rPr>
        <w:t>trillion, life insurance accounting for more than 80% of this total. Insurance companies generally form their own Asset Management Companies (AMCs) to manage their assets. However, an important trend is to outsource management of a portion of their portfolio to a third-party asset manager which specializes in managing insurance company assets. About 10% of total AUM gets outsourced in</w:t>
      </w:r>
      <w:r w:rsidRPr="009413F6">
        <w:rPr>
          <w:rFonts w:ascii="Arial" w:hAnsi="Arial" w:cs="Arial"/>
          <w:sz w:val="20"/>
        </w:rPr>
        <w:t xml:space="preserve"> </w:t>
      </w:r>
      <w:r w:rsidRPr="009413F6">
        <w:rPr>
          <w:rFonts w:ascii="Arial" w:hAnsi="Arial" w:cs="Arial"/>
          <w:sz w:val="20"/>
          <w:szCs w:val="20"/>
        </w:rPr>
        <w:t xml:space="preserve">this manner. </w:t>
      </w:r>
    </w:p>
    <w:p w:rsidR="00F11709" w:rsidRPr="00FE1670" w:rsidRDefault="003A291E" w:rsidP="00FE1670">
      <w:pPr>
        <w:pStyle w:val="Heading3"/>
        <w:keepNext w:val="0"/>
        <w:tabs>
          <w:tab w:val="clear" w:pos="6444"/>
          <w:tab w:val="num" w:pos="540"/>
        </w:tabs>
        <w:spacing w:before="120" w:after="120" w:line="240" w:lineRule="atLeast"/>
        <w:ind w:left="0" w:firstLine="0"/>
        <w:jc w:val="both"/>
      </w:pPr>
      <w:r>
        <w:t>Wealth Management</w:t>
      </w:r>
    </w:p>
    <w:p w:rsidR="009005FC" w:rsidRPr="000329C1" w:rsidRDefault="009005FC" w:rsidP="009005FC">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t xml:space="preserve">HNI/ Private Banking </w:t>
      </w:r>
    </w:p>
    <w:p w:rsidR="009005FC" w:rsidRPr="00962C49" w:rsidRDefault="009005FC" w:rsidP="009005FC">
      <w:pPr>
        <w:pStyle w:val="NormalWeb"/>
        <w:shd w:val="clear" w:color="auto" w:fill="FFFFFF"/>
        <w:jc w:val="both"/>
        <w:rPr>
          <w:rFonts w:ascii="Arial" w:hAnsi="Arial" w:cs="Arial"/>
          <w:color w:val="auto"/>
          <w:sz w:val="20"/>
          <w:szCs w:val="20"/>
        </w:rPr>
      </w:pPr>
      <w:r w:rsidRPr="00962C49">
        <w:rPr>
          <w:rFonts w:ascii="Arial" w:hAnsi="Arial" w:cs="Arial"/>
          <w:bCs/>
          <w:color w:val="auto"/>
          <w:sz w:val="20"/>
          <w:szCs w:val="20"/>
        </w:rPr>
        <w:t>Private banking</w:t>
      </w:r>
      <w:r w:rsidRPr="00962C49">
        <w:rPr>
          <w:rFonts w:ascii="Arial" w:hAnsi="Arial" w:cs="Arial"/>
          <w:color w:val="auto"/>
          <w:sz w:val="20"/>
          <w:szCs w:val="20"/>
        </w:rPr>
        <w:t xml:space="preserve"> is a term for </w:t>
      </w:r>
      <w:hyperlink r:id="rId46" w:tooltip="Bank" w:history="1">
        <w:r w:rsidRPr="00962C49">
          <w:rPr>
            <w:rStyle w:val="Hyperlink"/>
            <w:rFonts w:ascii="Arial" w:hAnsi="Arial" w:cs="Arial"/>
            <w:color w:val="auto"/>
            <w:sz w:val="20"/>
            <w:szCs w:val="20"/>
            <w:u w:val="none"/>
          </w:rPr>
          <w:t>banking</w:t>
        </w:r>
      </w:hyperlink>
      <w:r w:rsidRPr="00962C49">
        <w:rPr>
          <w:rFonts w:ascii="Arial" w:hAnsi="Arial" w:cs="Arial"/>
          <w:color w:val="auto"/>
          <w:sz w:val="20"/>
          <w:szCs w:val="20"/>
        </w:rPr>
        <w:t xml:space="preserve">, </w:t>
      </w:r>
      <w:hyperlink r:id="rId47" w:tooltip="Investment" w:history="1">
        <w:r w:rsidRPr="00962C49">
          <w:rPr>
            <w:rStyle w:val="Hyperlink"/>
            <w:rFonts w:ascii="Arial" w:hAnsi="Arial" w:cs="Arial"/>
            <w:color w:val="auto"/>
            <w:sz w:val="20"/>
            <w:szCs w:val="20"/>
            <w:u w:val="none"/>
          </w:rPr>
          <w:t>investment</w:t>
        </w:r>
      </w:hyperlink>
      <w:r w:rsidRPr="00962C49">
        <w:rPr>
          <w:rFonts w:ascii="Arial" w:hAnsi="Arial" w:cs="Arial"/>
          <w:color w:val="auto"/>
          <w:sz w:val="20"/>
          <w:szCs w:val="20"/>
        </w:rPr>
        <w:t xml:space="preserve"> and other </w:t>
      </w:r>
      <w:hyperlink r:id="rId48" w:tooltip="Financial services" w:history="1">
        <w:r w:rsidRPr="00962C49">
          <w:rPr>
            <w:rStyle w:val="Hyperlink"/>
            <w:rFonts w:ascii="Arial" w:hAnsi="Arial" w:cs="Arial"/>
            <w:color w:val="auto"/>
            <w:sz w:val="20"/>
            <w:szCs w:val="20"/>
            <w:u w:val="none"/>
          </w:rPr>
          <w:t>financial services</w:t>
        </w:r>
      </w:hyperlink>
      <w:r w:rsidRPr="00962C49">
        <w:rPr>
          <w:rFonts w:ascii="Arial" w:hAnsi="Arial" w:cs="Arial"/>
          <w:color w:val="auto"/>
          <w:sz w:val="20"/>
          <w:szCs w:val="20"/>
        </w:rPr>
        <w:t xml:space="preserve"> provided by banks to private individuals disposing of sizable assets. The term "private" refers to the customer service being rendered on a more personal basis than in mass-market </w:t>
      </w:r>
      <w:hyperlink r:id="rId49" w:tooltip="Retail banking" w:history="1">
        <w:r w:rsidRPr="00962C49">
          <w:rPr>
            <w:rStyle w:val="Hyperlink"/>
            <w:rFonts w:ascii="Arial" w:hAnsi="Arial" w:cs="Arial"/>
            <w:color w:val="auto"/>
            <w:sz w:val="20"/>
            <w:szCs w:val="20"/>
            <w:u w:val="none"/>
          </w:rPr>
          <w:t>retail banking</w:t>
        </w:r>
      </w:hyperlink>
      <w:r w:rsidRPr="00962C49">
        <w:rPr>
          <w:rFonts w:ascii="Arial" w:hAnsi="Arial" w:cs="Arial"/>
          <w:color w:val="auto"/>
          <w:sz w:val="20"/>
          <w:szCs w:val="20"/>
        </w:rPr>
        <w:t xml:space="preserve">, usually via dedicated bank advisers. Historically private banking has been viewed as very exclusive, only catering for </w:t>
      </w:r>
      <w:hyperlink r:id="rId50" w:tooltip="High net worth individual" w:history="1">
        <w:r w:rsidRPr="00962C49">
          <w:rPr>
            <w:rStyle w:val="Hyperlink"/>
            <w:rFonts w:ascii="Arial" w:hAnsi="Arial" w:cs="Arial"/>
            <w:color w:val="auto"/>
            <w:sz w:val="20"/>
            <w:szCs w:val="20"/>
            <w:u w:val="none"/>
          </w:rPr>
          <w:t>high net worth individuals</w:t>
        </w:r>
      </w:hyperlink>
      <w:r w:rsidRPr="00962C49">
        <w:rPr>
          <w:rFonts w:ascii="Arial" w:hAnsi="Arial" w:cs="Arial"/>
          <w:color w:val="auto"/>
          <w:sz w:val="20"/>
          <w:szCs w:val="20"/>
        </w:rPr>
        <w:t xml:space="preserve"> with liquidity over $1 million, although it is now possible to open some private bank accounts with as little as $50,000 for private investors. An institution's private banking division will provide various services such as wealth management, savings, inheritance and tax planning for their clients. A high-level form of private banking (for the especially affluent) is often referred to as </w:t>
      </w:r>
      <w:hyperlink r:id="rId51" w:tooltip="Wealth management" w:history="1">
        <w:r w:rsidRPr="00962C49">
          <w:rPr>
            <w:rStyle w:val="Hyperlink"/>
            <w:rFonts w:ascii="Arial" w:hAnsi="Arial" w:cs="Arial"/>
            <w:color w:val="auto"/>
            <w:sz w:val="20"/>
            <w:szCs w:val="20"/>
            <w:u w:val="none"/>
          </w:rPr>
          <w:t>wealth management</w:t>
        </w:r>
      </w:hyperlink>
      <w:r w:rsidRPr="00962C49">
        <w:rPr>
          <w:rFonts w:ascii="Arial" w:hAnsi="Arial" w:cs="Arial"/>
          <w:color w:val="auto"/>
          <w:sz w:val="20"/>
          <w:szCs w:val="20"/>
        </w:rPr>
        <w:t xml:space="preserve">. </w:t>
      </w:r>
    </w:p>
    <w:p w:rsidR="004F65B6" w:rsidRPr="000329C1" w:rsidRDefault="004F65B6" w:rsidP="004F65B6">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t>Family Office</w:t>
      </w:r>
    </w:p>
    <w:p w:rsidR="0060705C" w:rsidRPr="004A1383" w:rsidRDefault="0060705C" w:rsidP="00962C49">
      <w:pPr>
        <w:tabs>
          <w:tab w:val="num" w:pos="720"/>
          <w:tab w:val="num" w:pos="1440"/>
        </w:tabs>
        <w:jc w:val="both"/>
        <w:rPr>
          <w:rFonts w:ascii="Arial" w:hAnsi="Arial" w:cs="Arial"/>
          <w:sz w:val="20"/>
          <w:szCs w:val="20"/>
        </w:rPr>
      </w:pPr>
      <w:r w:rsidRPr="004A1383">
        <w:rPr>
          <w:rFonts w:ascii="Arial" w:hAnsi="Arial" w:cs="Arial"/>
          <w:sz w:val="20"/>
          <w:szCs w:val="20"/>
        </w:rPr>
        <w:t>Family office supports complex financial needs of a specific family</w:t>
      </w:r>
      <w:r>
        <w:rPr>
          <w:rFonts w:ascii="Arial" w:hAnsi="Arial" w:cs="Arial"/>
          <w:sz w:val="20"/>
          <w:szCs w:val="20"/>
        </w:rPr>
        <w:t xml:space="preserve"> or</w:t>
      </w:r>
      <w:r w:rsidRPr="004A1383">
        <w:rPr>
          <w:rFonts w:ascii="Arial" w:hAnsi="Arial" w:cs="Arial"/>
          <w:sz w:val="20"/>
          <w:szCs w:val="20"/>
        </w:rPr>
        <w:t xml:space="preserve"> group. This also acts as their ‘chief advisor’. The tasks managed by Family office include investment strategy, tax strategy, philanthropic strategy, personal services. There are different types of family office like Single Family Office, Multiple Family Office and Corporate Family Office. Single Family Office is set up and owned by and individual family. Multi Family Office serves the needs for more than one family with similar values and investment philosophies, leading to more efficient management of resources.</w:t>
      </w:r>
      <w:r>
        <w:rPr>
          <w:rFonts w:ascii="Arial" w:hAnsi="Arial" w:cs="Arial"/>
          <w:sz w:val="20"/>
          <w:szCs w:val="20"/>
        </w:rPr>
        <w:t xml:space="preserve"> </w:t>
      </w:r>
      <w:r w:rsidRPr="004A1383">
        <w:rPr>
          <w:rFonts w:ascii="Arial" w:hAnsi="Arial" w:cs="Arial"/>
          <w:sz w:val="20"/>
          <w:szCs w:val="20"/>
        </w:rPr>
        <w:t>Corporate Family Office provides complete range of family office services to multiple families customized to each family’s needs.</w:t>
      </w:r>
    </w:p>
    <w:p w:rsidR="00F11709" w:rsidRPr="000329C1" w:rsidRDefault="00F11709" w:rsidP="009005FC">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lastRenderedPageBreak/>
        <w:t>Managed Accounts</w:t>
      </w:r>
    </w:p>
    <w:p w:rsidR="00AA6659" w:rsidRDefault="00AA6659" w:rsidP="00962C49">
      <w:pPr>
        <w:spacing w:before="120" w:after="120"/>
        <w:jc w:val="both"/>
        <w:rPr>
          <w:rFonts w:ascii="Arial" w:hAnsi="Arial" w:cs="Arial"/>
          <w:sz w:val="20"/>
          <w:szCs w:val="20"/>
        </w:rPr>
      </w:pPr>
      <w:r>
        <w:rPr>
          <w:rFonts w:ascii="Arial" w:hAnsi="Arial" w:cs="Arial"/>
          <w:sz w:val="20"/>
          <w:szCs w:val="20"/>
        </w:rPr>
        <w:t>The key features of managed accounts are the following:</w:t>
      </w:r>
    </w:p>
    <w:p w:rsidR="00AA6659" w:rsidRPr="009413F6" w:rsidRDefault="00AA6659" w:rsidP="00962C49">
      <w:pPr>
        <w:pStyle w:val="body"/>
        <w:numPr>
          <w:ilvl w:val="0"/>
          <w:numId w:val="43"/>
        </w:numPr>
        <w:spacing w:before="120" w:beforeAutospacing="0" w:after="120" w:afterAutospacing="0" w:line="240" w:lineRule="auto"/>
        <w:jc w:val="both"/>
        <w:rPr>
          <w:rFonts w:ascii="Arial" w:hAnsi="Arial" w:cs="Arial"/>
          <w:sz w:val="20"/>
          <w:szCs w:val="20"/>
        </w:rPr>
      </w:pPr>
      <w:r w:rsidRPr="009413F6">
        <w:rPr>
          <w:rFonts w:ascii="Arial" w:hAnsi="Arial" w:cs="Arial"/>
          <w:sz w:val="20"/>
          <w:szCs w:val="20"/>
        </w:rPr>
        <w:t>Investors open individual accounts instead of pooling their money into a standard investment scheme.</w:t>
      </w:r>
    </w:p>
    <w:p w:rsidR="00AA6659" w:rsidRPr="009413F6" w:rsidRDefault="00AA6659" w:rsidP="00962C49">
      <w:pPr>
        <w:pStyle w:val="body"/>
        <w:numPr>
          <w:ilvl w:val="0"/>
          <w:numId w:val="43"/>
        </w:numPr>
        <w:spacing w:before="120" w:beforeAutospacing="0" w:after="120" w:afterAutospacing="0" w:line="240" w:lineRule="auto"/>
        <w:jc w:val="both"/>
        <w:rPr>
          <w:rFonts w:ascii="Arial" w:hAnsi="Arial" w:cs="Arial"/>
          <w:sz w:val="20"/>
          <w:szCs w:val="20"/>
        </w:rPr>
      </w:pPr>
      <w:r w:rsidRPr="009413F6">
        <w:rPr>
          <w:rFonts w:ascii="Arial" w:hAnsi="Arial" w:cs="Arial"/>
          <w:sz w:val="20"/>
          <w:szCs w:val="20"/>
        </w:rPr>
        <w:t>Money management is discretionary, that is, investors have varying degrees of control on the deployment of their funds</w:t>
      </w:r>
    </w:p>
    <w:p w:rsidR="00AA6659" w:rsidRPr="009413F6" w:rsidRDefault="00AA6659" w:rsidP="00962C49">
      <w:pPr>
        <w:pStyle w:val="body"/>
        <w:numPr>
          <w:ilvl w:val="0"/>
          <w:numId w:val="43"/>
        </w:numPr>
        <w:spacing w:before="120" w:beforeAutospacing="0" w:after="120" w:afterAutospacing="0" w:line="240" w:lineRule="auto"/>
        <w:jc w:val="both"/>
        <w:rPr>
          <w:rFonts w:ascii="Arial" w:hAnsi="Arial" w:cs="Arial"/>
          <w:sz w:val="20"/>
          <w:szCs w:val="20"/>
        </w:rPr>
      </w:pPr>
      <w:r w:rsidRPr="009413F6">
        <w:rPr>
          <w:rFonts w:ascii="Arial" w:hAnsi="Arial" w:cs="Arial"/>
          <w:sz w:val="20"/>
          <w:szCs w:val="20"/>
        </w:rPr>
        <w:t>Asset allocation is customized based on the specific needs, time horizon, and risk profile of the individual investor, taking cognizance of special occasions in the investor’s time horizon. Thus, investors will have a personalized Investment Policy Statement. This is unlike the pooled investment vehicles.</w:t>
      </w:r>
    </w:p>
    <w:p w:rsidR="00AA6659" w:rsidRPr="009413F6" w:rsidRDefault="00AA6659" w:rsidP="00962C49">
      <w:pPr>
        <w:pStyle w:val="body"/>
        <w:numPr>
          <w:ilvl w:val="0"/>
          <w:numId w:val="43"/>
        </w:numPr>
        <w:spacing w:before="120" w:beforeAutospacing="0" w:after="120" w:afterAutospacing="0" w:line="240" w:lineRule="auto"/>
        <w:jc w:val="both"/>
        <w:rPr>
          <w:rFonts w:ascii="Arial" w:hAnsi="Arial" w:cs="Arial"/>
          <w:sz w:val="20"/>
          <w:szCs w:val="20"/>
        </w:rPr>
      </w:pPr>
      <w:r w:rsidRPr="009413F6">
        <w:rPr>
          <w:rFonts w:ascii="Arial" w:hAnsi="Arial" w:cs="Arial"/>
          <w:sz w:val="20"/>
          <w:szCs w:val="20"/>
        </w:rPr>
        <w:t xml:space="preserve">A Managed Account investor has a direct ownership of securities in his/her portfolio. </w:t>
      </w:r>
    </w:p>
    <w:p w:rsidR="00AA6659" w:rsidRDefault="00AA6659" w:rsidP="00962C49">
      <w:pPr>
        <w:spacing w:before="120" w:after="120"/>
        <w:jc w:val="both"/>
        <w:rPr>
          <w:rFonts w:ascii="Arial" w:hAnsi="Arial" w:cs="Arial"/>
          <w:sz w:val="20"/>
          <w:szCs w:val="20"/>
        </w:rPr>
      </w:pPr>
    </w:p>
    <w:p w:rsidR="00F11709" w:rsidRDefault="00F11709" w:rsidP="00962C49">
      <w:pPr>
        <w:spacing w:before="120" w:after="120"/>
        <w:jc w:val="both"/>
        <w:rPr>
          <w:rFonts w:ascii="Arial" w:hAnsi="Arial" w:cs="Arial"/>
          <w:sz w:val="20"/>
          <w:szCs w:val="20"/>
        </w:rPr>
      </w:pPr>
      <w:r w:rsidRPr="009413F6">
        <w:rPr>
          <w:rFonts w:ascii="Arial" w:hAnsi="Arial" w:cs="Arial"/>
          <w:sz w:val="20"/>
          <w:szCs w:val="20"/>
        </w:rPr>
        <w:t xml:space="preserve">A separately managed account is a portfolio of securities owned directly by the investor and managed by professional money manager in lieu of an asset-based fee. SMA or the separately managed accounts provides the individual investors the same quality of service as offered to institutional investors. Separately managed accounts help investors build and manage their wealth by focusing on the investor's individual investment goals, time horizon, and risk tolerance. </w:t>
      </w:r>
    </w:p>
    <w:p w:rsidR="00F11709" w:rsidRPr="000329C1" w:rsidRDefault="003A291E" w:rsidP="00311F11">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t>Advisory Services</w:t>
      </w:r>
    </w:p>
    <w:p w:rsidR="005D1C9D" w:rsidRPr="005D1C9D" w:rsidRDefault="005D1C9D" w:rsidP="00962C49">
      <w:pPr>
        <w:jc w:val="both"/>
        <w:rPr>
          <w:rFonts w:ascii="Arial" w:hAnsi="Arial" w:cs="Arial"/>
          <w:sz w:val="20"/>
          <w:szCs w:val="20"/>
        </w:rPr>
      </w:pPr>
      <w:r w:rsidRPr="005D1C9D">
        <w:rPr>
          <w:rFonts w:ascii="Arial" w:hAnsi="Arial" w:cs="Arial"/>
          <w:sz w:val="20"/>
          <w:szCs w:val="20"/>
        </w:rPr>
        <w:t xml:space="preserve">Financial advisory is the business of providing financial planning, products and services, designed to offer solutions that address customers’ asset growth, income and protection needs. For retails clients typical products include annuities, insurance, retirement accounts, mutual funds etc. For institutions employee benefit plan administration, trust and custody are common services. These services and products are delivered through a network of financial advisors. These advisors could be either employees of the advisory firm or independent. Financial advisor provides financial advice to the client; financial advisor may be affiliated to a Financial Advisory Firm, Investment Advisory Firm, Bank, Brokerage firm, Accounting Firm, Credit Union, or may be an independent practitioner. Client opens an account with the Financial Advisory firm either directly or via a Financial Advisor. The financial advisor develops a financial plan based on client inputs. Financial advisor may utilize Third Party Intermediating Entity, Financial Product Distributor or a Financial Product Manufacturer to implement the financial plan. They can be Banks, Mutual Funds, Insurance Firms, Brokerage firms or Pension funds etc </w:t>
      </w:r>
      <w:r w:rsidR="00962C49" w:rsidRPr="005D1C9D">
        <w:rPr>
          <w:rFonts w:ascii="Arial" w:hAnsi="Arial" w:cs="Arial"/>
          <w:sz w:val="20"/>
          <w:szCs w:val="20"/>
        </w:rPr>
        <w:t>financial</w:t>
      </w:r>
      <w:r w:rsidRPr="005D1C9D">
        <w:rPr>
          <w:rFonts w:ascii="Arial" w:hAnsi="Arial" w:cs="Arial"/>
          <w:sz w:val="20"/>
          <w:szCs w:val="20"/>
        </w:rPr>
        <w:t xml:space="preserve"> advisor monitors/tracks/reviews the financial plan and progress depending upon the nature of engagement.</w:t>
      </w:r>
    </w:p>
    <w:p w:rsidR="005D1C9D" w:rsidRPr="00F27615" w:rsidRDefault="005D1C9D" w:rsidP="005D1C9D">
      <w:pPr>
        <w:jc w:val="both"/>
      </w:pPr>
    </w:p>
    <w:p w:rsidR="00F11709" w:rsidRPr="00752CDD" w:rsidRDefault="003A291E" w:rsidP="00752CDD">
      <w:pPr>
        <w:pStyle w:val="Heading3"/>
        <w:keepNext w:val="0"/>
        <w:tabs>
          <w:tab w:val="clear" w:pos="6444"/>
          <w:tab w:val="num" w:pos="540"/>
        </w:tabs>
        <w:spacing w:before="120" w:after="120" w:line="240" w:lineRule="atLeast"/>
        <w:ind w:left="0" w:firstLine="0"/>
        <w:jc w:val="both"/>
      </w:pPr>
      <w:r>
        <w:t>Alternative Investments</w:t>
      </w:r>
    </w:p>
    <w:p w:rsidR="00F11709" w:rsidRPr="000329C1" w:rsidRDefault="00F11709" w:rsidP="00311F11">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t>Hedge Funds</w:t>
      </w:r>
    </w:p>
    <w:p w:rsidR="00F11709" w:rsidRPr="00E168FA" w:rsidRDefault="00F11709" w:rsidP="00262773">
      <w:pPr>
        <w:spacing w:before="120" w:after="120"/>
        <w:jc w:val="both"/>
        <w:rPr>
          <w:rFonts w:ascii="Arial" w:hAnsi="Arial" w:cs="Arial"/>
          <w:sz w:val="20"/>
          <w:szCs w:val="20"/>
        </w:rPr>
      </w:pPr>
      <w:r w:rsidRPr="00E168FA">
        <w:rPr>
          <w:rFonts w:ascii="Arial" w:hAnsi="Arial" w:cs="Arial"/>
          <w:sz w:val="20"/>
          <w:szCs w:val="20"/>
        </w:rPr>
        <w:t>Hedge Fund is an aggressively managed portfolio of investments that uses advanced investment strategies such as leverage, long, short and derivative positions in both domestic and international markets with the goal of generating high returns (either in an absolute sense, or over a specified market benchmark).</w:t>
      </w:r>
    </w:p>
    <w:p w:rsidR="00F11709" w:rsidRPr="00E168FA" w:rsidRDefault="00F11709" w:rsidP="00262773">
      <w:pPr>
        <w:spacing w:before="120" w:after="120"/>
        <w:jc w:val="both"/>
        <w:rPr>
          <w:rFonts w:ascii="Arial" w:hAnsi="Arial" w:cs="Arial"/>
          <w:sz w:val="20"/>
          <w:szCs w:val="20"/>
        </w:rPr>
      </w:pPr>
      <w:r w:rsidRPr="00E168FA">
        <w:rPr>
          <w:rFonts w:ascii="Arial" w:hAnsi="Arial" w:cs="Arial"/>
          <w:sz w:val="20"/>
          <w:szCs w:val="20"/>
        </w:rPr>
        <w:t xml:space="preserve">Legally, hedge funds are most often set up as private investment partnerships that are open to a limited number of investors and require a very large initial minimum investment. Investments in </w:t>
      </w:r>
      <w:r w:rsidRPr="00E168FA">
        <w:rPr>
          <w:rFonts w:ascii="Arial" w:hAnsi="Arial" w:cs="Arial"/>
          <w:sz w:val="20"/>
          <w:szCs w:val="20"/>
        </w:rPr>
        <w:lastRenderedPageBreak/>
        <w:t>hedge funds are illiquid as they often require investors keep their money in the fund for a minimum period of at least one year.</w:t>
      </w:r>
    </w:p>
    <w:p w:rsidR="00F11709" w:rsidRPr="00E168FA" w:rsidRDefault="00F11709" w:rsidP="00E168FA">
      <w:pPr>
        <w:spacing w:before="120" w:after="120"/>
        <w:jc w:val="both"/>
        <w:rPr>
          <w:rFonts w:ascii="Arial" w:hAnsi="Arial" w:cs="Arial"/>
          <w:sz w:val="20"/>
          <w:szCs w:val="20"/>
        </w:rPr>
      </w:pPr>
      <w:r w:rsidRPr="00E168FA">
        <w:rPr>
          <w:rFonts w:ascii="Arial" w:hAnsi="Arial" w:cs="Arial"/>
          <w:sz w:val="20"/>
          <w:szCs w:val="20"/>
        </w:rPr>
        <w:t xml:space="preserve">For the most part, hedge funds (unlike mutual funds) are unregulated because they cater to sophisticated investors. In the </w:t>
      </w:r>
      <w:smartTag w:uri="urn:schemas-microsoft-com:office:smarttags" w:element="place">
        <w:smartTag w:uri="urn:schemas-microsoft-com:office:smarttags" w:element="country-region">
          <w:r w:rsidRPr="00E168FA">
            <w:rPr>
              <w:rFonts w:ascii="Arial" w:hAnsi="Arial" w:cs="Arial"/>
              <w:sz w:val="20"/>
              <w:szCs w:val="20"/>
            </w:rPr>
            <w:t>U.S.</w:t>
          </w:r>
        </w:smartTag>
      </w:smartTag>
      <w:r w:rsidRPr="00E168FA">
        <w:rPr>
          <w:rFonts w:ascii="Arial" w:hAnsi="Arial" w:cs="Arial"/>
          <w:sz w:val="20"/>
          <w:szCs w:val="20"/>
        </w:rPr>
        <w:t>, laws require that the majority of investors in the fund be accredited. That is, they must earn a minimum amount of money annually and have a net worth of over $1 million, along with a significant amount of investment knowledge. You can think of hedge funds as mutual funds for the super-rich. They are similar to mutual funds in that investments are pooled and professionally managed, but differ in that the fund has far more flexibility in its investment strategies.</w:t>
      </w:r>
    </w:p>
    <w:p w:rsidR="00F11709" w:rsidRPr="00E168FA" w:rsidRDefault="00F11709" w:rsidP="00E168FA">
      <w:pPr>
        <w:spacing w:before="120" w:after="120"/>
        <w:jc w:val="both"/>
        <w:rPr>
          <w:rFonts w:ascii="Arial" w:hAnsi="Arial" w:cs="Arial"/>
          <w:sz w:val="20"/>
          <w:szCs w:val="20"/>
        </w:rPr>
      </w:pPr>
      <w:r w:rsidRPr="00E168FA">
        <w:rPr>
          <w:rFonts w:ascii="Arial" w:hAnsi="Arial" w:cs="Arial"/>
          <w:sz w:val="20"/>
          <w:szCs w:val="20"/>
        </w:rPr>
        <w:t>It is important to note that hedging is actually the practice of attempting to reduce risk, but the goal of most hedge funds is to maximize return on investment. The name is mostly historical, as the first hedge funds tried to hedge against the downside risk of a bear market with their ability to short the market (mutual funds generally can't enter into short positions as one of their primary goals). Nowadays, hedge funds use dozens of different strategies, so it isn't accurate to say that hedge funds just "hedge risk". In fact, because hedge fund managers make speculative investments, these funds can carry more risk than the overall market.</w:t>
      </w:r>
    </w:p>
    <w:p w:rsidR="00F11709" w:rsidRPr="000329C1" w:rsidRDefault="00AA6659" w:rsidP="00311F11">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t>Private Equity</w:t>
      </w:r>
    </w:p>
    <w:p w:rsidR="002908E2" w:rsidRPr="00262773" w:rsidRDefault="00CE374C" w:rsidP="00262773">
      <w:pPr>
        <w:jc w:val="both"/>
        <w:rPr>
          <w:rFonts w:ascii="Arial" w:hAnsi="Arial" w:cs="Arial"/>
          <w:sz w:val="20"/>
          <w:szCs w:val="20"/>
        </w:rPr>
      </w:pPr>
      <w:r w:rsidRPr="00262773">
        <w:rPr>
          <w:rFonts w:ascii="Arial" w:hAnsi="Arial" w:cs="Arial"/>
          <w:bCs/>
          <w:sz w:val="20"/>
          <w:szCs w:val="20"/>
        </w:rPr>
        <w:t>Private equity</w:t>
      </w:r>
      <w:r w:rsidRPr="00262773">
        <w:rPr>
          <w:rFonts w:ascii="Arial" w:hAnsi="Arial" w:cs="Arial"/>
          <w:sz w:val="20"/>
          <w:szCs w:val="20"/>
        </w:rPr>
        <w:t xml:space="preserve"> is an </w:t>
      </w:r>
      <w:hyperlink r:id="rId52" w:tooltip="Asset class" w:history="1">
        <w:r w:rsidRPr="00262773">
          <w:rPr>
            <w:rStyle w:val="Hyperlink"/>
            <w:rFonts w:ascii="Arial" w:hAnsi="Arial" w:cs="Arial"/>
            <w:color w:val="auto"/>
            <w:sz w:val="20"/>
            <w:szCs w:val="20"/>
            <w:u w:val="none"/>
          </w:rPr>
          <w:t>asset class</w:t>
        </w:r>
      </w:hyperlink>
      <w:r w:rsidRPr="00262773">
        <w:rPr>
          <w:rFonts w:ascii="Arial" w:hAnsi="Arial" w:cs="Arial"/>
          <w:sz w:val="20"/>
          <w:szCs w:val="20"/>
        </w:rPr>
        <w:t xml:space="preserve"> consisting of </w:t>
      </w:r>
      <w:hyperlink r:id="rId53" w:tooltip="Equity" w:history="1">
        <w:r w:rsidRPr="00262773">
          <w:rPr>
            <w:rStyle w:val="Hyperlink"/>
            <w:rFonts w:ascii="Arial" w:hAnsi="Arial" w:cs="Arial"/>
            <w:color w:val="auto"/>
            <w:sz w:val="20"/>
            <w:szCs w:val="20"/>
            <w:u w:val="none"/>
          </w:rPr>
          <w:t>equity</w:t>
        </w:r>
      </w:hyperlink>
      <w:r w:rsidRPr="00262773">
        <w:rPr>
          <w:rFonts w:ascii="Arial" w:hAnsi="Arial" w:cs="Arial"/>
          <w:sz w:val="20"/>
          <w:szCs w:val="20"/>
        </w:rPr>
        <w:t xml:space="preserve"> securities in operating companies that are not </w:t>
      </w:r>
      <w:hyperlink r:id="rId54" w:tooltip="Publicly traded" w:history="1">
        <w:r w:rsidRPr="00262773">
          <w:rPr>
            <w:rStyle w:val="Hyperlink"/>
            <w:rFonts w:ascii="Arial" w:hAnsi="Arial" w:cs="Arial"/>
            <w:color w:val="auto"/>
            <w:sz w:val="20"/>
            <w:szCs w:val="20"/>
            <w:u w:val="none"/>
          </w:rPr>
          <w:t>publicly traded</w:t>
        </w:r>
      </w:hyperlink>
      <w:r w:rsidRPr="00262773">
        <w:rPr>
          <w:rFonts w:ascii="Arial" w:hAnsi="Arial" w:cs="Arial"/>
          <w:sz w:val="20"/>
          <w:szCs w:val="20"/>
        </w:rPr>
        <w:t xml:space="preserve"> on a </w:t>
      </w:r>
      <w:hyperlink r:id="rId55" w:tooltip="Stock exchange" w:history="1">
        <w:r w:rsidRPr="00262773">
          <w:rPr>
            <w:rFonts w:ascii="Arial" w:hAnsi="Arial" w:cs="Arial"/>
            <w:sz w:val="20"/>
            <w:szCs w:val="20"/>
          </w:rPr>
          <w:t>stock exchange</w:t>
        </w:r>
      </w:hyperlink>
      <w:r w:rsidRPr="00262773">
        <w:rPr>
          <w:rFonts w:ascii="Arial" w:hAnsi="Arial" w:cs="Arial"/>
          <w:sz w:val="20"/>
          <w:szCs w:val="20"/>
        </w:rPr>
        <w:t>. There are a wide array of types and styles of private equity and the term private equity has different connotations in different countries.</w:t>
      </w:r>
    </w:p>
    <w:p w:rsidR="00CE374C" w:rsidRPr="00262773" w:rsidRDefault="00CE374C" w:rsidP="00262773">
      <w:pPr>
        <w:pStyle w:val="NormalWeb"/>
        <w:shd w:val="clear" w:color="auto" w:fill="FFFFFF"/>
        <w:jc w:val="both"/>
        <w:rPr>
          <w:rFonts w:ascii="Arial" w:hAnsi="Arial" w:cs="Arial"/>
          <w:color w:val="auto"/>
          <w:sz w:val="20"/>
          <w:szCs w:val="20"/>
        </w:rPr>
      </w:pPr>
      <w:r w:rsidRPr="00262773">
        <w:rPr>
          <w:rFonts w:ascii="Arial" w:hAnsi="Arial" w:cs="Arial"/>
          <w:color w:val="auto"/>
          <w:sz w:val="20"/>
          <w:szCs w:val="20"/>
        </w:rPr>
        <w:t>Private equity investments can be divided into the following categories:</w:t>
      </w:r>
    </w:p>
    <w:p w:rsidR="00CE374C" w:rsidRPr="00262773" w:rsidRDefault="00FC0435" w:rsidP="00262773">
      <w:pPr>
        <w:numPr>
          <w:ilvl w:val="0"/>
          <w:numId w:val="38"/>
        </w:numPr>
        <w:jc w:val="both"/>
        <w:rPr>
          <w:rFonts w:ascii="Arial" w:hAnsi="Arial" w:cs="Arial"/>
          <w:sz w:val="20"/>
          <w:szCs w:val="20"/>
        </w:rPr>
      </w:pPr>
      <w:hyperlink r:id="rId56" w:tooltip="Leveraged buyout" w:history="1">
        <w:r w:rsidR="00CE374C" w:rsidRPr="00262773">
          <w:rPr>
            <w:rStyle w:val="Hyperlink"/>
            <w:rFonts w:ascii="Arial" w:hAnsi="Arial" w:cs="Arial"/>
            <w:bCs/>
            <w:color w:val="auto"/>
            <w:sz w:val="20"/>
            <w:szCs w:val="20"/>
            <w:u w:val="none"/>
          </w:rPr>
          <w:t xml:space="preserve">Leveraged buyout </w:t>
        </w:r>
      </w:hyperlink>
      <w:r w:rsidR="00262773" w:rsidRPr="00262773">
        <w:rPr>
          <w:rFonts w:ascii="Arial" w:hAnsi="Arial" w:cs="Arial"/>
          <w:sz w:val="20"/>
          <w:szCs w:val="20"/>
        </w:rPr>
        <w:t>(</w:t>
      </w:r>
      <w:hyperlink r:id="rId57" w:tooltip="Leveraged buyout" w:history="1">
        <w:r w:rsidR="00CE374C" w:rsidRPr="00262773">
          <w:rPr>
            <w:rStyle w:val="Hyperlink"/>
            <w:rFonts w:ascii="Arial" w:hAnsi="Arial" w:cs="Arial"/>
            <w:bCs/>
            <w:color w:val="auto"/>
            <w:sz w:val="20"/>
            <w:szCs w:val="20"/>
            <w:u w:val="none"/>
          </w:rPr>
          <w:t>LBO</w:t>
        </w:r>
      </w:hyperlink>
      <w:r w:rsidR="00CE374C" w:rsidRPr="00262773">
        <w:rPr>
          <w:rFonts w:ascii="Arial" w:hAnsi="Arial" w:cs="Arial"/>
          <w:bCs/>
          <w:sz w:val="20"/>
          <w:szCs w:val="20"/>
        </w:rPr>
        <w:t>)</w:t>
      </w:r>
      <w:r w:rsidR="00CE374C" w:rsidRPr="00262773">
        <w:rPr>
          <w:rFonts w:ascii="Arial" w:hAnsi="Arial" w:cs="Arial"/>
          <w:sz w:val="20"/>
          <w:szCs w:val="20"/>
        </w:rPr>
        <w:t xml:space="preserve">: Refers to a strategy of making equity investments as part of a transaction in which a company, business unit or business assets is acquired from the current shareholders typically with the use of financial leverage. The companies involved in these transactions are typically more mature and generate operating cash flows. </w:t>
      </w:r>
    </w:p>
    <w:p w:rsidR="00CE374C" w:rsidRPr="00262773" w:rsidRDefault="00FC0435" w:rsidP="00262773">
      <w:pPr>
        <w:numPr>
          <w:ilvl w:val="0"/>
          <w:numId w:val="38"/>
        </w:numPr>
        <w:jc w:val="both"/>
        <w:rPr>
          <w:rFonts w:ascii="Arial" w:hAnsi="Arial" w:cs="Arial"/>
          <w:sz w:val="20"/>
          <w:szCs w:val="20"/>
        </w:rPr>
      </w:pPr>
      <w:hyperlink r:id="rId58" w:tooltip="Venture capital" w:history="1">
        <w:r w:rsidR="00CE374C" w:rsidRPr="00262773">
          <w:rPr>
            <w:rStyle w:val="Hyperlink"/>
            <w:rFonts w:ascii="Arial" w:hAnsi="Arial" w:cs="Arial"/>
            <w:bCs/>
            <w:color w:val="auto"/>
            <w:sz w:val="20"/>
            <w:szCs w:val="20"/>
            <w:u w:val="none"/>
          </w:rPr>
          <w:t>Venture capital</w:t>
        </w:r>
      </w:hyperlink>
      <w:r w:rsidR="00CE374C" w:rsidRPr="00262773">
        <w:rPr>
          <w:rFonts w:ascii="Arial" w:hAnsi="Arial" w:cs="Arial"/>
          <w:sz w:val="20"/>
          <w:szCs w:val="20"/>
        </w:rPr>
        <w:t xml:space="preserve">: A broad subcategory of private equity that refers to equity investments made, typically in less mature companies, for the launch, early development, or expansion of a business. </w:t>
      </w:r>
      <w:hyperlink r:id="rId59" w:tooltip="Venture Capital" w:history="1">
        <w:r w:rsidR="00CE374C" w:rsidRPr="00262773">
          <w:rPr>
            <w:rStyle w:val="Hyperlink"/>
            <w:rFonts w:ascii="Arial" w:hAnsi="Arial" w:cs="Arial"/>
            <w:color w:val="auto"/>
            <w:sz w:val="20"/>
            <w:szCs w:val="20"/>
            <w:u w:val="none"/>
          </w:rPr>
          <w:t>Venture Capital</w:t>
        </w:r>
      </w:hyperlink>
      <w:r w:rsidR="00CE374C" w:rsidRPr="00262773">
        <w:rPr>
          <w:rFonts w:ascii="Arial" w:hAnsi="Arial" w:cs="Arial"/>
          <w:sz w:val="20"/>
          <w:szCs w:val="20"/>
        </w:rPr>
        <w:t xml:space="preserve"> is often sub-divided by the stage of development of the company ranging from early stage capital used for the launch of </w:t>
      </w:r>
      <w:hyperlink r:id="rId60" w:tooltip="Start-up companies" w:history="1">
        <w:r w:rsidR="00CE374C" w:rsidRPr="00262773">
          <w:rPr>
            <w:rStyle w:val="Hyperlink"/>
            <w:rFonts w:ascii="Arial" w:hAnsi="Arial" w:cs="Arial"/>
            <w:color w:val="auto"/>
            <w:sz w:val="20"/>
            <w:szCs w:val="20"/>
            <w:u w:val="none"/>
          </w:rPr>
          <w:t>start-up companies</w:t>
        </w:r>
      </w:hyperlink>
      <w:r w:rsidR="00CE374C" w:rsidRPr="00262773">
        <w:rPr>
          <w:rFonts w:ascii="Arial" w:hAnsi="Arial" w:cs="Arial"/>
          <w:sz w:val="20"/>
          <w:szCs w:val="20"/>
        </w:rPr>
        <w:t xml:space="preserve"> to late stage and growth capital that is often used to fund expansion of existing business that are generating revenue but may not yet be profitable or generating cash flow to fund future growth.</w:t>
      </w:r>
    </w:p>
    <w:p w:rsidR="00CE374C" w:rsidRPr="00262773" w:rsidRDefault="00FC0435" w:rsidP="00262773">
      <w:pPr>
        <w:numPr>
          <w:ilvl w:val="0"/>
          <w:numId w:val="38"/>
        </w:numPr>
        <w:jc w:val="both"/>
        <w:rPr>
          <w:rFonts w:ascii="Arial" w:hAnsi="Arial" w:cs="Arial"/>
          <w:sz w:val="20"/>
          <w:szCs w:val="20"/>
        </w:rPr>
      </w:pPr>
      <w:hyperlink r:id="rId61" w:tooltip="Growth capital" w:history="1">
        <w:r w:rsidR="00CE374C" w:rsidRPr="00262773">
          <w:rPr>
            <w:rStyle w:val="Hyperlink"/>
            <w:rFonts w:ascii="Arial" w:hAnsi="Arial" w:cs="Arial"/>
            <w:bCs/>
            <w:color w:val="auto"/>
            <w:sz w:val="20"/>
            <w:szCs w:val="20"/>
            <w:u w:val="none"/>
          </w:rPr>
          <w:t>Growth capital</w:t>
        </w:r>
      </w:hyperlink>
      <w:r w:rsidR="00CE374C" w:rsidRPr="00262773">
        <w:rPr>
          <w:rFonts w:ascii="Arial" w:hAnsi="Arial" w:cs="Arial"/>
          <w:sz w:val="20"/>
          <w:szCs w:val="20"/>
        </w:rPr>
        <w:t xml:space="preserve">: Refers to equity investments, most often minority investments, in more mature companies that are looking for capital to expand or restructure operations, enter new markets or finance a major acquisition without a change of control of the business. </w:t>
      </w:r>
    </w:p>
    <w:p w:rsidR="00CE374C" w:rsidRPr="00CE374C" w:rsidRDefault="00CE374C" w:rsidP="002908E2">
      <w:pPr>
        <w:rPr>
          <w:sz w:val="20"/>
          <w:szCs w:val="20"/>
        </w:rPr>
      </w:pPr>
    </w:p>
    <w:p w:rsidR="00AA6659" w:rsidRPr="000329C1" w:rsidRDefault="00AA6659" w:rsidP="00AA6659">
      <w:pPr>
        <w:pStyle w:val="body"/>
        <w:spacing w:before="120" w:after="120" w:line="240" w:lineRule="atLeast"/>
        <w:jc w:val="both"/>
        <w:rPr>
          <w:rFonts w:ascii="Arial" w:hAnsi="Arial" w:cs="Arial"/>
          <w:b/>
          <w:bCs/>
          <w:color w:val="0000FF"/>
          <w:sz w:val="22"/>
          <w:szCs w:val="22"/>
        </w:rPr>
      </w:pPr>
      <w:r w:rsidRPr="000329C1">
        <w:rPr>
          <w:rFonts w:ascii="Arial" w:hAnsi="Arial" w:cs="Arial"/>
          <w:b/>
          <w:bCs/>
          <w:color w:val="0000FF"/>
          <w:sz w:val="22"/>
          <w:szCs w:val="22"/>
        </w:rPr>
        <w:t>Real Estate Investment</w:t>
      </w:r>
    </w:p>
    <w:p w:rsidR="00AA6659" w:rsidRDefault="00CE374C" w:rsidP="00E168FA">
      <w:pPr>
        <w:jc w:val="both"/>
        <w:rPr>
          <w:rFonts w:ascii="Arial" w:hAnsi="Arial" w:cs="Arial"/>
          <w:color w:val="000000"/>
          <w:sz w:val="20"/>
          <w:szCs w:val="20"/>
        </w:rPr>
      </w:pPr>
      <w:r w:rsidRPr="009A1580">
        <w:rPr>
          <w:rFonts w:ascii="Arial" w:hAnsi="Arial" w:cs="Arial"/>
          <w:color w:val="333333"/>
          <w:sz w:val="20"/>
          <w:szCs w:val="20"/>
        </w:rPr>
        <w:t xml:space="preserve">A real estate investment can relate to an investment property or investment in real estate via an investment fund or </w:t>
      </w:r>
      <w:r w:rsidR="009A1580" w:rsidRPr="009A1580">
        <w:rPr>
          <w:rFonts w:ascii="Arial" w:hAnsi="Arial" w:cs="Arial"/>
          <w:color w:val="333333"/>
          <w:sz w:val="20"/>
          <w:szCs w:val="20"/>
        </w:rPr>
        <w:t>trust.</w:t>
      </w:r>
      <w:r w:rsidR="009A1580" w:rsidRPr="009A1580">
        <w:rPr>
          <w:rFonts w:ascii="Arial" w:hAnsi="Arial" w:cs="Arial"/>
          <w:color w:val="000000"/>
          <w:sz w:val="20"/>
          <w:szCs w:val="20"/>
        </w:rPr>
        <w:t xml:space="preserve"> Common examples of real estate investment are individuals owning multiple pieces of real </w:t>
      </w:r>
      <w:proofErr w:type="spellStart"/>
      <w:r w:rsidR="009A1580" w:rsidRPr="009A1580">
        <w:rPr>
          <w:rFonts w:ascii="Arial" w:hAnsi="Arial" w:cs="Arial"/>
          <w:color w:val="000000"/>
          <w:sz w:val="20"/>
          <w:szCs w:val="20"/>
        </w:rPr>
        <w:t>estates</w:t>
      </w:r>
      <w:proofErr w:type="spellEnd"/>
      <w:r w:rsidR="009A1580" w:rsidRPr="009A1580">
        <w:rPr>
          <w:rFonts w:ascii="Arial" w:hAnsi="Arial" w:cs="Arial"/>
          <w:color w:val="000000"/>
          <w:sz w:val="20"/>
          <w:szCs w:val="20"/>
        </w:rPr>
        <w:t xml:space="preserve"> one of which is his primary residence and others are occupied by tenants from where the rental income accrues. Real estate investment is also associated with appreciation in the value of property thereby having the potential for capital gains. Tax implications differ for real estate investment and residential real estates. Real estate investment is long term in nature and investment professionals routinely maintain that </w:t>
      </w:r>
      <w:proofErr w:type="spellStart"/>
      <w:r w:rsidR="009A1580" w:rsidRPr="009A1580">
        <w:rPr>
          <w:rFonts w:ascii="Arial" w:hAnsi="Arial" w:cs="Arial"/>
          <w:color w:val="000000"/>
          <w:sz w:val="20"/>
          <w:szCs w:val="20"/>
        </w:rPr>
        <w:t>ones</w:t>
      </w:r>
      <w:proofErr w:type="spellEnd"/>
      <w:r w:rsidR="009A1580" w:rsidRPr="009A1580">
        <w:rPr>
          <w:rFonts w:ascii="Arial" w:hAnsi="Arial" w:cs="Arial"/>
          <w:color w:val="000000"/>
          <w:sz w:val="20"/>
          <w:szCs w:val="20"/>
        </w:rPr>
        <w:t xml:space="preserve"> investment portfolio should have at least 5%-20% invested in real estate.</w:t>
      </w:r>
      <w:r w:rsidR="009A1580">
        <w:rPr>
          <w:rFonts w:ascii="Arial" w:hAnsi="Arial" w:cs="Arial"/>
          <w:color w:val="000000"/>
          <w:sz w:val="20"/>
          <w:szCs w:val="20"/>
        </w:rPr>
        <w:t xml:space="preserve"> </w:t>
      </w:r>
    </w:p>
    <w:p w:rsidR="004838C2" w:rsidRPr="009413F6" w:rsidRDefault="009A1580" w:rsidP="00E168FA">
      <w:pPr>
        <w:spacing w:before="120" w:after="120"/>
        <w:jc w:val="both"/>
        <w:rPr>
          <w:rFonts w:ascii="Arial" w:hAnsi="Arial" w:cs="Arial"/>
          <w:sz w:val="20"/>
          <w:szCs w:val="20"/>
        </w:rPr>
      </w:pPr>
      <w:r w:rsidRPr="009A1580">
        <w:rPr>
          <w:rFonts w:ascii="Arial" w:hAnsi="Arial" w:cs="Arial"/>
          <w:color w:val="000000"/>
          <w:sz w:val="20"/>
          <w:szCs w:val="20"/>
        </w:rPr>
        <w:lastRenderedPageBreak/>
        <w:t>A Real Estate Investment Trust (REIT) is a corporation or body investing in real estate that has the property to reduce or eliminate corporate income taxes. In return, REIT’s are required to distribute 90% of their income among the investors. These incomes are often taxable. REIT’s provide a similar function as does Mutual Funds provide for stocks in the share market. The key statistics to study about the REIT’s are the NAV (Net Asset Value) and AFFO (Adjusted Funds from Operation).</w:t>
      </w:r>
    </w:p>
    <w:p w:rsidR="0086200B" w:rsidRPr="009413F6" w:rsidRDefault="00AC4AB0" w:rsidP="003E3FB6">
      <w:pPr>
        <w:pStyle w:val="body"/>
        <w:spacing w:before="120" w:after="120" w:line="240" w:lineRule="atLeast"/>
        <w:jc w:val="both"/>
        <w:rPr>
          <w:rFonts w:ascii="Arial" w:hAnsi="Arial" w:cs="Arial"/>
          <w:szCs w:val="22"/>
        </w:rPr>
      </w:pPr>
      <w:r>
        <w:rPr>
          <w:rFonts w:ascii="Arial" w:hAnsi="Arial" w:cs="Arial"/>
          <w:szCs w:val="22"/>
        </w:rPr>
        <w:br w:type="page"/>
      </w:r>
    </w:p>
    <w:p w:rsidR="004A31D3" w:rsidRDefault="00582653" w:rsidP="00820347">
      <w:pPr>
        <w:pStyle w:val="Heading1"/>
        <w:keepNext w:val="0"/>
        <w:pageBreakBefore w:val="0"/>
        <w:spacing w:before="120" w:after="120" w:line="240" w:lineRule="atLeast"/>
        <w:ind w:left="0" w:firstLine="0"/>
        <w:jc w:val="both"/>
      </w:pPr>
      <w:bookmarkStart w:id="40" w:name="_Toc134366467"/>
      <w:bookmarkStart w:id="41" w:name="_Toc226530521"/>
      <w:r w:rsidRPr="009413F6">
        <w:lastRenderedPageBreak/>
        <w:t>Investment Management – Front Office</w:t>
      </w:r>
      <w:bookmarkEnd w:id="40"/>
      <w:bookmarkEnd w:id="41"/>
    </w:p>
    <w:p w:rsidR="00820347" w:rsidRPr="00820347" w:rsidRDefault="00820347" w:rsidP="00820347"/>
    <w:p w:rsidR="004A31D3" w:rsidRPr="009413F6" w:rsidRDefault="004A31D3" w:rsidP="003E3FB6">
      <w:pPr>
        <w:pStyle w:val="Heading2"/>
        <w:keepNext w:val="0"/>
        <w:spacing w:before="120" w:after="120" w:line="240" w:lineRule="atLeast"/>
        <w:ind w:left="0" w:firstLine="0"/>
        <w:jc w:val="both"/>
      </w:pPr>
      <w:bookmarkStart w:id="42" w:name="_Toc133730615"/>
      <w:bookmarkStart w:id="43" w:name="_Toc134366468"/>
      <w:bookmarkStart w:id="44" w:name="_Toc226530522"/>
      <w:r w:rsidRPr="009413F6">
        <w:t>Sales, Marketing &amp; Advisory</w:t>
      </w:r>
      <w:bookmarkEnd w:id="42"/>
      <w:bookmarkEnd w:id="43"/>
      <w:bookmarkEnd w:id="44"/>
    </w:p>
    <w:p w:rsidR="00D22FD5" w:rsidRPr="00263B65" w:rsidRDefault="00D22FD5" w:rsidP="00263B65">
      <w:pPr>
        <w:spacing w:before="120" w:after="120"/>
        <w:jc w:val="both"/>
        <w:rPr>
          <w:rFonts w:ascii="Arial" w:hAnsi="Arial" w:cs="Arial"/>
          <w:bCs/>
          <w:color w:val="0000FF"/>
          <w:szCs w:val="28"/>
        </w:rPr>
      </w:pPr>
      <w:r w:rsidRPr="00263B65">
        <w:rPr>
          <w:rFonts w:ascii="Arial" w:hAnsi="Arial" w:cs="Arial"/>
          <w:bCs/>
          <w:color w:val="0000FF"/>
          <w:szCs w:val="28"/>
        </w:rPr>
        <w:t>Marketing Analytics</w:t>
      </w:r>
      <w:r w:rsidR="00090DE6" w:rsidRPr="00263B65">
        <w:rPr>
          <w:rFonts w:ascii="Arial" w:hAnsi="Arial" w:cs="Arial"/>
          <w:bCs/>
          <w:color w:val="0000FF"/>
          <w:szCs w:val="28"/>
        </w:rPr>
        <w:t xml:space="preserve"> and Business Intelligence</w:t>
      </w:r>
    </w:p>
    <w:p w:rsidR="00090DE6" w:rsidRPr="00090DE6" w:rsidRDefault="00090DE6" w:rsidP="00090DE6">
      <w:pPr>
        <w:jc w:val="both"/>
        <w:rPr>
          <w:rFonts w:ascii="Arial" w:hAnsi="Arial" w:cs="Arial"/>
          <w:sz w:val="20"/>
          <w:szCs w:val="20"/>
        </w:rPr>
      </w:pPr>
      <w:r w:rsidRPr="009413F6">
        <w:rPr>
          <w:rFonts w:ascii="Arial" w:hAnsi="Arial" w:cs="Arial"/>
          <w:sz w:val="20"/>
          <w:szCs w:val="20"/>
        </w:rPr>
        <w:t>The basic activity in any asset management process is to be able to get more and more people to subscribe to the firm’s investment management programs in order to enlarge the scope of activities and earn a higher fee</w:t>
      </w:r>
      <w:r>
        <w:rPr>
          <w:rFonts w:ascii="Arial" w:hAnsi="Arial" w:cs="Arial"/>
          <w:sz w:val="20"/>
          <w:szCs w:val="20"/>
        </w:rPr>
        <w:t xml:space="preserve">. Analytics helps in finding out newer business opportunities for the existing customer base. Based on the user behavior patterns, analytics bring out specific areas where more focus should be given in order to provide specific services. With increased sophistication in analytics customer profiling can be really helpful to </w:t>
      </w:r>
      <w:r w:rsidRPr="00090DE6">
        <w:rPr>
          <w:rFonts w:ascii="Arial" w:hAnsi="Arial" w:cs="Arial"/>
          <w:sz w:val="20"/>
          <w:szCs w:val="20"/>
        </w:rPr>
        <w:t xml:space="preserve">understand product affinity for targeted promotions and gain better insight into segmentation characteristics </w:t>
      </w:r>
    </w:p>
    <w:p w:rsidR="00D22FD5" w:rsidRDefault="00D22FD5" w:rsidP="00D22FD5">
      <w:pPr>
        <w:pStyle w:val="Heading4"/>
        <w:keepNext w:val="0"/>
        <w:spacing w:before="120" w:after="120" w:line="240" w:lineRule="atLeast"/>
        <w:jc w:val="both"/>
        <w:rPr>
          <w:rFonts w:cs="Arial"/>
        </w:rPr>
      </w:pPr>
      <w:r w:rsidRPr="00D22FD5">
        <w:rPr>
          <w:rFonts w:cs="Arial"/>
        </w:rPr>
        <w:t>Marketing</w:t>
      </w:r>
      <w:r w:rsidR="00866C0F">
        <w:rPr>
          <w:rFonts w:cs="Arial"/>
        </w:rPr>
        <w:t xml:space="preserve"> C</w:t>
      </w:r>
      <w:r w:rsidRPr="00D22FD5">
        <w:rPr>
          <w:rFonts w:cs="Arial"/>
        </w:rPr>
        <w:t>ampaigns</w:t>
      </w:r>
      <w:r w:rsidR="00090DE6">
        <w:rPr>
          <w:rFonts w:cs="Arial"/>
        </w:rPr>
        <w:t xml:space="preserve"> and Effectiveness</w:t>
      </w:r>
    </w:p>
    <w:p w:rsidR="00090DE6" w:rsidRDefault="00090DE6" w:rsidP="00090DE6">
      <w:pPr>
        <w:jc w:val="both"/>
        <w:rPr>
          <w:rFonts w:ascii="Arial" w:hAnsi="Arial" w:cs="Arial"/>
          <w:sz w:val="20"/>
          <w:szCs w:val="20"/>
        </w:rPr>
      </w:pPr>
      <w:r w:rsidRPr="00090DE6">
        <w:rPr>
          <w:rFonts w:ascii="Arial" w:hAnsi="Arial" w:cs="Arial"/>
          <w:sz w:val="20"/>
          <w:szCs w:val="20"/>
        </w:rPr>
        <w:t>Investment Management companies designs various advertisement campaign to attract new customer base and also to enable existing customer to know about new products and services. These campaigns are designed on the basis of result carri</w:t>
      </w:r>
      <w:r w:rsidR="00AD28C8">
        <w:rPr>
          <w:rFonts w:ascii="Arial" w:hAnsi="Arial" w:cs="Arial"/>
          <w:sz w:val="20"/>
          <w:szCs w:val="20"/>
        </w:rPr>
        <w:t>ed via primary market research. Often this research is done on focus groups. With competition catching up, there is always an urgent need to introduce new products and services in regular intervals; so similarly new advertisement campaigns are introduced in regular intervals. Advertisement campaigns can be through print or electronic media. Effectiveness of campaigns can be measured by observing new client acquisition or surge in demand for the particular product post campaign release.</w:t>
      </w:r>
    </w:p>
    <w:p w:rsidR="00CE032E" w:rsidRDefault="00CE032E" w:rsidP="00090DE6">
      <w:pPr>
        <w:jc w:val="both"/>
        <w:rPr>
          <w:rFonts w:ascii="Arial" w:hAnsi="Arial" w:cs="Arial"/>
          <w:sz w:val="20"/>
          <w:szCs w:val="20"/>
        </w:rPr>
      </w:pPr>
    </w:p>
    <w:p w:rsidR="00CE032E" w:rsidRPr="00CE032E" w:rsidRDefault="00CE032E" w:rsidP="00CE032E">
      <w:pPr>
        <w:pStyle w:val="Heading4"/>
        <w:keepNext w:val="0"/>
        <w:spacing w:before="120" w:after="120" w:line="240" w:lineRule="atLeast"/>
        <w:jc w:val="both"/>
        <w:rPr>
          <w:rFonts w:cs="Arial"/>
        </w:rPr>
      </w:pPr>
      <w:r>
        <w:rPr>
          <w:rFonts w:cs="Arial"/>
        </w:rPr>
        <w:t>Account Opening</w:t>
      </w:r>
    </w:p>
    <w:p w:rsidR="00CE032E" w:rsidRDefault="00CE032E" w:rsidP="00090DE6">
      <w:pPr>
        <w:jc w:val="both"/>
        <w:rPr>
          <w:rFonts w:ascii="Arial" w:hAnsi="Arial" w:cs="Arial"/>
          <w:sz w:val="20"/>
          <w:szCs w:val="20"/>
        </w:rPr>
      </w:pPr>
      <w:r>
        <w:rPr>
          <w:rFonts w:ascii="Arial" w:hAnsi="Arial" w:cs="Arial"/>
          <w:sz w:val="20"/>
          <w:szCs w:val="20"/>
        </w:rPr>
        <w:t>This Involves required information capture in the front office system / account opening module wherein client details obtained either through a filled in form or a fax / email  from the client through the relationship manager. The account hierarchy is created so that the accounts can be aggregated to facilitate analysis</w:t>
      </w:r>
      <w:r w:rsidRPr="00CE032E">
        <w:rPr>
          <w:rFonts w:ascii="Arial" w:hAnsi="Arial" w:cs="Arial"/>
          <w:sz w:val="20"/>
          <w:szCs w:val="20"/>
        </w:rPr>
        <w:t xml:space="preserve"> </w:t>
      </w:r>
      <w:r>
        <w:rPr>
          <w:rFonts w:ascii="Arial" w:hAnsi="Arial" w:cs="Arial"/>
          <w:sz w:val="20"/>
          <w:szCs w:val="20"/>
        </w:rPr>
        <w:t>and reporting.</w:t>
      </w:r>
    </w:p>
    <w:p w:rsidR="00CE032E" w:rsidRDefault="00CE032E" w:rsidP="00090DE6">
      <w:pPr>
        <w:jc w:val="both"/>
        <w:rPr>
          <w:rFonts w:ascii="Arial" w:hAnsi="Arial" w:cs="Arial"/>
          <w:sz w:val="20"/>
          <w:szCs w:val="20"/>
        </w:rPr>
      </w:pPr>
    </w:p>
    <w:p w:rsidR="00CE032E" w:rsidRPr="00090DE6" w:rsidRDefault="00954665" w:rsidP="00090DE6">
      <w:pPr>
        <w:jc w:val="both"/>
        <w:rPr>
          <w:rFonts w:ascii="Arial" w:hAnsi="Arial" w:cs="Arial"/>
          <w:sz w:val="20"/>
          <w:szCs w:val="20"/>
        </w:rPr>
      </w:pPr>
      <w:r>
        <w:rPr>
          <w:noProof/>
        </w:rPr>
        <w:drawing>
          <wp:inline distT="0" distB="0" distL="0" distR="0">
            <wp:extent cx="5486400" cy="1808871"/>
            <wp:effectExtent l="19050" t="0" r="0" b="0"/>
            <wp:docPr id="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2" cstate="print"/>
                    <a:srcRect/>
                    <a:stretch>
                      <a:fillRect/>
                    </a:stretch>
                  </pic:blipFill>
                  <pic:spPr bwMode="auto">
                    <a:xfrm>
                      <a:off x="0" y="0"/>
                      <a:ext cx="5486400" cy="1808871"/>
                    </a:xfrm>
                    <a:prstGeom prst="rect">
                      <a:avLst/>
                    </a:prstGeom>
                    <a:noFill/>
                    <a:ln w="9525">
                      <a:noFill/>
                      <a:miter lim="800000"/>
                      <a:headEnd/>
                      <a:tailEnd/>
                    </a:ln>
                  </pic:spPr>
                </pic:pic>
              </a:graphicData>
            </a:graphic>
          </wp:inline>
        </w:drawing>
      </w:r>
    </w:p>
    <w:p w:rsidR="009618EF" w:rsidRPr="00263B65" w:rsidRDefault="009618EF" w:rsidP="009618EF">
      <w:pPr>
        <w:spacing w:before="120" w:after="120"/>
        <w:jc w:val="both"/>
        <w:rPr>
          <w:rFonts w:ascii="Arial" w:hAnsi="Arial" w:cs="Arial"/>
          <w:bCs/>
          <w:color w:val="0000FF"/>
          <w:szCs w:val="28"/>
        </w:rPr>
      </w:pPr>
      <w:r w:rsidRPr="00263B65">
        <w:rPr>
          <w:rFonts w:ascii="Arial" w:hAnsi="Arial" w:cs="Arial"/>
          <w:bCs/>
          <w:color w:val="0000FF"/>
          <w:szCs w:val="28"/>
        </w:rPr>
        <w:t>Client Relationship Management</w:t>
      </w:r>
    </w:p>
    <w:p w:rsidR="009618EF" w:rsidRPr="009413F6" w:rsidRDefault="009618EF" w:rsidP="009618EF">
      <w:pPr>
        <w:spacing w:before="120" w:after="120"/>
        <w:jc w:val="both"/>
        <w:rPr>
          <w:rFonts w:ascii="Arial" w:hAnsi="Arial" w:cs="Arial"/>
          <w:sz w:val="20"/>
          <w:szCs w:val="20"/>
        </w:rPr>
      </w:pPr>
      <w:r w:rsidRPr="009413F6">
        <w:rPr>
          <w:rFonts w:ascii="Arial" w:hAnsi="Arial" w:cs="Arial"/>
          <w:sz w:val="20"/>
          <w:szCs w:val="20"/>
        </w:rPr>
        <w:t>The Sales and marketing team of any Investment Management firm interfaces with the clients and ensures widening of new relationships and deepening of the existing ones. This division in turn draws heavily on the other functions of research, and portfolio management in order to sell the Investment management company’s services to the clients.</w:t>
      </w:r>
      <w:r w:rsidRPr="00263B65">
        <w:rPr>
          <w:rFonts w:ascii="Arial" w:hAnsi="Arial" w:cs="Arial"/>
          <w:sz w:val="20"/>
          <w:szCs w:val="20"/>
        </w:rPr>
        <w:t xml:space="preserve"> </w:t>
      </w:r>
      <w:r w:rsidRPr="009413F6">
        <w:rPr>
          <w:rFonts w:ascii="Arial" w:hAnsi="Arial" w:cs="Arial"/>
          <w:sz w:val="20"/>
          <w:szCs w:val="20"/>
        </w:rPr>
        <w:t>The sales personnel keep in personal touch with prospects</w:t>
      </w:r>
      <w:r>
        <w:rPr>
          <w:rFonts w:ascii="Arial" w:hAnsi="Arial" w:cs="Arial"/>
          <w:sz w:val="20"/>
          <w:szCs w:val="20"/>
        </w:rPr>
        <w:t>. This</w:t>
      </w:r>
      <w:r w:rsidRPr="009413F6">
        <w:rPr>
          <w:rFonts w:ascii="Arial" w:hAnsi="Arial" w:cs="Arial"/>
          <w:sz w:val="20"/>
          <w:szCs w:val="20"/>
        </w:rPr>
        <w:t xml:space="preserve"> is important as the clients usually are very rich and want to maintain secrecy about their financial matters. Another related area for the Sales and Marketing team is to be in touch with the issuers in order to get into lucrative deals that enable the asset </w:t>
      </w:r>
      <w:r w:rsidRPr="009413F6">
        <w:rPr>
          <w:rFonts w:ascii="Arial" w:hAnsi="Arial" w:cs="Arial"/>
          <w:sz w:val="20"/>
          <w:szCs w:val="20"/>
        </w:rPr>
        <w:lastRenderedPageBreak/>
        <w:t>management company to generate better returns for its clients’ portfolio (e.g. private equity, venture capital).</w:t>
      </w:r>
    </w:p>
    <w:p w:rsidR="00D22FD5" w:rsidRDefault="00D22FD5" w:rsidP="00D22FD5">
      <w:pPr>
        <w:pStyle w:val="Heading4"/>
        <w:keepNext w:val="0"/>
        <w:spacing w:before="120" w:after="120" w:line="240" w:lineRule="atLeast"/>
        <w:jc w:val="both"/>
        <w:rPr>
          <w:rFonts w:cs="Arial"/>
        </w:rPr>
      </w:pPr>
      <w:r w:rsidRPr="00D22FD5">
        <w:rPr>
          <w:rFonts w:cs="Arial"/>
        </w:rPr>
        <w:t>Brochure</w:t>
      </w:r>
      <w:r w:rsidR="00866C0F">
        <w:rPr>
          <w:rFonts w:cs="Arial"/>
        </w:rPr>
        <w:t xml:space="preserve"> and M</w:t>
      </w:r>
      <w:r w:rsidRPr="00D22FD5">
        <w:rPr>
          <w:rFonts w:cs="Arial"/>
        </w:rPr>
        <w:t xml:space="preserve">aterial </w:t>
      </w:r>
      <w:r w:rsidR="00866C0F">
        <w:rPr>
          <w:rFonts w:cs="Arial"/>
        </w:rPr>
        <w:t>D</w:t>
      </w:r>
      <w:r w:rsidRPr="00D22FD5">
        <w:rPr>
          <w:rFonts w:cs="Arial"/>
        </w:rPr>
        <w:t>istribution</w:t>
      </w:r>
    </w:p>
    <w:p w:rsidR="00006849" w:rsidRPr="00006849" w:rsidRDefault="00006849" w:rsidP="00006849">
      <w:pPr>
        <w:jc w:val="both"/>
        <w:rPr>
          <w:rFonts w:ascii="Arial" w:hAnsi="Arial" w:cs="Arial"/>
          <w:sz w:val="20"/>
          <w:szCs w:val="20"/>
        </w:rPr>
      </w:pPr>
      <w:r w:rsidRPr="00006849">
        <w:rPr>
          <w:rFonts w:ascii="Arial" w:hAnsi="Arial" w:cs="Arial"/>
          <w:sz w:val="20"/>
          <w:szCs w:val="20"/>
        </w:rPr>
        <w:t>Advisors apart from being in conversation with client do rely on brochure and various information handouts. These help the customer in understanding the products and services being offered in a better way.</w:t>
      </w:r>
      <w:r>
        <w:rPr>
          <w:rFonts w:ascii="Arial" w:hAnsi="Arial" w:cs="Arial"/>
          <w:sz w:val="20"/>
          <w:szCs w:val="20"/>
        </w:rPr>
        <w:t xml:space="preserve"> These brochures </w:t>
      </w:r>
      <w:r w:rsidR="00FB52EB">
        <w:rPr>
          <w:rFonts w:ascii="Arial" w:hAnsi="Arial" w:cs="Arial"/>
          <w:sz w:val="20"/>
          <w:szCs w:val="20"/>
        </w:rPr>
        <w:t>and materials are sources of information for the client.</w:t>
      </w:r>
      <w:r w:rsidR="00491656">
        <w:rPr>
          <w:rFonts w:ascii="Arial" w:hAnsi="Arial" w:cs="Arial"/>
          <w:sz w:val="20"/>
          <w:szCs w:val="20"/>
        </w:rPr>
        <w:t xml:space="preserve"> Often these </w:t>
      </w:r>
      <w:r w:rsidR="00262773">
        <w:rPr>
          <w:rFonts w:ascii="Arial" w:hAnsi="Arial" w:cs="Arial"/>
          <w:sz w:val="20"/>
          <w:szCs w:val="20"/>
        </w:rPr>
        <w:t>materials</w:t>
      </w:r>
      <w:r w:rsidR="00491656">
        <w:rPr>
          <w:rFonts w:ascii="Arial" w:hAnsi="Arial" w:cs="Arial"/>
          <w:sz w:val="20"/>
          <w:szCs w:val="20"/>
        </w:rPr>
        <w:t xml:space="preserve"> are distributed directly through advisors, but in cases these materials are sent to clients via mails.</w:t>
      </w:r>
      <w:r w:rsidR="00E20E18">
        <w:rPr>
          <w:rFonts w:ascii="Arial" w:hAnsi="Arial" w:cs="Arial"/>
          <w:sz w:val="20"/>
          <w:szCs w:val="20"/>
        </w:rPr>
        <w:t xml:space="preserve"> The promotion material often does get circulated trough emails.</w:t>
      </w:r>
    </w:p>
    <w:p w:rsidR="004A31D3" w:rsidRPr="009413F6" w:rsidRDefault="004A31D3" w:rsidP="003E3FB6">
      <w:pPr>
        <w:pStyle w:val="Heading4"/>
        <w:keepNext w:val="0"/>
        <w:spacing w:before="120" w:after="120" w:line="240" w:lineRule="atLeast"/>
        <w:jc w:val="both"/>
        <w:rPr>
          <w:rFonts w:cs="Arial"/>
        </w:rPr>
      </w:pPr>
      <w:r w:rsidRPr="009413F6">
        <w:rPr>
          <w:rFonts w:cs="Arial"/>
        </w:rPr>
        <w:t>Investment Management Agreements</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Each Shareholder is required to enter into an Investment Management Agreement or Investment Advisory Agreement (the “Agreement”) with the Adviser that describes the overall terms of the relationship. Generally, either party can terminate the Agreement upon written notice. A financial advisor assumes the roles and responsibilities of a fiduciary (a financial entity which has judiciary rights over an asset of an investor / trust) and agrees to follow the Prudent Investor Rule, which means that the financial entity will make investment decisions as any prudent man would do, for his / her own account, keeping the overall portfolio in mind.</w:t>
      </w:r>
    </w:p>
    <w:p w:rsidR="004A31D3" w:rsidRPr="009413F6" w:rsidRDefault="004A31D3" w:rsidP="003E3FB6">
      <w:pPr>
        <w:pStyle w:val="Heading5"/>
        <w:spacing w:before="120" w:after="120" w:line="240" w:lineRule="atLeast"/>
        <w:jc w:val="both"/>
        <w:rPr>
          <w:rFonts w:cs="Arial"/>
        </w:rPr>
      </w:pPr>
      <w:r w:rsidRPr="009413F6">
        <w:rPr>
          <w:rFonts w:cs="Arial"/>
        </w:rPr>
        <w:t xml:space="preserve">Discretionary: </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Under discretionary arrangements, the Adviser is granted full power by </w:t>
      </w:r>
      <w:r w:rsidR="00B731AA" w:rsidRPr="009413F6">
        <w:rPr>
          <w:rFonts w:ascii="Arial" w:hAnsi="Arial" w:cs="Arial"/>
          <w:sz w:val="20"/>
          <w:szCs w:val="20"/>
        </w:rPr>
        <w:t>the shareholders</w:t>
      </w:r>
      <w:r w:rsidRPr="009413F6">
        <w:rPr>
          <w:rFonts w:ascii="Arial" w:hAnsi="Arial" w:cs="Arial"/>
          <w:sz w:val="20"/>
          <w:szCs w:val="20"/>
        </w:rPr>
        <w:t xml:space="preserve"> to supervise and direct the investment of assets in the shareholder’s account. In these relationships, the Adviser has complete authority over asset allocation, asset class, selection of individual securities etc. without having to seek prior consultation with the shareholders; all in accordance with the objectives and guidelines and subject to any limitations the shareholder has furnished the Adviser in writing.</w:t>
      </w:r>
    </w:p>
    <w:p w:rsidR="004A31D3" w:rsidRPr="009413F6" w:rsidRDefault="004A31D3" w:rsidP="003E3FB6">
      <w:pPr>
        <w:pStyle w:val="Heading5"/>
        <w:spacing w:before="120" w:after="120" w:line="240" w:lineRule="atLeast"/>
        <w:jc w:val="both"/>
        <w:rPr>
          <w:rFonts w:cs="Arial"/>
        </w:rPr>
      </w:pPr>
      <w:r w:rsidRPr="009413F6">
        <w:rPr>
          <w:rFonts w:cs="Arial"/>
        </w:rPr>
        <w:t xml:space="preserve">Non-Discretionary: </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Under non-discretionary arrangements, the Adviser provides investment advisory services and offers recommendations to the Individual Shareholder with respect to the investment of the account’s assets. In the case of a non-discretionary account, the Individual Shareholder makes the ultimate investment decision regarding the account’s assets and, in some cases, is responsible for the trades to implement such recommendations. Non-Discretionary account is also called Self Directed account. </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Investment firms provide discretionary portfolio management services to </w:t>
      </w:r>
      <w:r w:rsidR="00377B1F" w:rsidRPr="009413F6">
        <w:rPr>
          <w:rFonts w:ascii="Arial" w:hAnsi="Arial" w:cs="Arial"/>
          <w:sz w:val="20"/>
          <w:szCs w:val="20"/>
        </w:rPr>
        <w:t>Investment Company</w:t>
      </w:r>
      <w:r w:rsidRPr="009413F6">
        <w:rPr>
          <w:rFonts w:ascii="Arial" w:hAnsi="Arial" w:cs="Arial"/>
          <w:sz w:val="20"/>
          <w:szCs w:val="20"/>
        </w:rPr>
        <w:t xml:space="preserve"> and other institutional shareholders (“Institutional Shareholders”) and discretionary and non-discretionary portfolio management and advisory services to individual and other non-institutional shareholders.</w:t>
      </w:r>
    </w:p>
    <w:p w:rsidR="004A31D3" w:rsidRPr="009413F6" w:rsidRDefault="004A31D3" w:rsidP="003E3FB6">
      <w:pPr>
        <w:pStyle w:val="Heading2"/>
        <w:keepNext w:val="0"/>
        <w:spacing w:before="120" w:after="120" w:line="240" w:lineRule="atLeast"/>
        <w:ind w:left="0" w:firstLine="0"/>
        <w:jc w:val="both"/>
      </w:pPr>
      <w:bookmarkStart w:id="45" w:name="_Toc202158934"/>
      <w:bookmarkStart w:id="46" w:name="_Toc202158935"/>
      <w:bookmarkStart w:id="47" w:name="_Toc133730616"/>
      <w:bookmarkStart w:id="48" w:name="_Toc134366469"/>
      <w:bookmarkStart w:id="49" w:name="_Toc226530523"/>
      <w:bookmarkEnd w:id="45"/>
      <w:bookmarkEnd w:id="46"/>
      <w:r w:rsidRPr="009413F6">
        <w:t>Needs Analysis &amp; Investor Profiling</w:t>
      </w:r>
      <w:bookmarkEnd w:id="47"/>
      <w:bookmarkEnd w:id="48"/>
      <w:bookmarkEnd w:id="49"/>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Needs Analysis process focuses on definition of what shareholder wants to achieve in a defined time frame. The Portfolio Manager would understand </w:t>
      </w:r>
      <w:r w:rsidR="00051DDE">
        <w:rPr>
          <w:rFonts w:ascii="Arial" w:hAnsi="Arial" w:cs="Arial"/>
          <w:sz w:val="20"/>
          <w:szCs w:val="20"/>
        </w:rPr>
        <w:t>the client needs and accordingly make investment decisions</w:t>
      </w:r>
      <w:r w:rsidRPr="009413F6">
        <w:rPr>
          <w:rFonts w:ascii="Arial" w:hAnsi="Arial" w:cs="Arial"/>
          <w:sz w:val="20"/>
          <w:szCs w:val="20"/>
        </w:rPr>
        <w:t xml:space="preserve">. The investments </w:t>
      </w:r>
      <w:r w:rsidR="00051DDE">
        <w:rPr>
          <w:rFonts w:ascii="Arial" w:hAnsi="Arial" w:cs="Arial"/>
          <w:sz w:val="20"/>
          <w:szCs w:val="20"/>
        </w:rPr>
        <w:t>then</w:t>
      </w:r>
      <w:r w:rsidRPr="009413F6">
        <w:rPr>
          <w:rFonts w:ascii="Arial" w:hAnsi="Arial" w:cs="Arial"/>
          <w:sz w:val="20"/>
          <w:szCs w:val="20"/>
        </w:rPr>
        <w:t xml:space="preserve"> should be channelized in instruments, which</w:t>
      </w:r>
      <w:r w:rsidR="00051DDE">
        <w:rPr>
          <w:rFonts w:ascii="Arial" w:hAnsi="Arial" w:cs="Arial"/>
          <w:sz w:val="20"/>
          <w:szCs w:val="20"/>
        </w:rPr>
        <w:t xml:space="preserve"> in turn would</w:t>
      </w:r>
      <w:r w:rsidRPr="009413F6">
        <w:rPr>
          <w:rFonts w:ascii="Arial" w:hAnsi="Arial" w:cs="Arial"/>
          <w:sz w:val="20"/>
          <w:szCs w:val="20"/>
        </w:rPr>
        <w:t xml:space="preserve"> help the shareholder achieve his overall investment objective.</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The Portfolio Manager would also define the Life Events of the shareholder while doing needs analysis. Life events can be any event which specifically needs extra money to achieve like a </w:t>
      </w:r>
      <w:r w:rsidRPr="009413F6">
        <w:rPr>
          <w:rFonts w:ascii="Arial" w:hAnsi="Arial" w:cs="Arial"/>
          <w:sz w:val="20"/>
          <w:szCs w:val="20"/>
        </w:rPr>
        <w:lastRenderedPageBreak/>
        <w:t xml:space="preserve">wedding, buying a new house, or retirement planning.  The </w:t>
      </w:r>
      <w:r w:rsidR="00051DDE" w:rsidRPr="009413F6">
        <w:rPr>
          <w:rFonts w:ascii="Arial" w:hAnsi="Arial" w:cs="Arial"/>
          <w:sz w:val="20"/>
          <w:szCs w:val="20"/>
        </w:rPr>
        <w:t xml:space="preserve">aim </w:t>
      </w:r>
      <w:r w:rsidR="00051DDE">
        <w:rPr>
          <w:rFonts w:ascii="Arial" w:hAnsi="Arial" w:cs="Arial"/>
          <w:sz w:val="20"/>
          <w:szCs w:val="20"/>
        </w:rPr>
        <w:t xml:space="preserve">here </w:t>
      </w:r>
      <w:r w:rsidRPr="009413F6">
        <w:rPr>
          <w:rFonts w:ascii="Arial" w:hAnsi="Arial" w:cs="Arial"/>
          <w:sz w:val="20"/>
          <w:szCs w:val="20"/>
        </w:rPr>
        <w:t>is to account for any intermediate requirements before meeting the overall goal.</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While a shareholder can define an objective and provide an initial sum of money to invest to start off, not all objectives can be necessarily met. Objectives set by the shareholder may need a certain amount of risk taking as otherwise the initial investment made by the shareholder might not be enough to get to the objectives. </w:t>
      </w:r>
      <w:r w:rsidR="00051DDE" w:rsidRPr="009413F6">
        <w:rPr>
          <w:rFonts w:ascii="Arial" w:hAnsi="Arial" w:cs="Arial"/>
          <w:sz w:val="20"/>
          <w:szCs w:val="20"/>
        </w:rPr>
        <w:t>This tie</w:t>
      </w:r>
      <w:r w:rsidRPr="009413F6">
        <w:rPr>
          <w:rFonts w:ascii="Arial" w:hAnsi="Arial" w:cs="Arial"/>
          <w:sz w:val="20"/>
          <w:szCs w:val="20"/>
        </w:rPr>
        <w:t xml:space="preserve"> up with the basic financial premise: Higher the risk involved in an investment, higher the expectation of the return from the investment.</w:t>
      </w:r>
    </w:p>
    <w:p w:rsidR="004A31D3" w:rsidRPr="009413F6" w:rsidRDefault="004A31D3" w:rsidP="00E168FA">
      <w:pPr>
        <w:pStyle w:val="body"/>
        <w:spacing w:before="120" w:after="120" w:line="240" w:lineRule="auto"/>
        <w:jc w:val="both"/>
        <w:rPr>
          <w:rFonts w:ascii="Arial" w:hAnsi="Arial" w:cs="Arial"/>
          <w:szCs w:val="22"/>
        </w:rPr>
      </w:pPr>
      <w:r w:rsidRPr="009413F6">
        <w:rPr>
          <w:rFonts w:ascii="Arial" w:hAnsi="Arial" w:cs="Arial"/>
          <w:sz w:val="20"/>
          <w:szCs w:val="20"/>
        </w:rPr>
        <w:t xml:space="preserve">Portfolio Manager would hence typically administer the shareholder a questionnaire, which would help the manager decide what kind of the risk the shareholder can take. Using the answers provided by the shareholder, the Portfolio Manager would arrive at a Risk Profile for each individual investor. </w:t>
      </w:r>
    </w:p>
    <w:p w:rsidR="004A31D3" w:rsidRPr="009413F6" w:rsidRDefault="004A31D3" w:rsidP="003E3FB6">
      <w:pPr>
        <w:pStyle w:val="Heading2"/>
        <w:keepNext w:val="0"/>
        <w:spacing w:before="120" w:after="120" w:line="240" w:lineRule="atLeast"/>
        <w:ind w:left="0" w:firstLine="0"/>
        <w:jc w:val="both"/>
      </w:pPr>
      <w:bookmarkStart w:id="50" w:name="_Toc134366470"/>
      <w:bookmarkStart w:id="51" w:name="_Toc226530524"/>
      <w:bookmarkStart w:id="52" w:name="_Toc133730617"/>
      <w:r w:rsidRPr="009413F6">
        <w:t>Asset Allocation</w:t>
      </w:r>
      <w:bookmarkEnd w:id="50"/>
      <w:bookmarkEnd w:id="51"/>
      <w:r w:rsidRPr="009413F6">
        <w:t xml:space="preserve"> </w:t>
      </w:r>
      <w:bookmarkEnd w:id="52"/>
    </w:p>
    <w:p w:rsidR="004A31D3" w:rsidRPr="009413F6" w:rsidRDefault="00A417E8"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At the heart of Investment management are the investment managers whose job it is to invest and divest client mon</w:t>
      </w:r>
      <w:r w:rsidR="00343826">
        <w:rPr>
          <w:rFonts w:ascii="Arial" w:hAnsi="Arial" w:cs="Arial"/>
          <w:sz w:val="20"/>
          <w:szCs w:val="20"/>
        </w:rPr>
        <w:t>ey.</w:t>
      </w:r>
      <w:r w:rsidRPr="009413F6">
        <w:rPr>
          <w:rFonts w:ascii="Arial" w:hAnsi="Arial" w:cs="Arial"/>
          <w:sz w:val="20"/>
          <w:szCs w:val="20"/>
        </w:rPr>
        <w:t xml:space="preserve"> </w:t>
      </w:r>
      <w:r>
        <w:rPr>
          <w:rFonts w:ascii="Arial" w:hAnsi="Arial" w:cs="Arial"/>
          <w:sz w:val="20"/>
          <w:szCs w:val="20"/>
        </w:rPr>
        <w:t xml:space="preserve"> </w:t>
      </w:r>
      <w:r w:rsidR="004A31D3" w:rsidRPr="009413F6">
        <w:rPr>
          <w:rFonts w:ascii="Arial" w:hAnsi="Arial" w:cs="Arial"/>
          <w:sz w:val="20"/>
          <w:szCs w:val="20"/>
        </w:rPr>
        <w:t xml:space="preserve">Asset allocation is an investment portfolio technique that aims to balance risk and create diversification </w:t>
      </w:r>
      <w:r w:rsidR="00343826">
        <w:rPr>
          <w:rFonts w:ascii="Arial" w:hAnsi="Arial" w:cs="Arial"/>
          <w:sz w:val="20"/>
          <w:szCs w:val="20"/>
        </w:rPr>
        <w:t xml:space="preserve">by investing in different asset </w:t>
      </w:r>
      <w:r w:rsidR="001C23C6">
        <w:rPr>
          <w:rFonts w:ascii="Arial" w:hAnsi="Arial" w:cs="Arial"/>
          <w:sz w:val="20"/>
          <w:szCs w:val="20"/>
        </w:rPr>
        <w:t>classes. After</w:t>
      </w:r>
      <w:r w:rsidR="004A31D3" w:rsidRPr="009413F6">
        <w:rPr>
          <w:rFonts w:ascii="Arial" w:hAnsi="Arial" w:cs="Arial"/>
          <w:sz w:val="20"/>
          <w:szCs w:val="20"/>
        </w:rPr>
        <w:t xml:space="preserve"> rationalizing the shareholder’s investment objectives using the risk profile, the Portfolio Manager would decide how to allocate the shareholder’s investment to various asset classes.</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The Portfolio Manager can also decide the allocation at multiple sub-divisions of asset classes. Before arriving at this decision, Portfolio Manager might do an analysis to understand if the shareholder has any specific aversion. After the Portfolio Manager has made the shareholder aware of his investment model, he would finally give individual recommendations. These would include the absolute dollar values to be invested in each individual security / instrument. </w:t>
      </w:r>
    </w:p>
    <w:p w:rsidR="004A31D3" w:rsidRPr="00417FEA"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The shareholder would then ratify the portfolio selection made by the Portfolio Manager. Shareholders would have the option of ruling some or all of the choices out in case they have chosen not to renounce their control over the investment decisions.</w:t>
      </w:r>
      <w:r w:rsidR="00BF7F3C">
        <w:rPr>
          <w:rFonts w:ascii="Arial" w:hAnsi="Arial" w:cs="Arial"/>
          <w:sz w:val="20"/>
          <w:szCs w:val="20"/>
        </w:rPr>
        <w:t xml:space="preserve"> </w:t>
      </w:r>
      <w:r w:rsidRPr="00417FEA">
        <w:rPr>
          <w:rFonts w:ascii="Arial" w:hAnsi="Arial" w:cs="Arial"/>
          <w:sz w:val="20"/>
          <w:szCs w:val="20"/>
        </w:rPr>
        <w:t xml:space="preserve">Once the client and the financial advisor have determined the asset allocation that is best for the client, it has to be implemented via the investments chosen for the portfolio. At this point, the most important question to answer is whether to take an active or a passive approach to investing, which represent the two fundamental approaches to asset allocation. </w:t>
      </w:r>
    </w:p>
    <w:p w:rsidR="004A31D3" w:rsidRPr="00417FEA" w:rsidRDefault="004A31D3" w:rsidP="00E168FA">
      <w:pPr>
        <w:pStyle w:val="body"/>
        <w:spacing w:before="120" w:after="120" w:line="240" w:lineRule="auto"/>
        <w:jc w:val="both"/>
        <w:rPr>
          <w:rFonts w:ascii="Arial" w:hAnsi="Arial" w:cs="Arial"/>
          <w:sz w:val="20"/>
          <w:szCs w:val="20"/>
        </w:rPr>
      </w:pPr>
      <w:r w:rsidRPr="00417FEA">
        <w:rPr>
          <w:rFonts w:ascii="Arial" w:hAnsi="Arial" w:cs="Arial"/>
          <w:sz w:val="20"/>
          <w:szCs w:val="20"/>
        </w:rPr>
        <w:t>Asset allocation is generally of two types:</w:t>
      </w:r>
    </w:p>
    <w:p w:rsidR="004A31D3" w:rsidRPr="00417FEA" w:rsidRDefault="004A31D3" w:rsidP="00E168FA">
      <w:pPr>
        <w:pStyle w:val="BodyText-Bullets1"/>
        <w:numPr>
          <w:ilvl w:val="0"/>
          <w:numId w:val="21"/>
        </w:numPr>
        <w:spacing w:before="120" w:line="240" w:lineRule="auto"/>
        <w:rPr>
          <w:rFonts w:cs="Arial"/>
          <w:szCs w:val="20"/>
        </w:rPr>
      </w:pPr>
      <w:r w:rsidRPr="00417FEA">
        <w:rPr>
          <w:rFonts w:cs="Arial"/>
          <w:szCs w:val="20"/>
        </w:rPr>
        <w:t>Passive</w:t>
      </w:r>
      <w:r w:rsidR="005B52A1" w:rsidRPr="00417FEA">
        <w:rPr>
          <w:rFonts w:cs="Arial"/>
          <w:szCs w:val="20"/>
        </w:rPr>
        <w:t xml:space="preserve"> -</w:t>
      </w:r>
      <w:r w:rsidRPr="00417FEA">
        <w:rPr>
          <w:rFonts w:cs="Arial"/>
          <w:szCs w:val="20"/>
        </w:rPr>
        <w:t>Depending on the risk preferences, cash needs and tax status of the investor a mix of assets is determined for diversification of asset allocation and taking into account the macro economic factors like recession and inflation</w:t>
      </w:r>
    </w:p>
    <w:p w:rsidR="004A31D3" w:rsidRPr="00417FEA" w:rsidRDefault="004A31D3" w:rsidP="00E168FA">
      <w:pPr>
        <w:pStyle w:val="BodyText-Bullets1"/>
        <w:numPr>
          <w:ilvl w:val="0"/>
          <w:numId w:val="21"/>
        </w:numPr>
        <w:spacing w:before="120" w:line="240" w:lineRule="auto"/>
        <w:rPr>
          <w:rFonts w:cs="Arial"/>
          <w:szCs w:val="20"/>
        </w:rPr>
      </w:pPr>
      <w:r w:rsidRPr="00417FEA">
        <w:rPr>
          <w:rFonts w:cs="Arial"/>
          <w:szCs w:val="20"/>
        </w:rPr>
        <w:t>Active</w:t>
      </w:r>
      <w:r w:rsidR="005B52A1" w:rsidRPr="00417FEA">
        <w:rPr>
          <w:rFonts w:cs="Arial"/>
          <w:szCs w:val="20"/>
        </w:rPr>
        <w:t xml:space="preserve"> - </w:t>
      </w:r>
      <w:r w:rsidRPr="00417FEA">
        <w:rPr>
          <w:rFonts w:cs="Arial"/>
          <w:szCs w:val="20"/>
        </w:rPr>
        <w:t>The mix of assets is determined by market views</w:t>
      </w:r>
    </w:p>
    <w:p w:rsidR="004A31D3" w:rsidRPr="00417FEA" w:rsidRDefault="004A31D3" w:rsidP="00417FEA">
      <w:pPr>
        <w:pStyle w:val="Heading4"/>
        <w:keepNext w:val="0"/>
        <w:spacing w:before="120" w:after="120" w:line="240" w:lineRule="atLeast"/>
        <w:jc w:val="both"/>
        <w:rPr>
          <w:rFonts w:cs="Arial"/>
        </w:rPr>
      </w:pPr>
      <w:r w:rsidRPr="00417FEA">
        <w:rPr>
          <w:rFonts w:cs="Arial"/>
        </w:rPr>
        <w:t>Passive Approach</w:t>
      </w:r>
    </w:p>
    <w:p w:rsidR="004A31D3" w:rsidRPr="00417FEA" w:rsidRDefault="004A31D3" w:rsidP="00E168FA">
      <w:pPr>
        <w:pStyle w:val="body"/>
        <w:spacing w:before="120" w:after="120" w:line="240" w:lineRule="auto"/>
        <w:jc w:val="both"/>
        <w:rPr>
          <w:rFonts w:ascii="Arial" w:hAnsi="Arial" w:cs="Arial"/>
          <w:sz w:val="20"/>
          <w:szCs w:val="20"/>
        </w:rPr>
      </w:pPr>
      <w:r w:rsidRPr="00417FEA">
        <w:rPr>
          <w:rFonts w:ascii="Arial" w:hAnsi="Arial" w:cs="Arial"/>
          <w:sz w:val="20"/>
          <w:szCs w:val="20"/>
        </w:rPr>
        <w:t xml:space="preserve">Passive Approach of asset allocation focuses on the characteristics of the client to derive the investment avenues. This approach goes by fundamentals of global and country specific economies, overall macro environment and then identifying the right asset classes. The financial advisor has to decide on the mix of assets that maximizes the after-tax returns. </w:t>
      </w:r>
    </w:p>
    <w:p w:rsidR="004A31D3" w:rsidRPr="00BF7F3C" w:rsidRDefault="004A31D3" w:rsidP="00BF7F3C">
      <w:pPr>
        <w:pStyle w:val="body"/>
        <w:spacing w:before="120" w:after="120" w:line="240" w:lineRule="auto"/>
        <w:jc w:val="both"/>
        <w:rPr>
          <w:rFonts w:ascii="Arial" w:hAnsi="Arial" w:cs="Arial"/>
          <w:bCs/>
          <w:color w:val="0000FF"/>
          <w:szCs w:val="28"/>
        </w:rPr>
      </w:pPr>
      <w:r w:rsidRPr="00BF7F3C">
        <w:rPr>
          <w:rFonts w:ascii="Arial" w:hAnsi="Arial" w:cs="Arial"/>
          <w:bCs/>
          <w:color w:val="0000FF"/>
          <w:szCs w:val="28"/>
        </w:rPr>
        <w:t>Active Approach</w:t>
      </w:r>
    </w:p>
    <w:p w:rsidR="004A31D3" w:rsidRPr="00417FEA" w:rsidRDefault="004A31D3" w:rsidP="00312F39">
      <w:pPr>
        <w:pStyle w:val="body"/>
        <w:spacing w:before="120" w:after="120" w:line="240" w:lineRule="auto"/>
        <w:jc w:val="both"/>
      </w:pPr>
      <w:r w:rsidRPr="00417FEA">
        <w:rPr>
          <w:rFonts w:ascii="Arial" w:hAnsi="Arial" w:cs="Arial"/>
          <w:sz w:val="20"/>
          <w:szCs w:val="20"/>
        </w:rPr>
        <w:lastRenderedPageBreak/>
        <w:t>An active approach to asset allocation means that investment managers move in and out of asset classes to take advantage of market opportunities, subject to the limits of the strategic ranges as per the client’s needs.</w:t>
      </w:r>
      <w:r w:rsidR="005C4A98">
        <w:rPr>
          <w:rFonts w:ascii="Arial" w:hAnsi="Arial" w:cs="Arial"/>
          <w:sz w:val="20"/>
          <w:szCs w:val="20"/>
        </w:rPr>
        <w:t xml:space="preserve"> </w:t>
      </w:r>
      <w:r w:rsidRPr="00417FEA">
        <w:rPr>
          <w:rFonts w:ascii="Arial" w:hAnsi="Arial" w:cs="Arial"/>
          <w:sz w:val="20"/>
          <w:szCs w:val="20"/>
        </w:rPr>
        <w:t xml:space="preserve">The financial advisor makes tactical asset allocation changes when valuation levels for a particular asset class reach extreme levels, either on an absolute basis, or relative to other asset classes, which represent alternative investment options.  </w:t>
      </w:r>
    </w:p>
    <w:p w:rsidR="004A31D3" w:rsidRPr="009413F6" w:rsidRDefault="004A31D3" w:rsidP="00923507">
      <w:pPr>
        <w:pStyle w:val="Heading3"/>
        <w:keepNext w:val="0"/>
        <w:tabs>
          <w:tab w:val="num" w:pos="720"/>
        </w:tabs>
        <w:spacing w:before="120" w:after="120" w:line="240" w:lineRule="atLeast"/>
        <w:ind w:left="0" w:firstLine="0"/>
        <w:jc w:val="both"/>
      </w:pPr>
      <w:bookmarkStart w:id="53" w:name="_Toc134366473"/>
      <w:r w:rsidRPr="009413F6">
        <w:t>Investment Management Philosophies</w:t>
      </w:r>
      <w:bookmarkEnd w:id="53"/>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Financial advisors follow different investment philosophies. Some examples are:</w:t>
      </w:r>
    </w:p>
    <w:p w:rsidR="004A31D3" w:rsidRPr="009413F6" w:rsidRDefault="004A31D3" w:rsidP="0062725D">
      <w:pPr>
        <w:pStyle w:val="Heading4"/>
        <w:keepNext w:val="0"/>
        <w:spacing w:before="120" w:after="120" w:line="240" w:lineRule="atLeast"/>
        <w:jc w:val="both"/>
        <w:rPr>
          <w:rFonts w:cs="Arial"/>
        </w:rPr>
      </w:pPr>
      <w:r w:rsidRPr="009413F6">
        <w:rPr>
          <w:rFonts w:cs="Arial"/>
        </w:rPr>
        <w:t>Passive Diversification</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Some financial advisors believe that markets are efficient; even if they are inefficient, the cost of exploiting the inefficiency is more </w:t>
      </w:r>
      <w:proofErr w:type="spellStart"/>
      <w:r w:rsidRPr="009413F6">
        <w:rPr>
          <w:rFonts w:ascii="Arial" w:hAnsi="Arial" w:cs="Arial"/>
          <w:sz w:val="20"/>
          <w:szCs w:val="20"/>
        </w:rPr>
        <w:t>then</w:t>
      </w:r>
      <w:proofErr w:type="spellEnd"/>
      <w:r w:rsidRPr="009413F6">
        <w:rPr>
          <w:rFonts w:ascii="Arial" w:hAnsi="Arial" w:cs="Arial"/>
          <w:sz w:val="20"/>
          <w:szCs w:val="20"/>
        </w:rPr>
        <w:t xml:space="preserve"> the returns that can be earned. Hence, they are willing to accept market returns. </w:t>
      </w:r>
    </w:p>
    <w:p w:rsidR="004A31D3" w:rsidRPr="009413F6" w:rsidRDefault="004A31D3" w:rsidP="0062725D">
      <w:pPr>
        <w:pStyle w:val="Heading4"/>
        <w:keepNext w:val="0"/>
        <w:spacing w:before="120" w:after="120" w:line="240" w:lineRule="atLeast"/>
        <w:jc w:val="both"/>
        <w:rPr>
          <w:rFonts w:cs="Arial"/>
        </w:rPr>
      </w:pPr>
      <w:r w:rsidRPr="009413F6">
        <w:rPr>
          <w:rFonts w:cs="Arial"/>
        </w:rPr>
        <w:t>Passive Value Investing</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Some financial advisors believe that markets systematically undervalue certain companies. Financial advisors identify such companies with parameters like low P/E ratio, High dividend yield, low Price to Book Value or low Price / Replacement Value.</w:t>
      </w:r>
    </w:p>
    <w:p w:rsidR="004A31D3" w:rsidRPr="009413F6" w:rsidRDefault="004A31D3" w:rsidP="0062725D">
      <w:pPr>
        <w:pStyle w:val="Heading4"/>
        <w:keepNext w:val="0"/>
        <w:spacing w:before="120" w:after="120" w:line="240" w:lineRule="atLeast"/>
        <w:jc w:val="both"/>
        <w:rPr>
          <w:rFonts w:cs="Arial"/>
        </w:rPr>
      </w:pPr>
      <w:r w:rsidRPr="009413F6">
        <w:rPr>
          <w:rFonts w:cs="Arial"/>
        </w:rPr>
        <w:t>Momentum Investing</w:t>
      </w:r>
    </w:p>
    <w:p w:rsidR="004A31D3" w:rsidRPr="009413F6" w:rsidRDefault="004A31D3" w:rsidP="00E168FA">
      <w:pPr>
        <w:pStyle w:val="body"/>
        <w:spacing w:before="120" w:after="120" w:line="240" w:lineRule="auto"/>
        <w:jc w:val="both"/>
        <w:rPr>
          <w:rFonts w:ascii="Arial" w:hAnsi="Arial" w:cs="Arial"/>
          <w:szCs w:val="22"/>
        </w:rPr>
      </w:pPr>
      <w:r w:rsidRPr="009413F6">
        <w:rPr>
          <w:rFonts w:ascii="Arial" w:hAnsi="Arial" w:cs="Arial"/>
          <w:sz w:val="20"/>
          <w:szCs w:val="20"/>
        </w:rPr>
        <w:t>Markets tend to stay in trends: if prices have gone up (down) quickly, then investors will tend to keep going up (down). Financial advisors who subscribe to this philosophy, uses price momentum indicators, relative strength indicators and charts for their decision making.</w:t>
      </w:r>
    </w:p>
    <w:p w:rsidR="004A31D3" w:rsidRPr="009413F6" w:rsidRDefault="004A31D3" w:rsidP="0062725D">
      <w:pPr>
        <w:pStyle w:val="Heading4"/>
        <w:keepNext w:val="0"/>
        <w:spacing w:before="120" w:after="120" w:line="240" w:lineRule="atLeast"/>
        <w:jc w:val="both"/>
        <w:rPr>
          <w:rFonts w:cs="Arial"/>
        </w:rPr>
      </w:pPr>
      <w:r w:rsidRPr="009413F6">
        <w:rPr>
          <w:rFonts w:cs="Arial"/>
        </w:rPr>
        <w:t>Market Timing</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It is possible to forecast the direction of markets (i.e. to time markets) using identified variables like market timing models/indicators. Such financial advisors usually take large bets on the market (in either direction), attempt tactical Asset Allocation in sectors, and use hedging (selling overvalued and buying undervalued asset classes). </w:t>
      </w:r>
    </w:p>
    <w:p w:rsidR="004A31D3" w:rsidRPr="009413F6" w:rsidRDefault="004A31D3" w:rsidP="0062725D">
      <w:pPr>
        <w:pStyle w:val="Heading4"/>
        <w:keepNext w:val="0"/>
        <w:spacing w:before="120" w:after="120" w:line="240" w:lineRule="atLeast"/>
        <w:jc w:val="both"/>
        <w:rPr>
          <w:rFonts w:cs="Arial"/>
        </w:rPr>
      </w:pPr>
      <w:r w:rsidRPr="009413F6">
        <w:rPr>
          <w:rFonts w:cs="Arial"/>
        </w:rPr>
        <w:t>Contrarian Investing</w:t>
      </w:r>
    </w:p>
    <w:p w:rsidR="004A31D3" w:rsidRPr="009413F6" w:rsidRDefault="004A31D3" w:rsidP="00E168FA">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Markets tend to correct themselves; if prices have gone up (down) quickly, they will tend to go down (up). If investors are too bullish (bearish), stocks are more likely to go down (up). </w:t>
      </w:r>
    </w:p>
    <w:p w:rsidR="00BA28C9" w:rsidRPr="00BA28C9" w:rsidRDefault="00BA28C9" w:rsidP="00F35073">
      <w:pPr>
        <w:pStyle w:val="Heading3"/>
        <w:keepNext w:val="0"/>
        <w:tabs>
          <w:tab w:val="num" w:pos="720"/>
        </w:tabs>
        <w:spacing w:before="120" w:after="120" w:line="240" w:lineRule="atLeast"/>
        <w:ind w:left="0" w:firstLine="0"/>
        <w:jc w:val="both"/>
      </w:pPr>
      <w:bookmarkStart w:id="54" w:name="_Toc134366475"/>
      <w:r w:rsidRPr="00BA28C9">
        <w:t>Portfolio Construction</w:t>
      </w:r>
      <w:bookmarkEnd w:id="54"/>
    </w:p>
    <w:p w:rsidR="00BA28C9" w:rsidRPr="00BA28C9" w:rsidRDefault="00BA28C9" w:rsidP="00262773">
      <w:pPr>
        <w:spacing w:before="120" w:after="120"/>
        <w:jc w:val="both"/>
        <w:rPr>
          <w:rFonts w:ascii="Arial" w:hAnsi="Arial" w:cs="Arial"/>
          <w:sz w:val="20"/>
        </w:rPr>
      </w:pPr>
      <w:r w:rsidRPr="00BA28C9">
        <w:rPr>
          <w:rFonts w:ascii="Arial" w:hAnsi="Arial" w:cs="Arial"/>
          <w:sz w:val="20"/>
        </w:rPr>
        <w:t>A portfolio is constructed with the guiding principles like the clients objectives, asset allocation strategy, time horizon and the risk appetite. The portfolio incorporates client’s total investments including liquid and illiquid forms of assets.</w:t>
      </w:r>
    </w:p>
    <w:p w:rsidR="00BA28C9" w:rsidRPr="00BA28C9" w:rsidRDefault="00BA28C9" w:rsidP="00262773">
      <w:pPr>
        <w:spacing w:before="120" w:after="120"/>
        <w:jc w:val="both"/>
        <w:rPr>
          <w:rFonts w:ascii="Arial" w:hAnsi="Arial" w:cs="Arial"/>
          <w:sz w:val="20"/>
        </w:rPr>
      </w:pPr>
      <w:r w:rsidRPr="00BA28C9">
        <w:rPr>
          <w:rFonts w:ascii="Arial" w:hAnsi="Arial" w:cs="Arial"/>
          <w:sz w:val="20"/>
        </w:rPr>
        <w:t xml:space="preserve">The portfolio allocation is done with the aid of many analytical models / tools that seek to maximize the returns and minimize the risk associated with the portfolio. Client optimized portfolios are generated based on client objectives, asset allocation strategy, time horizon and risk appetite </w:t>
      </w:r>
      <w:r w:rsidR="00624BED" w:rsidRPr="00BA28C9">
        <w:rPr>
          <w:rFonts w:ascii="Arial" w:hAnsi="Arial" w:cs="Arial"/>
          <w:sz w:val="20"/>
        </w:rPr>
        <w:t>by sophisticated</w:t>
      </w:r>
      <w:r w:rsidRPr="00BA28C9">
        <w:rPr>
          <w:rFonts w:ascii="Arial" w:hAnsi="Arial" w:cs="Arial"/>
          <w:sz w:val="20"/>
        </w:rPr>
        <w:t xml:space="preserve"> modeling system.  Outputs of the optimization model are </w:t>
      </w:r>
      <w:r w:rsidR="00624BED" w:rsidRPr="00BA28C9">
        <w:rPr>
          <w:rFonts w:ascii="Arial" w:hAnsi="Arial" w:cs="Arial"/>
          <w:sz w:val="20"/>
        </w:rPr>
        <w:t xml:space="preserve">assessed </w:t>
      </w:r>
      <w:r w:rsidR="00624BED" w:rsidRPr="00BA28C9">
        <w:rPr>
          <w:rFonts w:ascii="Arial" w:hAnsi="Arial" w:cs="Arial"/>
          <w:sz w:val="20"/>
        </w:rPr>
        <w:lastRenderedPageBreak/>
        <w:t>based</w:t>
      </w:r>
      <w:r w:rsidRPr="00BA28C9">
        <w:rPr>
          <w:rFonts w:ascii="Arial" w:hAnsi="Arial" w:cs="Arial"/>
          <w:sz w:val="20"/>
        </w:rPr>
        <w:t xml:space="preserve"> on understanding of the various financial markets. An efficient portfolio is defined as one that delivers maximum returns for a given level of risk. </w:t>
      </w:r>
    </w:p>
    <w:p w:rsidR="003D4771" w:rsidRPr="003C0062" w:rsidRDefault="00AC4AB0" w:rsidP="009A6B5A">
      <w:pPr>
        <w:pStyle w:val="Heading2"/>
        <w:keepNext w:val="0"/>
        <w:numPr>
          <w:ilvl w:val="0"/>
          <w:numId w:val="0"/>
        </w:numPr>
        <w:spacing w:before="120" w:after="120" w:line="240" w:lineRule="atLeast"/>
        <w:jc w:val="both"/>
        <w:rPr>
          <w:b w:val="0"/>
          <w:bCs w:val="0"/>
          <w:iCs w:val="0"/>
          <w:color w:val="000000"/>
          <w:sz w:val="20"/>
          <w:szCs w:val="20"/>
        </w:rPr>
      </w:pPr>
      <w:r w:rsidRPr="003C0062">
        <w:rPr>
          <w:b w:val="0"/>
          <w:bCs w:val="0"/>
          <w:iCs w:val="0"/>
          <w:color w:val="000000"/>
          <w:sz w:val="20"/>
          <w:szCs w:val="20"/>
        </w:rPr>
        <w:br w:type="page"/>
      </w:r>
    </w:p>
    <w:p w:rsidR="00E7617D" w:rsidRPr="009413F6" w:rsidRDefault="00582653" w:rsidP="003E3FB6">
      <w:pPr>
        <w:pStyle w:val="Heading1"/>
        <w:keepNext w:val="0"/>
        <w:pageBreakBefore w:val="0"/>
        <w:spacing w:before="120" w:after="120" w:line="240" w:lineRule="atLeast"/>
        <w:ind w:left="0" w:firstLine="0"/>
        <w:jc w:val="both"/>
      </w:pPr>
      <w:bookmarkStart w:id="55" w:name="_Toc134366477"/>
      <w:bookmarkStart w:id="56" w:name="_Toc226530525"/>
      <w:r w:rsidRPr="009413F6">
        <w:lastRenderedPageBreak/>
        <w:t xml:space="preserve">Investment Management - </w:t>
      </w:r>
      <w:r w:rsidR="00E7617D" w:rsidRPr="009413F6">
        <w:t>Middle Office</w:t>
      </w:r>
      <w:bookmarkEnd w:id="55"/>
      <w:bookmarkEnd w:id="56"/>
      <w:r w:rsidR="00E7617D" w:rsidRPr="009413F6">
        <w:t xml:space="preserve"> </w:t>
      </w:r>
    </w:p>
    <w:p w:rsidR="004A31D3" w:rsidRPr="009413F6" w:rsidRDefault="004A31D3" w:rsidP="003E3FB6">
      <w:pPr>
        <w:pStyle w:val="Heading2"/>
        <w:keepNext w:val="0"/>
        <w:spacing w:before="120" w:after="120" w:line="240" w:lineRule="atLeast"/>
        <w:ind w:left="0" w:firstLine="0"/>
        <w:jc w:val="both"/>
      </w:pPr>
      <w:bookmarkStart w:id="57" w:name="_Toc202158939"/>
      <w:bookmarkStart w:id="58" w:name="_Toc133730619"/>
      <w:bookmarkStart w:id="59" w:name="_Toc134366478"/>
      <w:bookmarkStart w:id="60" w:name="_Toc226530526"/>
      <w:bookmarkEnd w:id="57"/>
      <w:r w:rsidRPr="009413F6">
        <w:t>Research</w:t>
      </w:r>
      <w:bookmarkEnd w:id="58"/>
      <w:bookmarkEnd w:id="59"/>
      <w:bookmarkEnd w:id="60"/>
    </w:p>
    <w:p w:rsidR="00956FF3" w:rsidRPr="008C61AA" w:rsidRDefault="00956FF3" w:rsidP="008C61AA">
      <w:pPr>
        <w:pStyle w:val="Heading4"/>
        <w:keepNext w:val="0"/>
        <w:spacing w:before="120" w:after="120" w:line="240" w:lineRule="atLeast"/>
        <w:jc w:val="both"/>
        <w:rPr>
          <w:rFonts w:cs="Arial"/>
        </w:rPr>
      </w:pPr>
      <w:r w:rsidRPr="008C61AA">
        <w:rPr>
          <w:rFonts w:cs="Arial"/>
        </w:rPr>
        <w:t xml:space="preserve">Factors </w:t>
      </w:r>
      <w:r w:rsidR="008C61AA" w:rsidRPr="008C61AA">
        <w:rPr>
          <w:rFonts w:cs="Arial"/>
        </w:rPr>
        <w:t>in</w:t>
      </w:r>
      <w:r w:rsidRPr="008C61AA">
        <w:rPr>
          <w:rFonts w:cs="Arial"/>
        </w:rPr>
        <w:t xml:space="preserve"> Research</w:t>
      </w:r>
    </w:p>
    <w:p w:rsidR="000D4136" w:rsidRPr="009413F6" w:rsidRDefault="000D4136" w:rsidP="000D4136">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Research is conducted in a manner consistent with the Investment </w:t>
      </w:r>
      <w:r w:rsidR="009612D1">
        <w:rPr>
          <w:rFonts w:ascii="Arial" w:hAnsi="Arial" w:cs="Arial"/>
          <w:sz w:val="20"/>
          <w:szCs w:val="20"/>
        </w:rPr>
        <w:t>firm’s business principles and s</w:t>
      </w:r>
      <w:r w:rsidRPr="009413F6">
        <w:rPr>
          <w:rFonts w:ascii="Arial" w:hAnsi="Arial" w:cs="Arial"/>
          <w:sz w:val="20"/>
          <w:szCs w:val="20"/>
        </w:rPr>
        <w:t>hareholders objectives. The Investment firm encourages thorough and insightful assessments of industries, companies and the outlook for individual securities and the general market. A variety of factors go into the research process including an assessment of industry dynamics, interviews of company executives, analysis of competition, and information as available from suppliers, distributors, major customers and other independent sources. Analysts are encouraged to develop opinions that may differ from those of the managements of companies that they are evaluating. Valuation methodologies, investment risks and conclusions are discussed in all basic company research reports.</w:t>
      </w:r>
    </w:p>
    <w:p w:rsidR="00956FF3" w:rsidRDefault="00956FF3" w:rsidP="00E860EA">
      <w:pPr>
        <w:pStyle w:val="Heading4"/>
        <w:keepNext w:val="0"/>
        <w:spacing w:before="120" w:after="120" w:line="240" w:lineRule="atLeast"/>
        <w:jc w:val="both"/>
        <w:rPr>
          <w:rFonts w:cs="Arial"/>
        </w:rPr>
      </w:pPr>
      <w:r w:rsidRPr="00E860EA">
        <w:rPr>
          <w:rFonts w:cs="Arial"/>
        </w:rPr>
        <w:t>Types of Research</w:t>
      </w:r>
    </w:p>
    <w:p w:rsidR="00E860EA" w:rsidRPr="00E860EA" w:rsidRDefault="00E860EA" w:rsidP="00D859EB">
      <w:pPr>
        <w:pStyle w:val="Heading4"/>
        <w:keepNext w:val="0"/>
        <w:numPr>
          <w:ilvl w:val="0"/>
          <w:numId w:val="49"/>
        </w:numPr>
        <w:spacing w:before="120" w:after="120"/>
        <w:jc w:val="both"/>
        <w:rPr>
          <w:rFonts w:cs="Arial"/>
          <w:bCs w:val="0"/>
          <w:color w:val="000000"/>
          <w:sz w:val="20"/>
          <w:szCs w:val="20"/>
        </w:rPr>
      </w:pPr>
      <w:r w:rsidRPr="00AB0B9C">
        <w:rPr>
          <w:rFonts w:cs="Arial"/>
          <w:bCs w:val="0"/>
          <w:i/>
          <w:color w:val="000000"/>
          <w:sz w:val="20"/>
          <w:szCs w:val="20"/>
        </w:rPr>
        <w:t>Top - Down Research</w:t>
      </w:r>
      <w:r w:rsidRPr="00E860EA">
        <w:rPr>
          <w:rFonts w:cs="Arial"/>
          <w:bCs w:val="0"/>
          <w:color w:val="000000"/>
          <w:sz w:val="20"/>
          <w:szCs w:val="20"/>
        </w:rPr>
        <w:t>: The "top down" investor begins by looking at the “big picture” - economy or broad trends in society to identify individual countries and then sectors that will benefit from the prevailing conditions. A "top down" investor may also make investments based on what he or she thinks lies ahead for the economy. Then they work systematically down from this very broad perspective translating these top-down views into more specific economic and market forecasts.</w:t>
      </w:r>
    </w:p>
    <w:p w:rsidR="00E860EA" w:rsidRPr="00E860EA" w:rsidRDefault="00E860EA" w:rsidP="00D859EB">
      <w:pPr>
        <w:pStyle w:val="Heading4"/>
        <w:keepNext w:val="0"/>
        <w:numPr>
          <w:ilvl w:val="0"/>
          <w:numId w:val="49"/>
        </w:numPr>
        <w:spacing w:before="120" w:after="120"/>
        <w:jc w:val="both"/>
        <w:rPr>
          <w:rFonts w:cs="Arial"/>
          <w:bCs w:val="0"/>
          <w:color w:val="000000"/>
          <w:sz w:val="20"/>
          <w:szCs w:val="20"/>
        </w:rPr>
      </w:pPr>
      <w:r w:rsidRPr="00AB0B9C">
        <w:rPr>
          <w:rFonts w:cs="Arial"/>
          <w:bCs w:val="0"/>
          <w:i/>
          <w:color w:val="000000"/>
          <w:sz w:val="20"/>
          <w:szCs w:val="20"/>
        </w:rPr>
        <w:t>Bottom - Up Research</w:t>
      </w:r>
      <w:r w:rsidRPr="00E860EA">
        <w:rPr>
          <w:rFonts w:cs="Arial"/>
          <w:bCs w:val="0"/>
          <w:color w:val="000000"/>
          <w:sz w:val="20"/>
          <w:szCs w:val="20"/>
        </w:rPr>
        <w:t>: The idea is to select individual securities. “Bottom up" investor would try to find investments that are attractive because of something particular to them like growth potential or being undervalued. So an investor who practices the "bottom up" approach might screen through a long list of stocks to find ones that look like a buy on the basis of their fundamentals.</w:t>
      </w:r>
    </w:p>
    <w:p w:rsidR="00956FF3" w:rsidRPr="00E860EA" w:rsidRDefault="00956FF3" w:rsidP="00E860EA">
      <w:pPr>
        <w:pStyle w:val="Heading4"/>
        <w:keepNext w:val="0"/>
        <w:spacing w:before="120" w:after="120" w:line="240" w:lineRule="atLeast"/>
        <w:jc w:val="both"/>
        <w:rPr>
          <w:rFonts w:cs="Arial"/>
        </w:rPr>
      </w:pPr>
      <w:r w:rsidRPr="00E860EA">
        <w:rPr>
          <w:rFonts w:cs="Arial"/>
        </w:rPr>
        <w:t>Research Process</w:t>
      </w:r>
    </w:p>
    <w:p w:rsidR="004A31D3" w:rsidRPr="009413F6" w:rsidRDefault="004A31D3" w:rsidP="00D859EB">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Portfolio managers and analysts use a range of stock research tools to help them make informed decisions and recommendations. They look for timely and accurate fundamental information on listed companies around the world, estimates and broker research. </w:t>
      </w:r>
      <w:r w:rsidR="00423F7F">
        <w:rPr>
          <w:rFonts w:ascii="Arial" w:hAnsi="Arial" w:cs="Arial"/>
          <w:sz w:val="20"/>
          <w:szCs w:val="20"/>
        </w:rPr>
        <w:t>T</w:t>
      </w:r>
      <w:r w:rsidRPr="009413F6">
        <w:rPr>
          <w:rFonts w:ascii="Arial" w:hAnsi="Arial" w:cs="Arial"/>
          <w:sz w:val="20"/>
          <w:szCs w:val="20"/>
        </w:rPr>
        <w:t xml:space="preserve">hey </w:t>
      </w:r>
      <w:r w:rsidR="00423F7F">
        <w:rPr>
          <w:rFonts w:ascii="Arial" w:hAnsi="Arial" w:cs="Arial"/>
          <w:sz w:val="20"/>
          <w:szCs w:val="20"/>
        </w:rPr>
        <w:t xml:space="preserve">also </w:t>
      </w:r>
      <w:r w:rsidRPr="009413F6">
        <w:rPr>
          <w:rFonts w:ascii="Arial" w:hAnsi="Arial" w:cs="Arial"/>
          <w:sz w:val="20"/>
          <w:szCs w:val="20"/>
        </w:rPr>
        <w:t xml:space="preserve">want tools to enable them to monitor real-time stock </w:t>
      </w:r>
      <w:r w:rsidR="00423F7F" w:rsidRPr="009413F6">
        <w:rPr>
          <w:rFonts w:ascii="Arial" w:hAnsi="Arial" w:cs="Arial"/>
          <w:sz w:val="20"/>
          <w:szCs w:val="20"/>
        </w:rPr>
        <w:t>data</w:t>
      </w:r>
      <w:r w:rsidRPr="009413F6">
        <w:rPr>
          <w:rFonts w:ascii="Arial" w:hAnsi="Arial" w:cs="Arial"/>
          <w:sz w:val="20"/>
          <w:szCs w:val="20"/>
        </w:rPr>
        <w:t xml:space="preserve">. Along with pre-built analytics, they need charting tools that allow them to analyze the performance of stocks by comparing them to their peers, sectors or indices or help them determine the direction of the stock market. </w:t>
      </w:r>
    </w:p>
    <w:p w:rsidR="004A31D3" w:rsidRPr="009413F6" w:rsidRDefault="004A31D3" w:rsidP="00D859EB">
      <w:pPr>
        <w:pStyle w:val="body"/>
        <w:spacing w:before="120" w:after="120" w:line="240" w:lineRule="auto"/>
        <w:jc w:val="both"/>
        <w:rPr>
          <w:rFonts w:ascii="Arial" w:hAnsi="Arial" w:cs="Arial"/>
          <w:sz w:val="20"/>
          <w:szCs w:val="20"/>
        </w:rPr>
      </w:pPr>
      <w:r w:rsidRPr="009413F6">
        <w:rPr>
          <w:rFonts w:ascii="Arial" w:hAnsi="Arial" w:cs="Arial"/>
          <w:sz w:val="20"/>
          <w:szCs w:val="20"/>
        </w:rPr>
        <w:t>Research analysts, who usually specialize in particular industry sectors, base their stock recommendations on financial analysis. Their research reports, whether produced for clients or their own investment firms, are one of several stock research tools available to portfolio managers who do not have the time to research individual stocks in the same depth. Technical analysts do not research fundamental data. They try to predict future stock prices on the basis of how stock prices move up and down, rather than why. They use charting tools to pinpoint buy and sell signals, paying close attention to recurring patterns of stock price movements, trends and the speed of change or momentum.</w:t>
      </w:r>
    </w:p>
    <w:p w:rsidR="004A31D3" w:rsidRPr="009413F6" w:rsidRDefault="004A31D3" w:rsidP="00A77C48">
      <w:pPr>
        <w:pStyle w:val="body"/>
        <w:spacing w:before="120" w:after="120" w:line="240" w:lineRule="auto"/>
        <w:jc w:val="both"/>
        <w:rPr>
          <w:rFonts w:ascii="Arial" w:hAnsi="Arial" w:cs="Arial"/>
          <w:sz w:val="20"/>
          <w:szCs w:val="20"/>
        </w:rPr>
      </w:pPr>
    </w:p>
    <w:p w:rsidR="004A31D3" w:rsidRPr="003A59A9" w:rsidRDefault="004A31D3" w:rsidP="003E3FB6">
      <w:pPr>
        <w:pStyle w:val="body"/>
        <w:spacing w:before="120" w:after="120" w:line="240" w:lineRule="atLeast"/>
        <w:jc w:val="both"/>
        <w:rPr>
          <w:rFonts w:ascii="Arial" w:hAnsi="Arial" w:cs="Arial"/>
          <w:sz w:val="20"/>
          <w:szCs w:val="20"/>
        </w:rPr>
      </w:pPr>
    </w:p>
    <w:p w:rsidR="003A59A9" w:rsidRPr="003A59A9" w:rsidRDefault="00C164AF" w:rsidP="003E3FB6">
      <w:pPr>
        <w:pStyle w:val="Cog-Bullet"/>
        <w:numPr>
          <w:ilvl w:val="0"/>
          <w:numId w:val="0"/>
        </w:numPr>
        <w:spacing w:before="120" w:after="120" w:line="240" w:lineRule="atLeast"/>
        <w:rPr>
          <w:rFonts w:cs="Arial"/>
        </w:rPr>
      </w:pPr>
      <w:r>
        <w:rPr>
          <w:rFonts w:ascii="Calibri" w:hAnsi="Calibri"/>
          <w:noProof/>
          <w:color w:val="1F497D"/>
          <w:sz w:val="22"/>
          <w:szCs w:val="22"/>
        </w:rPr>
        <w:lastRenderedPageBreak/>
        <w:drawing>
          <wp:inline distT="0" distB="0" distL="0" distR="0">
            <wp:extent cx="5715000" cy="3286125"/>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5715000" cy="3286125"/>
                    </a:xfrm>
                    <a:prstGeom prst="rect">
                      <a:avLst/>
                    </a:prstGeom>
                    <a:noFill/>
                    <a:ln w="9525">
                      <a:noFill/>
                      <a:miter lim="800000"/>
                      <a:headEnd/>
                      <a:tailEnd/>
                    </a:ln>
                  </pic:spPr>
                </pic:pic>
              </a:graphicData>
            </a:graphic>
          </wp:inline>
        </w:drawing>
      </w:r>
    </w:p>
    <w:p w:rsidR="003A59A9" w:rsidRPr="003A59A9" w:rsidRDefault="003A59A9" w:rsidP="003E3FB6">
      <w:pPr>
        <w:pStyle w:val="Cog-Bullet"/>
        <w:numPr>
          <w:ilvl w:val="0"/>
          <w:numId w:val="0"/>
        </w:numPr>
        <w:spacing w:before="120" w:after="120" w:line="240" w:lineRule="atLeast"/>
        <w:rPr>
          <w:rFonts w:cs="Arial"/>
        </w:rPr>
      </w:pPr>
    </w:p>
    <w:p w:rsidR="004A31D3" w:rsidRPr="0062725D" w:rsidRDefault="004A31D3" w:rsidP="002723CA">
      <w:pPr>
        <w:pStyle w:val="Caption"/>
        <w:jc w:val="center"/>
      </w:pPr>
      <w:bookmarkStart w:id="61" w:name="_Toc207007212"/>
      <w:r w:rsidRPr="0062725D">
        <w:t xml:space="preserve">Figure </w:t>
      </w:r>
      <w:r w:rsidR="00FC0435">
        <w:fldChar w:fldCharType="begin"/>
      </w:r>
      <w:r w:rsidR="00E732DA">
        <w:instrText xml:space="preserve"> STYLEREF 1 \s </w:instrText>
      </w:r>
      <w:r w:rsidR="00FC0435">
        <w:fldChar w:fldCharType="separate"/>
      </w:r>
      <w:r w:rsidR="0060131C">
        <w:rPr>
          <w:noProof/>
        </w:rPr>
        <w:t>5</w:t>
      </w:r>
      <w:r w:rsidR="00FC0435">
        <w:fldChar w:fldCharType="end"/>
      </w:r>
      <w:r w:rsidR="00E94D45">
        <w:noBreakHyphen/>
      </w:r>
      <w:r w:rsidR="00FC0435">
        <w:fldChar w:fldCharType="begin"/>
      </w:r>
      <w:r w:rsidR="00E732DA">
        <w:instrText xml:space="preserve"> SEQ Figure \* ARABIC \s 1 </w:instrText>
      </w:r>
      <w:r w:rsidR="00FC0435">
        <w:fldChar w:fldCharType="separate"/>
      </w:r>
      <w:r w:rsidR="0060131C">
        <w:rPr>
          <w:noProof/>
        </w:rPr>
        <w:t>1</w:t>
      </w:r>
      <w:r w:rsidR="00FC0435">
        <w:fldChar w:fldCharType="end"/>
      </w:r>
      <w:r w:rsidRPr="0062725D">
        <w:t>: View of Research Process</w:t>
      </w:r>
      <w:bookmarkEnd w:id="61"/>
    </w:p>
    <w:p w:rsidR="004A31D3" w:rsidRPr="009413F6" w:rsidRDefault="004A31D3" w:rsidP="003E3FB6">
      <w:pPr>
        <w:pStyle w:val="Heading2"/>
        <w:keepNext w:val="0"/>
        <w:spacing w:before="120" w:after="120" w:line="240" w:lineRule="atLeast"/>
        <w:ind w:left="0" w:firstLine="0"/>
        <w:jc w:val="both"/>
      </w:pPr>
      <w:bookmarkStart w:id="62" w:name="_Toc202158941"/>
      <w:bookmarkStart w:id="63" w:name="_Toc133730620"/>
      <w:bookmarkStart w:id="64" w:name="_Toc134366479"/>
      <w:bookmarkStart w:id="65" w:name="_Toc226530527"/>
      <w:bookmarkEnd w:id="62"/>
      <w:r w:rsidRPr="009413F6">
        <w:t>Portfolio Valuation and Rebalancing</w:t>
      </w:r>
      <w:bookmarkEnd w:id="63"/>
      <w:bookmarkEnd w:id="64"/>
      <w:bookmarkEnd w:id="65"/>
    </w:p>
    <w:p w:rsidR="004F340B" w:rsidRPr="00AD3F0B" w:rsidRDefault="00377F99" w:rsidP="00D859EB">
      <w:pPr>
        <w:pStyle w:val="bodyfont"/>
        <w:spacing w:before="120" w:beforeAutospacing="0" w:after="120" w:afterAutospacing="0"/>
        <w:jc w:val="both"/>
        <w:rPr>
          <w:sz w:val="20"/>
          <w:szCs w:val="20"/>
        </w:rPr>
      </w:pPr>
      <w:bookmarkStart w:id="66" w:name="_Toc133730621"/>
      <w:r>
        <w:rPr>
          <w:sz w:val="20"/>
          <w:szCs w:val="20"/>
        </w:rPr>
        <w:t>After the right</w:t>
      </w:r>
      <w:r w:rsidR="004F340B" w:rsidRPr="00AD3F0B">
        <w:rPr>
          <w:sz w:val="20"/>
          <w:szCs w:val="20"/>
        </w:rPr>
        <w:t xml:space="preserve"> asset-allocation strategy is </w:t>
      </w:r>
      <w:r>
        <w:rPr>
          <w:sz w:val="20"/>
          <w:szCs w:val="20"/>
        </w:rPr>
        <w:t>in place</w:t>
      </w:r>
      <w:r w:rsidR="004F340B" w:rsidRPr="00AD3F0B">
        <w:rPr>
          <w:sz w:val="20"/>
          <w:szCs w:val="20"/>
        </w:rPr>
        <w:t xml:space="preserve">, </w:t>
      </w:r>
      <w:r>
        <w:rPr>
          <w:sz w:val="20"/>
          <w:szCs w:val="20"/>
        </w:rPr>
        <w:t xml:space="preserve">the </w:t>
      </w:r>
      <w:r w:rsidR="004F340B" w:rsidRPr="00AD3F0B">
        <w:rPr>
          <w:sz w:val="20"/>
          <w:szCs w:val="20"/>
        </w:rPr>
        <w:t>weigh</w:t>
      </w:r>
      <w:r>
        <w:rPr>
          <w:sz w:val="20"/>
          <w:szCs w:val="20"/>
        </w:rPr>
        <w:t>t</w:t>
      </w:r>
      <w:r w:rsidR="004F340B" w:rsidRPr="00AD3F0B">
        <w:rPr>
          <w:sz w:val="20"/>
          <w:szCs w:val="20"/>
        </w:rPr>
        <w:t xml:space="preserve"> of each asset class in </w:t>
      </w:r>
      <w:r w:rsidR="00E719B8">
        <w:rPr>
          <w:sz w:val="20"/>
          <w:szCs w:val="20"/>
        </w:rPr>
        <w:t>the</w:t>
      </w:r>
      <w:r w:rsidR="004F340B" w:rsidRPr="00AD3F0B">
        <w:rPr>
          <w:sz w:val="20"/>
          <w:szCs w:val="20"/>
        </w:rPr>
        <w:t xml:space="preserve"> portfolio</w:t>
      </w:r>
      <w:r w:rsidR="00E719B8">
        <w:rPr>
          <w:sz w:val="20"/>
          <w:szCs w:val="20"/>
        </w:rPr>
        <w:t xml:space="preserve"> might change.</w:t>
      </w:r>
      <w:r w:rsidR="004F340B" w:rsidRPr="00AD3F0B">
        <w:rPr>
          <w:sz w:val="20"/>
          <w:szCs w:val="20"/>
        </w:rPr>
        <w:t xml:space="preserve"> </w:t>
      </w:r>
      <w:r w:rsidR="00E719B8">
        <w:rPr>
          <w:sz w:val="20"/>
          <w:szCs w:val="20"/>
        </w:rPr>
        <w:t xml:space="preserve"> This happens as o</w:t>
      </w:r>
      <w:r w:rsidR="004F340B" w:rsidRPr="00AD3F0B">
        <w:rPr>
          <w:sz w:val="20"/>
          <w:szCs w:val="20"/>
        </w:rPr>
        <w:t xml:space="preserve">ver the course of </w:t>
      </w:r>
      <w:r w:rsidR="00E719B8">
        <w:rPr>
          <w:sz w:val="20"/>
          <w:szCs w:val="20"/>
        </w:rPr>
        <w:t>time</w:t>
      </w:r>
      <w:r w:rsidR="004F340B" w:rsidRPr="00AD3F0B">
        <w:rPr>
          <w:sz w:val="20"/>
          <w:szCs w:val="20"/>
        </w:rPr>
        <w:t xml:space="preserve">, the market value of each security within portfolio earned a different return, resulting in a weighting change.  As the value of investments increases or decreases, or life changes, </w:t>
      </w:r>
      <w:r w:rsidR="00E719B8">
        <w:rPr>
          <w:sz w:val="20"/>
          <w:szCs w:val="20"/>
        </w:rPr>
        <w:t>one</w:t>
      </w:r>
      <w:r w:rsidR="004F340B" w:rsidRPr="00AD3F0B">
        <w:rPr>
          <w:sz w:val="20"/>
          <w:szCs w:val="20"/>
        </w:rPr>
        <w:t xml:space="preserve"> may want to modify </w:t>
      </w:r>
      <w:r w:rsidR="00E719B8">
        <w:rPr>
          <w:sz w:val="20"/>
          <w:szCs w:val="20"/>
        </w:rPr>
        <w:t>the</w:t>
      </w:r>
      <w:r w:rsidR="004F340B" w:rsidRPr="00AD3F0B">
        <w:rPr>
          <w:sz w:val="20"/>
          <w:szCs w:val="20"/>
        </w:rPr>
        <w:t xml:space="preserve"> initial asset allocation.</w:t>
      </w:r>
    </w:p>
    <w:p w:rsidR="004F340B" w:rsidRPr="003054AF" w:rsidRDefault="004F340B" w:rsidP="004F340B">
      <w:pPr>
        <w:pStyle w:val="Heading3"/>
        <w:widowControl w:val="0"/>
        <w:tabs>
          <w:tab w:val="left" w:pos="900"/>
          <w:tab w:val="num" w:pos="1800"/>
        </w:tabs>
        <w:spacing w:before="0" w:after="240" w:line="240" w:lineRule="atLeast"/>
        <w:ind w:left="1224" w:right="115" w:hanging="1224"/>
        <w:jc w:val="both"/>
      </w:pPr>
      <w:bookmarkStart w:id="67" w:name="_Toc133048070"/>
      <w:bookmarkStart w:id="68" w:name="_Toc134366480"/>
      <w:r w:rsidRPr="003054AF">
        <w:t>What is Portfolio Rebalancing?</w:t>
      </w:r>
      <w:bookmarkEnd w:id="67"/>
      <w:bookmarkEnd w:id="68"/>
      <w:r w:rsidRPr="003054AF">
        <w:t xml:space="preserve"> </w:t>
      </w:r>
    </w:p>
    <w:p w:rsidR="004F340B" w:rsidRPr="00AD3F0B" w:rsidRDefault="004F340B" w:rsidP="0059307F">
      <w:pPr>
        <w:pStyle w:val="articlesmainbody"/>
        <w:spacing w:before="120" w:beforeAutospacing="0" w:after="120" w:afterAutospacing="0"/>
        <w:jc w:val="both"/>
      </w:pPr>
      <w:r w:rsidRPr="00AD3F0B">
        <w:t xml:space="preserve">Rebalancing is the process of buying and selling portions of </w:t>
      </w:r>
      <w:r w:rsidR="004F302D">
        <w:t>the</w:t>
      </w:r>
      <w:r w:rsidRPr="00AD3F0B">
        <w:t xml:space="preserve"> portfolio in order to set the weight of each asset class back to its original state. In addition, if an investor's investment strategy or tolerance for risk has changed, he or she can rebalanc</w:t>
      </w:r>
      <w:r w:rsidR="004F302D">
        <w:t>e</w:t>
      </w:r>
      <w:r w:rsidRPr="00AD3F0B">
        <w:t xml:space="preserve"> to </w:t>
      </w:r>
      <w:r w:rsidR="004F302D">
        <w:t>a</w:t>
      </w:r>
      <w:r w:rsidRPr="00AD3F0B">
        <w:t xml:space="preserve">djust the weightings of each security or asset class in the portfolio to fulfill a newly devised asset </w:t>
      </w:r>
      <w:r w:rsidR="004F302D" w:rsidRPr="00AD3F0B">
        <w:t>allocation. It</w:t>
      </w:r>
      <w:r w:rsidRPr="00AD3F0B">
        <w:t xml:space="preserve"> allows individuals to keep their risk level in check and minimize risk.</w:t>
      </w:r>
    </w:p>
    <w:p w:rsidR="004F340B" w:rsidRPr="00AD3F0B" w:rsidRDefault="004F340B" w:rsidP="0059307F">
      <w:pPr>
        <w:pStyle w:val="articlesmainbody"/>
        <w:spacing w:before="120" w:beforeAutospacing="0" w:after="120" w:afterAutospacing="0"/>
        <w:jc w:val="both"/>
      </w:pPr>
    </w:p>
    <w:p w:rsidR="004F340B" w:rsidRPr="003054AF" w:rsidRDefault="004F340B" w:rsidP="004F340B">
      <w:pPr>
        <w:pStyle w:val="Heading3"/>
        <w:widowControl w:val="0"/>
        <w:tabs>
          <w:tab w:val="left" w:pos="900"/>
          <w:tab w:val="num" w:pos="1800"/>
        </w:tabs>
        <w:spacing w:before="0" w:after="240" w:line="240" w:lineRule="atLeast"/>
        <w:ind w:left="1224" w:right="115" w:hanging="1224"/>
        <w:jc w:val="both"/>
      </w:pPr>
      <w:bookmarkStart w:id="69" w:name="_Toc133048071"/>
      <w:bookmarkStart w:id="70" w:name="_Toc134366481"/>
      <w:r w:rsidRPr="003054AF">
        <w:t>Why Rebalance?</w:t>
      </w:r>
      <w:bookmarkEnd w:id="69"/>
      <w:bookmarkEnd w:id="70"/>
      <w:r w:rsidRPr="003054AF">
        <w:t xml:space="preserve"> </w:t>
      </w:r>
    </w:p>
    <w:p w:rsidR="004F340B" w:rsidRPr="00AD3F0B" w:rsidRDefault="004F340B" w:rsidP="0059307F">
      <w:pPr>
        <w:pStyle w:val="bodyfont"/>
        <w:spacing w:before="120" w:beforeAutospacing="0" w:after="120" w:afterAutospacing="0"/>
        <w:jc w:val="both"/>
        <w:rPr>
          <w:sz w:val="20"/>
          <w:szCs w:val="20"/>
        </w:rPr>
      </w:pPr>
      <w:r w:rsidRPr="00AD3F0B">
        <w:rPr>
          <w:sz w:val="20"/>
          <w:szCs w:val="20"/>
        </w:rPr>
        <w:t>Rebalancing is a vital part of investment strategy. There can be no asset allocation target without a stated pledge to preserve the target. It is necessary to achieve the value added benefits of diversification. Periodically putting investments back in order by shifting money among asset classes is a necessary chore for investors who devise an asset-allocation strategy--whether the market goes up or down. The primary purpose of rebalancing is to maintain a consistent risk profile. It also provides a regular plan of action.</w:t>
      </w:r>
    </w:p>
    <w:p w:rsidR="004F340B" w:rsidRPr="00AD3F0B" w:rsidRDefault="004F340B" w:rsidP="00D859EB">
      <w:pPr>
        <w:pStyle w:val="bodyfont"/>
        <w:spacing w:before="120" w:beforeAutospacing="0" w:after="120" w:afterAutospacing="0"/>
        <w:jc w:val="both"/>
        <w:rPr>
          <w:sz w:val="20"/>
          <w:szCs w:val="20"/>
        </w:rPr>
      </w:pPr>
      <w:r w:rsidRPr="00AD3F0B">
        <w:rPr>
          <w:sz w:val="20"/>
          <w:szCs w:val="20"/>
        </w:rPr>
        <w:t xml:space="preserve">Portfolio rebalancing is a powerful risk-control strategy. Over time, as a portfolio’s different investments produce different returns, the portfolio drifts from its target asset allocation, acquiring risk and return characteristics that may be inconsistent with an investor’s goals and preferences. A rebalancing strategy addresses this risk by formalizing guidelines about how frequently the </w:t>
      </w:r>
      <w:r w:rsidRPr="00AD3F0B">
        <w:rPr>
          <w:sz w:val="20"/>
          <w:szCs w:val="20"/>
        </w:rPr>
        <w:lastRenderedPageBreak/>
        <w:t>portfolio should be monitored, how far an asset allocation can deviate from its target before it’s rebalanced, and whether periodic rebalancing should restore a portfolio to its target or to some intermediate allocation.</w:t>
      </w:r>
    </w:p>
    <w:p w:rsidR="004F340B" w:rsidRPr="00523C35" w:rsidRDefault="004F340B" w:rsidP="00523C35">
      <w:pPr>
        <w:pStyle w:val="Heading3"/>
        <w:widowControl w:val="0"/>
        <w:tabs>
          <w:tab w:val="left" w:pos="900"/>
          <w:tab w:val="num" w:pos="1800"/>
        </w:tabs>
        <w:spacing w:before="0" w:after="240" w:line="240" w:lineRule="atLeast"/>
        <w:ind w:left="1224" w:right="115" w:hanging="1224"/>
        <w:jc w:val="both"/>
      </w:pPr>
      <w:r w:rsidRPr="00523C35">
        <w:t>Asset characteristics and the rebalancing decision</w:t>
      </w:r>
    </w:p>
    <w:p w:rsidR="004F340B" w:rsidRPr="0059307F" w:rsidRDefault="004F340B" w:rsidP="00D859EB">
      <w:pPr>
        <w:pStyle w:val="bodyfont"/>
        <w:spacing w:before="120" w:beforeAutospacing="0" w:after="120" w:afterAutospacing="0"/>
        <w:jc w:val="both"/>
        <w:rPr>
          <w:sz w:val="20"/>
          <w:szCs w:val="20"/>
        </w:rPr>
      </w:pPr>
      <w:r w:rsidRPr="0059307F">
        <w:rPr>
          <w:sz w:val="20"/>
          <w:szCs w:val="20"/>
        </w:rPr>
        <w:t>The development of a rebalancing strategy that is consistent with an institution’s preferences also depends on the characteristics of a portfolio’s assets.</w:t>
      </w:r>
      <w:r w:rsidR="00EE65EA" w:rsidRPr="0059307F">
        <w:rPr>
          <w:sz w:val="20"/>
          <w:szCs w:val="20"/>
        </w:rPr>
        <w:t xml:space="preserve"> </w:t>
      </w:r>
      <w:r w:rsidRPr="0059307F">
        <w:rPr>
          <w:sz w:val="20"/>
          <w:szCs w:val="20"/>
        </w:rPr>
        <w:t>The asset class characteristics that influence the rebalancing strategy include the following:</w:t>
      </w:r>
    </w:p>
    <w:p w:rsidR="004F340B" w:rsidRPr="0059307F" w:rsidRDefault="004F340B" w:rsidP="009874A6">
      <w:pPr>
        <w:pStyle w:val="bodyfont"/>
        <w:numPr>
          <w:ilvl w:val="0"/>
          <w:numId w:val="16"/>
        </w:numPr>
        <w:spacing w:before="120" w:beforeAutospacing="0" w:after="120" w:afterAutospacing="0"/>
        <w:ind w:left="0" w:firstLine="0"/>
        <w:jc w:val="both"/>
        <w:rPr>
          <w:sz w:val="20"/>
          <w:szCs w:val="20"/>
        </w:rPr>
      </w:pPr>
      <w:r w:rsidRPr="0059307F">
        <w:rPr>
          <w:sz w:val="20"/>
          <w:szCs w:val="20"/>
        </w:rPr>
        <w:t>Correlation: High correlation among the returns of asset classes means that they tend to move together.</w:t>
      </w:r>
    </w:p>
    <w:p w:rsidR="004F340B" w:rsidRPr="0059307F" w:rsidRDefault="004F340B" w:rsidP="009874A6">
      <w:pPr>
        <w:pStyle w:val="bodyfont"/>
        <w:numPr>
          <w:ilvl w:val="0"/>
          <w:numId w:val="16"/>
        </w:numPr>
        <w:spacing w:before="120" w:beforeAutospacing="0" w:after="120" w:afterAutospacing="0"/>
        <w:ind w:left="0" w:firstLine="0"/>
        <w:jc w:val="both"/>
        <w:rPr>
          <w:sz w:val="20"/>
          <w:szCs w:val="20"/>
        </w:rPr>
      </w:pPr>
      <w:r w:rsidRPr="0059307F">
        <w:rPr>
          <w:sz w:val="20"/>
          <w:szCs w:val="20"/>
        </w:rPr>
        <w:t>Volatility: High return volatility increases the fluctuation of the asset class weightings around the target allocation and increases the risk of significant deviation from the target.</w:t>
      </w:r>
    </w:p>
    <w:p w:rsidR="004F340B" w:rsidRPr="0059307F" w:rsidRDefault="004F340B" w:rsidP="009874A6">
      <w:pPr>
        <w:pStyle w:val="bodyfont"/>
        <w:numPr>
          <w:ilvl w:val="0"/>
          <w:numId w:val="16"/>
        </w:numPr>
        <w:spacing w:before="120" w:beforeAutospacing="0" w:after="120" w:afterAutospacing="0"/>
        <w:ind w:left="0" w:firstLine="0"/>
        <w:jc w:val="both"/>
        <w:rPr>
          <w:sz w:val="20"/>
          <w:szCs w:val="20"/>
        </w:rPr>
      </w:pPr>
      <w:r w:rsidRPr="0059307F">
        <w:rPr>
          <w:sz w:val="20"/>
          <w:szCs w:val="20"/>
        </w:rPr>
        <w:t>Expected return: A high expected return for a particular asset causes a portfolio’s allocation to drift toward this asset class more quickly.</w:t>
      </w:r>
    </w:p>
    <w:p w:rsidR="004F340B" w:rsidRPr="0059307F" w:rsidRDefault="004F340B" w:rsidP="009874A6">
      <w:pPr>
        <w:pStyle w:val="bodyfont"/>
        <w:numPr>
          <w:ilvl w:val="0"/>
          <w:numId w:val="16"/>
        </w:numPr>
        <w:spacing w:before="120" w:beforeAutospacing="0" w:after="120" w:afterAutospacing="0"/>
        <w:ind w:left="0" w:firstLine="0"/>
        <w:jc w:val="both"/>
        <w:rPr>
          <w:sz w:val="20"/>
          <w:szCs w:val="20"/>
        </w:rPr>
      </w:pPr>
      <w:r w:rsidRPr="0059307F">
        <w:rPr>
          <w:sz w:val="20"/>
          <w:szCs w:val="20"/>
        </w:rPr>
        <w:t>Time horizon: A long time horizon increases the likelihood of a portfolio drifting from its target allocation, which produces a greater risk of significant return deviation.</w:t>
      </w:r>
    </w:p>
    <w:p w:rsidR="004F340B" w:rsidRPr="003054AF" w:rsidRDefault="004F340B" w:rsidP="004F340B">
      <w:pPr>
        <w:pStyle w:val="Heading3"/>
        <w:widowControl w:val="0"/>
        <w:tabs>
          <w:tab w:val="left" w:pos="900"/>
          <w:tab w:val="num" w:pos="1800"/>
        </w:tabs>
        <w:spacing w:before="0" w:after="240" w:line="240" w:lineRule="atLeast"/>
        <w:ind w:left="1224" w:right="115" w:hanging="1224"/>
        <w:jc w:val="both"/>
      </w:pPr>
      <w:bookmarkStart w:id="71" w:name="_Toc133048074"/>
      <w:bookmarkStart w:id="72" w:name="_Toc134366484"/>
      <w:r w:rsidRPr="003054AF">
        <w:t xml:space="preserve">Market </w:t>
      </w:r>
      <w:r w:rsidR="005F011A">
        <w:t>E</w:t>
      </w:r>
      <w:r w:rsidRPr="003054AF">
        <w:t xml:space="preserve">nvironments and </w:t>
      </w:r>
      <w:r w:rsidR="005F011A">
        <w:t>R</w:t>
      </w:r>
      <w:r w:rsidRPr="003054AF">
        <w:t xml:space="preserve">ebalancing </w:t>
      </w:r>
      <w:r w:rsidR="005F011A">
        <w:t>R</w:t>
      </w:r>
      <w:r w:rsidRPr="003054AF">
        <w:t>esults</w:t>
      </w:r>
      <w:bookmarkEnd w:id="71"/>
      <w:bookmarkEnd w:id="72"/>
    </w:p>
    <w:p w:rsidR="004F340B" w:rsidRPr="00AD3F0B" w:rsidRDefault="004F340B" w:rsidP="00D859EB">
      <w:pPr>
        <w:pStyle w:val="bodyfont"/>
        <w:spacing w:before="120" w:beforeAutospacing="0" w:after="120" w:afterAutospacing="0"/>
        <w:jc w:val="both"/>
        <w:rPr>
          <w:b/>
          <w:sz w:val="20"/>
          <w:szCs w:val="20"/>
        </w:rPr>
      </w:pPr>
      <w:r w:rsidRPr="00AD3F0B">
        <w:rPr>
          <w:sz w:val="20"/>
          <w:szCs w:val="20"/>
        </w:rPr>
        <w:t>A portfolio’s return relative to its target asset allocation is the appropriate framework for evaluating a rebalancing strategy’s effectiveness at risk control. However, real-world experience indicates that investors often view risk in absolute terms. In most market environments, where returns follow a random-walk pattern, successful relative risk control also reduces absolute risk. However, in some market environments, successful relative risk control can increase absolute risk.</w:t>
      </w:r>
    </w:p>
    <w:p w:rsidR="004F340B" w:rsidRPr="003054AF" w:rsidRDefault="004F340B" w:rsidP="004F340B">
      <w:pPr>
        <w:pStyle w:val="Heading3"/>
        <w:widowControl w:val="0"/>
        <w:tabs>
          <w:tab w:val="left" w:pos="900"/>
          <w:tab w:val="num" w:pos="1800"/>
        </w:tabs>
        <w:spacing w:before="0" w:after="240" w:line="240" w:lineRule="atLeast"/>
        <w:ind w:left="1224" w:right="115" w:hanging="1224"/>
        <w:jc w:val="both"/>
      </w:pPr>
      <w:bookmarkStart w:id="73" w:name="_Toc133048080"/>
      <w:bookmarkStart w:id="74" w:name="_Toc134366487"/>
      <w:r w:rsidRPr="003054AF">
        <w:t>Portfolio Rebalancing Strategies</w:t>
      </w:r>
      <w:bookmarkEnd w:id="73"/>
      <w:bookmarkEnd w:id="74"/>
    </w:p>
    <w:p w:rsidR="004F340B" w:rsidRPr="0059307F" w:rsidRDefault="004F340B" w:rsidP="00D859EB">
      <w:pPr>
        <w:pStyle w:val="bodyfont"/>
        <w:spacing w:before="120" w:beforeAutospacing="0" w:after="120" w:afterAutospacing="0"/>
        <w:jc w:val="both"/>
        <w:rPr>
          <w:sz w:val="20"/>
          <w:szCs w:val="20"/>
        </w:rPr>
      </w:pPr>
      <w:r w:rsidRPr="0059307F">
        <w:rPr>
          <w:sz w:val="20"/>
          <w:szCs w:val="20"/>
        </w:rPr>
        <w:t>Rebalancing involves a series of transactions and can be approached in several different ways:</w:t>
      </w:r>
    </w:p>
    <w:p w:rsidR="004F340B" w:rsidRPr="0059307F" w:rsidRDefault="004F340B" w:rsidP="00D859EB">
      <w:pPr>
        <w:pStyle w:val="bodyfont"/>
        <w:numPr>
          <w:ilvl w:val="0"/>
          <w:numId w:val="39"/>
        </w:numPr>
        <w:spacing w:before="120" w:beforeAutospacing="0" w:after="120" w:afterAutospacing="0"/>
        <w:jc w:val="both"/>
        <w:rPr>
          <w:sz w:val="20"/>
          <w:szCs w:val="20"/>
        </w:rPr>
      </w:pPr>
      <w:r w:rsidRPr="0059307F">
        <w:rPr>
          <w:bCs/>
          <w:sz w:val="20"/>
          <w:szCs w:val="20"/>
        </w:rPr>
        <w:t>Calendar</w:t>
      </w:r>
      <w:r w:rsidRPr="0059307F">
        <w:rPr>
          <w:sz w:val="20"/>
          <w:szCs w:val="20"/>
        </w:rPr>
        <w:t xml:space="preserve"> - Done at fixed calendar intervals, often quarterly</w:t>
      </w:r>
      <w:r w:rsidR="000135E5">
        <w:rPr>
          <w:sz w:val="20"/>
          <w:szCs w:val="20"/>
        </w:rPr>
        <w:t>.</w:t>
      </w:r>
    </w:p>
    <w:p w:rsidR="004F340B" w:rsidRPr="0059307F" w:rsidRDefault="004F340B" w:rsidP="00D859EB">
      <w:pPr>
        <w:pStyle w:val="bodyfont"/>
        <w:numPr>
          <w:ilvl w:val="0"/>
          <w:numId w:val="39"/>
        </w:numPr>
        <w:spacing w:before="120" w:beforeAutospacing="0" w:after="120" w:afterAutospacing="0"/>
        <w:jc w:val="both"/>
        <w:rPr>
          <w:sz w:val="20"/>
          <w:szCs w:val="20"/>
        </w:rPr>
      </w:pPr>
      <w:r w:rsidRPr="0059307F">
        <w:rPr>
          <w:bCs/>
          <w:sz w:val="20"/>
          <w:szCs w:val="20"/>
        </w:rPr>
        <w:t>Range</w:t>
      </w:r>
      <w:r w:rsidRPr="0059307F">
        <w:rPr>
          <w:sz w:val="20"/>
          <w:szCs w:val="20"/>
        </w:rPr>
        <w:t xml:space="preserve"> - This method does not target a specific percentage; rather, it seeks to stay within a specific range (e.g. 5% on either side of the benchmark weighting). The problem here is that frequent, small rebalancing efforts cause transaction costs to pile up and can be a drag on performance.</w:t>
      </w:r>
    </w:p>
    <w:p w:rsidR="004F340B" w:rsidRPr="0059307F" w:rsidRDefault="004F340B" w:rsidP="00D859EB">
      <w:pPr>
        <w:pStyle w:val="bodyfont"/>
        <w:numPr>
          <w:ilvl w:val="0"/>
          <w:numId w:val="39"/>
        </w:numPr>
        <w:spacing w:before="120" w:beforeAutospacing="0" w:after="120" w:afterAutospacing="0"/>
        <w:jc w:val="both"/>
        <w:rPr>
          <w:sz w:val="20"/>
          <w:szCs w:val="20"/>
        </w:rPr>
      </w:pPr>
      <w:r w:rsidRPr="0059307F">
        <w:rPr>
          <w:bCs/>
          <w:sz w:val="20"/>
          <w:szCs w:val="20"/>
        </w:rPr>
        <w:t>Threshold</w:t>
      </w:r>
      <w:r w:rsidRPr="0059307F">
        <w:rPr>
          <w:sz w:val="20"/>
          <w:szCs w:val="20"/>
        </w:rPr>
        <w:t xml:space="preserve"> - A range is established, but once the outer limit is crossed, a rebalancing is executed to bring the actual portfolios back to specific benchmark weights. </w:t>
      </w:r>
    </w:p>
    <w:p w:rsidR="004F340B" w:rsidRPr="0059307F" w:rsidRDefault="004F340B" w:rsidP="00D859EB">
      <w:pPr>
        <w:pStyle w:val="bodyfont"/>
        <w:numPr>
          <w:ilvl w:val="0"/>
          <w:numId w:val="39"/>
        </w:numPr>
        <w:spacing w:before="120" w:beforeAutospacing="0" w:after="120" w:afterAutospacing="0"/>
        <w:jc w:val="both"/>
        <w:rPr>
          <w:sz w:val="20"/>
          <w:szCs w:val="20"/>
        </w:rPr>
      </w:pPr>
      <w:r w:rsidRPr="0059307F">
        <w:rPr>
          <w:bCs/>
          <w:sz w:val="20"/>
          <w:szCs w:val="20"/>
        </w:rPr>
        <w:t>Tactical</w:t>
      </w:r>
      <w:r w:rsidRPr="0059307F">
        <w:rPr>
          <w:sz w:val="20"/>
          <w:szCs w:val="20"/>
        </w:rPr>
        <w:t xml:space="preserve"> - Involves more judgment on the part of the portfolio manager, changing the timing for calendar rebalancing, or expanding/contracting the permissible ranges, in accordance with a judgment of market direction, volatility, etc.</w:t>
      </w:r>
    </w:p>
    <w:p w:rsidR="004F340B" w:rsidRPr="0059307F" w:rsidRDefault="004F340B" w:rsidP="009874A6">
      <w:pPr>
        <w:pStyle w:val="bodyfont"/>
        <w:numPr>
          <w:ilvl w:val="0"/>
          <w:numId w:val="15"/>
        </w:numPr>
        <w:tabs>
          <w:tab w:val="clear" w:pos="1296"/>
          <w:tab w:val="num" w:pos="360"/>
          <w:tab w:val="num" w:pos="720"/>
        </w:tabs>
        <w:spacing w:before="120" w:beforeAutospacing="0" w:after="120" w:afterAutospacing="0"/>
        <w:ind w:left="720"/>
        <w:jc w:val="both"/>
        <w:rPr>
          <w:sz w:val="20"/>
          <w:szCs w:val="20"/>
        </w:rPr>
      </w:pPr>
      <w:r w:rsidRPr="0059307F">
        <w:rPr>
          <w:bCs/>
          <w:sz w:val="20"/>
          <w:szCs w:val="20"/>
        </w:rPr>
        <w:t>Drifting Mix</w:t>
      </w:r>
      <w:r w:rsidRPr="0059307F">
        <w:rPr>
          <w:sz w:val="20"/>
          <w:szCs w:val="20"/>
        </w:rPr>
        <w:t xml:space="preserve"> - The actual portfolio weightings are set at the policy level initially, but allowed to drift thereafter.  </w:t>
      </w:r>
    </w:p>
    <w:p w:rsidR="009A6B5A" w:rsidRDefault="009A6B5A" w:rsidP="003E3FB6">
      <w:pPr>
        <w:pStyle w:val="Heading2"/>
        <w:keepNext w:val="0"/>
        <w:spacing w:before="120" w:after="120" w:line="240" w:lineRule="atLeast"/>
        <w:ind w:left="0" w:firstLine="0"/>
        <w:jc w:val="both"/>
      </w:pPr>
      <w:bookmarkStart w:id="75" w:name="_Toc134366491"/>
      <w:bookmarkStart w:id="76" w:name="_Toc226530528"/>
      <w:r>
        <w:t>Risk Management</w:t>
      </w:r>
      <w:bookmarkEnd w:id="75"/>
      <w:bookmarkEnd w:id="76"/>
    </w:p>
    <w:p w:rsidR="00062341" w:rsidRDefault="00062341" w:rsidP="00062341">
      <w:pPr>
        <w:spacing w:before="120" w:after="120" w:line="240" w:lineRule="atLeast"/>
        <w:jc w:val="both"/>
        <w:rPr>
          <w:rFonts w:ascii="Arial" w:hAnsi="Arial" w:cs="Arial"/>
          <w:b/>
          <w:sz w:val="20"/>
          <w:szCs w:val="20"/>
        </w:rPr>
      </w:pPr>
      <w:bookmarkStart w:id="77" w:name="Value-at-risk"/>
    </w:p>
    <w:p w:rsidR="00062341" w:rsidRPr="0059307F" w:rsidRDefault="00062341" w:rsidP="00D859EB">
      <w:pPr>
        <w:spacing w:before="120" w:after="120"/>
        <w:jc w:val="both"/>
        <w:rPr>
          <w:rFonts w:ascii="Arial" w:hAnsi="Arial" w:cs="Arial"/>
          <w:sz w:val="20"/>
          <w:szCs w:val="20"/>
        </w:rPr>
      </w:pPr>
      <w:r w:rsidRPr="0059307F">
        <w:rPr>
          <w:rFonts w:ascii="Arial" w:hAnsi="Arial" w:cs="Arial"/>
          <w:sz w:val="20"/>
          <w:szCs w:val="20"/>
        </w:rPr>
        <w:t>Portfolio Risk Management is the process of measuring and assessing your portfolio's exposure to market risk. There can be three views on risks, allowing us to compare our portfolio to the market portfolio (S&amp;P 500) in terms of Risk-Adjusted Return, Value-at-Risk (</w:t>
      </w:r>
      <w:proofErr w:type="spellStart"/>
      <w:r w:rsidRPr="0059307F">
        <w:rPr>
          <w:rFonts w:ascii="Arial" w:hAnsi="Arial" w:cs="Arial"/>
          <w:sz w:val="20"/>
          <w:szCs w:val="20"/>
        </w:rPr>
        <w:t>VaR</w:t>
      </w:r>
      <w:proofErr w:type="spellEnd"/>
      <w:r w:rsidRPr="0059307F">
        <w:rPr>
          <w:rFonts w:ascii="Arial" w:hAnsi="Arial" w:cs="Arial"/>
          <w:sz w:val="20"/>
          <w:szCs w:val="20"/>
        </w:rPr>
        <w:t>), and Market Risk Exposure (Alpha, Beta and R-squared).</w:t>
      </w:r>
    </w:p>
    <w:p w:rsidR="00062341" w:rsidRPr="0059307F" w:rsidRDefault="00062341" w:rsidP="00D859EB">
      <w:pPr>
        <w:pStyle w:val="body"/>
        <w:spacing w:before="120" w:beforeAutospacing="0" w:after="120" w:afterAutospacing="0" w:line="240" w:lineRule="auto"/>
        <w:jc w:val="both"/>
        <w:rPr>
          <w:rFonts w:ascii="Arial" w:hAnsi="Arial" w:cs="Arial"/>
          <w:bCs/>
          <w:sz w:val="20"/>
          <w:szCs w:val="20"/>
        </w:rPr>
      </w:pPr>
      <w:r w:rsidRPr="0059307F">
        <w:rPr>
          <w:rFonts w:ascii="Arial" w:hAnsi="Arial" w:cs="Arial"/>
          <w:sz w:val="20"/>
          <w:szCs w:val="20"/>
        </w:rPr>
        <w:lastRenderedPageBreak/>
        <w:t xml:space="preserve">Portfolio Risk Analysis is important because it provides a powerful tool for assessing portfolio's risk, both relative to the market and to the risk level we desire to </w:t>
      </w:r>
      <w:r w:rsidR="00FC0435" w:rsidRPr="0059307F">
        <w:rPr>
          <w:rFonts w:ascii="Arial" w:hAnsi="Arial" w:cs="Arial"/>
          <w:sz w:val="20"/>
          <w:szCs w:val="20"/>
        </w:rPr>
        <w:fldChar w:fldCharType="begin"/>
      </w:r>
      <w:r w:rsidRPr="0059307F">
        <w:rPr>
          <w:rFonts w:ascii="Arial" w:hAnsi="Arial" w:cs="Arial"/>
          <w:sz w:val="20"/>
          <w:szCs w:val="20"/>
        </w:rPr>
        <w:instrText xml:space="preserve"> TOC \o "1-3" \h \z \u </w:instrText>
      </w:r>
      <w:r w:rsidR="00FC0435" w:rsidRPr="0059307F">
        <w:rPr>
          <w:rFonts w:ascii="Arial" w:hAnsi="Arial" w:cs="Arial"/>
          <w:sz w:val="20"/>
          <w:szCs w:val="20"/>
        </w:rPr>
        <w:fldChar w:fldCharType="end"/>
      </w:r>
      <w:r w:rsidRPr="0059307F">
        <w:rPr>
          <w:rFonts w:ascii="Arial" w:hAnsi="Arial" w:cs="Arial"/>
          <w:sz w:val="20"/>
          <w:szCs w:val="20"/>
        </w:rPr>
        <w:t>maintain.</w:t>
      </w:r>
    </w:p>
    <w:p w:rsidR="00062341" w:rsidRPr="00062341" w:rsidRDefault="00062341" w:rsidP="00062341">
      <w:pPr>
        <w:pStyle w:val="body"/>
        <w:spacing w:before="120" w:beforeAutospacing="0" w:after="120" w:afterAutospacing="0" w:line="240" w:lineRule="atLeast"/>
        <w:jc w:val="both"/>
        <w:rPr>
          <w:rFonts w:ascii="Arial" w:hAnsi="Arial" w:cs="Arial"/>
          <w:b/>
          <w:bCs/>
          <w:sz w:val="20"/>
          <w:szCs w:val="20"/>
        </w:rPr>
      </w:pPr>
    </w:p>
    <w:p w:rsidR="009A4FA9" w:rsidRPr="009A4FA9" w:rsidRDefault="00062341" w:rsidP="009A4FA9">
      <w:pPr>
        <w:pStyle w:val="Heading3"/>
        <w:widowControl w:val="0"/>
        <w:tabs>
          <w:tab w:val="left" w:pos="900"/>
          <w:tab w:val="num" w:pos="1800"/>
        </w:tabs>
        <w:spacing w:before="0" w:after="240" w:line="240" w:lineRule="atLeast"/>
        <w:ind w:left="1224" w:right="115" w:hanging="1224"/>
        <w:jc w:val="both"/>
      </w:pPr>
      <w:r w:rsidRPr="009A4FA9">
        <w:t>Value-at-risk</w:t>
      </w:r>
      <w:bookmarkEnd w:id="77"/>
    </w:p>
    <w:p w:rsidR="00062341" w:rsidRPr="00062341" w:rsidRDefault="00062341" w:rsidP="00D859EB">
      <w:pPr>
        <w:pStyle w:val="body"/>
        <w:spacing w:before="120" w:beforeAutospacing="0" w:after="120" w:afterAutospacing="0" w:line="240" w:lineRule="auto"/>
        <w:jc w:val="both"/>
        <w:rPr>
          <w:rFonts w:ascii="Arial" w:hAnsi="Arial" w:cs="Arial"/>
          <w:color w:val="auto"/>
          <w:sz w:val="20"/>
          <w:szCs w:val="20"/>
        </w:rPr>
      </w:pPr>
      <w:proofErr w:type="spellStart"/>
      <w:r w:rsidRPr="00062341">
        <w:rPr>
          <w:rFonts w:ascii="Arial" w:hAnsi="Arial" w:cs="Arial"/>
          <w:color w:val="auto"/>
          <w:sz w:val="20"/>
          <w:szCs w:val="20"/>
        </w:rPr>
        <w:t>VaR</w:t>
      </w:r>
      <w:proofErr w:type="spellEnd"/>
      <w:r w:rsidRPr="00062341">
        <w:rPr>
          <w:rFonts w:ascii="Arial" w:hAnsi="Arial" w:cs="Arial"/>
          <w:color w:val="auto"/>
          <w:sz w:val="20"/>
          <w:szCs w:val="20"/>
        </w:rPr>
        <w:t xml:space="preserve"> is a category of </w:t>
      </w:r>
      <w:hyperlink r:id="rId64" w:history="1">
        <w:r w:rsidRPr="00062341">
          <w:rPr>
            <w:rStyle w:val="Hyperlink"/>
            <w:rFonts w:ascii="Arial" w:hAnsi="Arial" w:cs="Arial"/>
            <w:color w:val="auto"/>
            <w:sz w:val="20"/>
            <w:szCs w:val="20"/>
            <w:u w:val="none"/>
          </w:rPr>
          <w:t>risk metrics</w:t>
        </w:r>
      </w:hyperlink>
      <w:r w:rsidRPr="00062341">
        <w:rPr>
          <w:rFonts w:ascii="Arial" w:hAnsi="Arial" w:cs="Arial"/>
          <w:color w:val="auto"/>
          <w:sz w:val="20"/>
          <w:szCs w:val="20"/>
        </w:rPr>
        <w:t xml:space="preserve"> that describe probabilistically the </w:t>
      </w:r>
      <w:hyperlink r:id="rId65" w:history="1">
        <w:r w:rsidRPr="00062341">
          <w:rPr>
            <w:rStyle w:val="Hyperlink"/>
            <w:rFonts w:ascii="Arial" w:hAnsi="Arial" w:cs="Arial"/>
            <w:color w:val="auto"/>
            <w:sz w:val="20"/>
            <w:szCs w:val="20"/>
            <w:u w:val="none"/>
          </w:rPr>
          <w:t>market risk</w:t>
        </w:r>
      </w:hyperlink>
      <w:r w:rsidRPr="00062341">
        <w:rPr>
          <w:rFonts w:ascii="Arial" w:hAnsi="Arial" w:cs="Arial"/>
          <w:color w:val="auto"/>
          <w:sz w:val="20"/>
          <w:szCs w:val="20"/>
        </w:rPr>
        <w:t xml:space="preserve"> of a trading portfolio. </w:t>
      </w:r>
      <w:r w:rsidR="00E4616D">
        <w:rPr>
          <w:rFonts w:ascii="Arial" w:hAnsi="Arial" w:cs="Arial"/>
          <w:color w:val="auto"/>
          <w:sz w:val="20"/>
          <w:szCs w:val="20"/>
        </w:rPr>
        <w:t>F</w:t>
      </w:r>
      <w:r w:rsidRPr="00062341">
        <w:rPr>
          <w:rFonts w:ascii="Arial" w:hAnsi="Arial" w:cs="Arial"/>
          <w:color w:val="auto"/>
          <w:sz w:val="20"/>
          <w:szCs w:val="20"/>
        </w:rPr>
        <w:t xml:space="preserve">irms could track their portfolios' market risk by using </w:t>
      </w:r>
      <w:hyperlink r:id="rId66" w:history="1">
        <w:r w:rsidRPr="00062341">
          <w:rPr>
            <w:rStyle w:val="Hyperlink"/>
            <w:rFonts w:ascii="Arial" w:hAnsi="Arial" w:cs="Arial"/>
            <w:color w:val="auto"/>
            <w:sz w:val="20"/>
            <w:szCs w:val="20"/>
            <w:u w:val="none"/>
          </w:rPr>
          <w:t>historical volatility</w:t>
        </w:r>
      </w:hyperlink>
      <w:r w:rsidRPr="00062341">
        <w:rPr>
          <w:rFonts w:ascii="Arial" w:hAnsi="Arial" w:cs="Arial"/>
          <w:color w:val="auto"/>
          <w:sz w:val="20"/>
          <w:szCs w:val="20"/>
        </w:rPr>
        <w:t xml:space="preserve"> as a </w:t>
      </w:r>
      <w:hyperlink r:id="rId67" w:history="1">
        <w:r w:rsidRPr="00062341">
          <w:rPr>
            <w:rStyle w:val="Hyperlink"/>
            <w:rFonts w:ascii="Arial" w:hAnsi="Arial" w:cs="Arial"/>
            <w:color w:val="auto"/>
            <w:sz w:val="20"/>
            <w:szCs w:val="20"/>
            <w:u w:val="none"/>
          </w:rPr>
          <w:t>risk metric</w:t>
        </w:r>
      </w:hyperlink>
      <w:r w:rsidRPr="00062341">
        <w:rPr>
          <w:rFonts w:ascii="Arial" w:hAnsi="Arial" w:cs="Arial"/>
          <w:color w:val="auto"/>
          <w:sz w:val="20"/>
          <w:szCs w:val="20"/>
        </w:rPr>
        <w:t xml:space="preserve">. They might do so by calculating the historical volatility of their portfolio's </w:t>
      </w:r>
      <w:hyperlink r:id="rId68" w:history="1">
        <w:r w:rsidRPr="00062341">
          <w:rPr>
            <w:rStyle w:val="Hyperlink"/>
            <w:rFonts w:ascii="Arial" w:hAnsi="Arial" w:cs="Arial"/>
            <w:color w:val="auto"/>
            <w:sz w:val="20"/>
            <w:szCs w:val="20"/>
            <w:u w:val="none"/>
          </w:rPr>
          <w:t>market value</w:t>
        </w:r>
      </w:hyperlink>
      <w:r w:rsidRPr="00062341">
        <w:rPr>
          <w:rFonts w:ascii="Arial" w:hAnsi="Arial" w:cs="Arial"/>
          <w:color w:val="auto"/>
          <w:sz w:val="20"/>
          <w:szCs w:val="20"/>
        </w:rPr>
        <w:t xml:space="preserve"> over a rolling 100 trading days. The problem with doing this is that it would provide a retrospective indication of </w:t>
      </w:r>
      <w:hyperlink r:id="rId69" w:history="1">
        <w:r w:rsidRPr="00062341">
          <w:rPr>
            <w:rStyle w:val="Hyperlink"/>
            <w:rFonts w:ascii="Arial" w:hAnsi="Arial" w:cs="Arial"/>
            <w:color w:val="auto"/>
            <w:sz w:val="20"/>
            <w:szCs w:val="20"/>
            <w:u w:val="none"/>
          </w:rPr>
          <w:t>risk</w:t>
        </w:r>
      </w:hyperlink>
      <w:r w:rsidRPr="00062341">
        <w:rPr>
          <w:rFonts w:ascii="Arial" w:hAnsi="Arial" w:cs="Arial"/>
          <w:color w:val="auto"/>
          <w:sz w:val="20"/>
          <w:szCs w:val="20"/>
        </w:rPr>
        <w:t xml:space="preserve">. The historical volatility would illustrate how risky the portfolio had been over the previous 100 days. It would say nothing about how much market risk the portfolio was taking today. </w:t>
      </w:r>
    </w:p>
    <w:p w:rsidR="00062341" w:rsidRPr="00062341" w:rsidRDefault="00062341" w:rsidP="00D859EB">
      <w:pPr>
        <w:pStyle w:val="body"/>
        <w:spacing w:before="120" w:beforeAutospacing="0" w:after="120" w:afterAutospacing="0" w:line="240" w:lineRule="auto"/>
        <w:jc w:val="both"/>
        <w:rPr>
          <w:rFonts w:ascii="Arial" w:hAnsi="Arial" w:cs="Arial"/>
          <w:color w:val="auto"/>
          <w:sz w:val="20"/>
          <w:szCs w:val="20"/>
        </w:rPr>
      </w:pPr>
      <w:r w:rsidRPr="00062341">
        <w:rPr>
          <w:rFonts w:ascii="Arial" w:hAnsi="Arial" w:cs="Arial"/>
          <w:color w:val="auto"/>
          <w:sz w:val="20"/>
          <w:szCs w:val="20"/>
        </w:rPr>
        <w:t xml:space="preserve">For institutions to manage risk, they must know about risks while they are being taken. If a trader </w:t>
      </w:r>
      <w:proofErr w:type="spellStart"/>
      <w:r w:rsidRPr="00062341">
        <w:rPr>
          <w:rFonts w:ascii="Arial" w:hAnsi="Arial" w:cs="Arial"/>
          <w:color w:val="auto"/>
          <w:sz w:val="20"/>
          <w:szCs w:val="20"/>
        </w:rPr>
        <w:t>mis</w:t>
      </w:r>
      <w:proofErr w:type="spellEnd"/>
      <w:r w:rsidRPr="00062341">
        <w:rPr>
          <w:rFonts w:ascii="Arial" w:hAnsi="Arial" w:cs="Arial"/>
          <w:color w:val="auto"/>
          <w:sz w:val="20"/>
          <w:szCs w:val="20"/>
        </w:rPr>
        <w:t>-hedges a portfolio, his employer needs to find out before a loss is incurred. Value-at-risk gives institutions the ability to do so. Unlike retrospective risk metrics, such as historical volatility, value-at-risk is prospective. It quantifies market risk while it is being taken.</w:t>
      </w:r>
    </w:p>
    <w:p w:rsidR="009F1B0F" w:rsidRDefault="009F1B0F" w:rsidP="00D859EB">
      <w:pPr>
        <w:pStyle w:val="body"/>
        <w:spacing w:before="120" w:beforeAutospacing="0" w:after="120" w:afterAutospacing="0" w:line="240" w:lineRule="auto"/>
        <w:jc w:val="both"/>
        <w:rPr>
          <w:rFonts w:ascii="Arial" w:hAnsi="Arial" w:cs="Arial"/>
          <w:color w:val="auto"/>
          <w:sz w:val="20"/>
          <w:szCs w:val="20"/>
        </w:rPr>
      </w:pPr>
      <w:r>
        <w:rPr>
          <w:rFonts w:ascii="Arial" w:hAnsi="Arial" w:cs="Arial"/>
          <w:color w:val="auto"/>
          <w:sz w:val="20"/>
          <w:szCs w:val="20"/>
        </w:rPr>
        <w:t>Consider the following Example:</w:t>
      </w:r>
    </w:p>
    <w:p w:rsidR="00062341" w:rsidRPr="00062341" w:rsidRDefault="00062341" w:rsidP="00D859EB">
      <w:pPr>
        <w:pStyle w:val="body"/>
        <w:spacing w:before="120" w:beforeAutospacing="0" w:after="120" w:afterAutospacing="0" w:line="240" w:lineRule="auto"/>
        <w:jc w:val="both"/>
        <w:rPr>
          <w:rFonts w:ascii="Arial" w:hAnsi="Arial" w:cs="Arial"/>
          <w:color w:val="auto"/>
          <w:sz w:val="20"/>
          <w:szCs w:val="20"/>
        </w:rPr>
      </w:pPr>
      <w:r w:rsidRPr="00062341">
        <w:rPr>
          <w:rFonts w:ascii="Arial" w:hAnsi="Arial" w:cs="Arial"/>
          <w:color w:val="auto"/>
          <w:sz w:val="20"/>
          <w:szCs w:val="20"/>
        </w:rPr>
        <w:t xml:space="preserve">Let 0 be the current time. </w:t>
      </w:r>
      <w:r w:rsidR="009F1B0F">
        <w:rPr>
          <w:rFonts w:ascii="Arial" w:hAnsi="Arial" w:cs="Arial"/>
          <w:color w:val="auto"/>
          <w:sz w:val="20"/>
          <w:szCs w:val="20"/>
        </w:rPr>
        <w:t>(Time is m</w:t>
      </w:r>
      <w:r w:rsidR="009F1B0F" w:rsidRPr="00062341">
        <w:rPr>
          <w:rFonts w:ascii="Arial" w:hAnsi="Arial" w:cs="Arial"/>
          <w:color w:val="auto"/>
          <w:sz w:val="20"/>
          <w:szCs w:val="20"/>
        </w:rPr>
        <w:t>easure</w:t>
      </w:r>
      <w:r w:rsidR="009F1B0F">
        <w:rPr>
          <w:rFonts w:ascii="Arial" w:hAnsi="Arial" w:cs="Arial"/>
          <w:color w:val="auto"/>
          <w:sz w:val="20"/>
          <w:szCs w:val="20"/>
        </w:rPr>
        <w:t>d</w:t>
      </w:r>
      <w:r w:rsidR="009F1B0F" w:rsidRPr="00062341">
        <w:rPr>
          <w:rFonts w:ascii="Arial" w:hAnsi="Arial" w:cs="Arial"/>
          <w:color w:val="auto"/>
          <w:sz w:val="20"/>
          <w:szCs w:val="20"/>
        </w:rPr>
        <w:t xml:space="preserve"> in trading days</w:t>
      </w:r>
      <w:r w:rsidR="009F1B0F">
        <w:rPr>
          <w:rFonts w:ascii="Arial" w:hAnsi="Arial" w:cs="Arial"/>
          <w:color w:val="auto"/>
          <w:sz w:val="20"/>
          <w:szCs w:val="20"/>
        </w:rPr>
        <w:t xml:space="preserve">).  </w:t>
      </w:r>
      <w:r w:rsidRPr="00062341">
        <w:rPr>
          <w:rFonts w:ascii="Arial" w:hAnsi="Arial" w:cs="Arial"/>
          <w:color w:val="auto"/>
          <w:sz w:val="20"/>
          <w:szCs w:val="20"/>
        </w:rPr>
        <w:t xml:space="preserve">We know a portfolio's current market </w:t>
      </w:r>
      <w:r w:rsidR="00122E07" w:rsidRPr="00062341">
        <w:rPr>
          <w:rFonts w:ascii="Arial" w:hAnsi="Arial" w:cs="Arial"/>
          <w:color w:val="auto"/>
          <w:sz w:val="20"/>
          <w:szCs w:val="20"/>
        </w:rPr>
        <w:t>value</w:t>
      </w:r>
      <w:r w:rsidR="00C164AF">
        <w:rPr>
          <w:rFonts w:ascii="Arial" w:hAnsi="Arial" w:cs="Arial"/>
          <w:noProof/>
          <w:color w:val="auto"/>
          <w:sz w:val="20"/>
          <w:szCs w:val="20"/>
        </w:rPr>
        <w:drawing>
          <wp:inline distT="0" distB="0" distL="0" distR="0">
            <wp:extent cx="133350" cy="171450"/>
            <wp:effectExtent l="19050" t="0" r="0" b="0"/>
            <wp:docPr id="5" name="Picture 5" descr="0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_p"/>
                    <pic:cNvPicPr>
                      <a:picLocks noChangeAspect="1" noChangeArrowheads="1"/>
                    </pic:cNvPicPr>
                  </pic:nvPicPr>
                  <pic:blipFill>
                    <a:blip r:embed="rId70" cstate="print"/>
                    <a:srcRect/>
                    <a:stretch>
                      <a:fillRect/>
                    </a:stretch>
                  </pic:blipFill>
                  <pic:spPr bwMode="auto">
                    <a:xfrm>
                      <a:off x="0" y="0"/>
                      <a:ext cx="133350" cy="171450"/>
                    </a:xfrm>
                    <a:prstGeom prst="rect">
                      <a:avLst/>
                    </a:prstGeom>
                    <a:noFill/>
                    <a:ln w="9525">
                      <a:noFill/>
                      <a:miter lim="800000"/>
                      <a:headEnd/>
                      <a:tailEnd/>
                    </a:ln>
                  </pic:spPr>
                </pic:pic>
              </a:graphicData>
            </a:graphic>
          </wp:inline>
        </w:drawing>
      </w:r>
      <w:r w:rsidRPr="00062341">
        <w:rPr>
          <w:rFonts w:ascii="Arial" w:hAnsi="Arial" w:cs="Arial"/>
          <w:color w:val="auto"/>
          <w:sz w:val="20"/>
          <w:szCs w:val="20"/>
        </w:rPr>
        <w:t xml:space="preserve">. Its market value </w:t>
      </w:r>
      <w:r w:rsidR="00C164AF">
        <w:rPr>
          <w:rFonts w:ascii="Arial" w:hAnsi="Arial" w:cs="Arial"/>
          <w:noProof/>
          <w:color w:val="auto"/>
          <w:sz w:val="20"/>
          <w:szCs w:val="20"/>
        </w:rPr>
        <w:drawing>
          <wp:inline distT="0" distB="0" distL="0" distR="0">
            <wp:extent cx="123825" cy="171450"/>
            <wp:effectExtent l="19050" t="0" r="9525" b="0"/>
            <wp:docPr id="6" name="Picture 6" descr="1_p_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_p_cap"/>
                    <pic:cNvPicPr>
                      <a:picLocks noChangeAspect="1" noChangeArrowheads="1"/>
                    </pic:cNvPicPr>
                  </pic:nvPicPr>
                  <pic:blipFill>
                    <a:blip r:embed="rId71" cstate="print"/>
                    <a:srcRect/>
                    <a:stretch>
                      <a:fillRect/>
                    </a:stretch>
                  </pic:blipFill>
                  <pic:spPr bwMode="auto">
                    <a:xfrm>
                      <a:off x="0" y="0"/>
                      <a:ext cx="123825" cy="171450"/>
                    </a:xfrm>
                    <a:prstGeom prst="rect">
                      <a:avLst/>
                    </a:prstGeom>
                    <a:noFill/>
                    <a:ln w="9525">
                      <a:noFill/>
                      <a:miter lim="800000"/>
                      <a:headEnd/>
                      <a:tailEnd/>
                    </a:ln>
                  </pic:spPr>
                </pic:pic>
              </a:graphicData>
            </a:graphic>
          </wp:inline>
        </w:drawing>
      </w:r>
      <w:r w:rsidRPr="00062341">
        <w:rPr>
          <w:rFonts w:ascii="Arial" w:hAnsi="Arial" w:cs="Arial"/>
          <w:color w:val="auto"/>
          <w:sz w:val="20"/>
          <w:szCs w:val="20"/>
        </w:rPr>
        <w:t xml:space="preserve">in one trading day is unknown. It is a random variable. We may ascribe it a probability distribution. With value-at-risk, we summarize a portfolio's market risk by reporting some parameter of this distribution. For </w:t>
      </w:r>
      <w:bookmarkStart w:id="78" w:name="example"/>
      <w:r w:rsidRPr="00062341">
        <w:rPr>
          <w:rFonts w:ascii="Arial" w:hAnsi="Arial" w:cs="Arial"/>
          <w:color w:val="auto"/>
          <w:sz w:val="20"/>
          <w:szCs w:val="20"/>
        </w:rPr>
        <w:t>example</w:t>
      </w:r>
      <w:bookmarkEnd w:id="78"/>
      <w:r w:rsidRPr="00062341">
        <w:rPr>
          <w:rFonts w:ascii="Arial" w:hAnsi="Arial" w:cs="Arial"/>
          <w:color w:val="auto"/>
          <w:sz w:val="20"/>
          <w:szCs w:val="20"/>
        </w:rPr>
        <w:t>, we might report the 90%-</w:t>
      </w:r>
      <w:proofErr w:type="spellStart"/>
      <w:r w:rsidR="00FC0435">
        <w:fldChar w:fldCharType="begin"/>
      </w:r>
      <w:r w:rsidR="00FC0435">
        <w:instrText>HYPERLINK "http://www.riskglossary.com/articles/quantile.htm"</w:instrText>
      </w:r>
      <w:r w:rsidR="00FC0435">
        <w:fldChar w:fldCharType="separate"/>
      </w:r>
      <w:r w:rsidRPr="00062341">
        <w:rPr>
          <w:rStyle w:val="Hyperlink"/>
          <w:rFonts w:ascii="Arial" w:hAnsi="Arial" w:cs="Arial"/>
          <w:color w:val="auto"/>
          <w:sz w:val="20"/>
          <w:szCs w:val="20"/>
          <w:u w:val="none"/>
        </w:rPr>
        <w:t>quantile</w:t>
      </w:r>
      <w:proofErr w:type="spellEnd"/>
      <w:r w:rsidR="00FC0435">
        <w:fldChar w:fldCharType="end"/>
      </w:r>
      <w:r w:rsidRPr="00062341">
        <w:rPr>
          <w:rFonts w:ascii="Arial" w:hAnsi="Arial" w:cs="Arial"/>
          <w:color w:val="auto"/>
          <w:sz w:val="20"/>
          <w:szCs w:val="20"/>
        </w:rPr>
        <w:t xml:space="preserve"> of the portfolio's single-period </w:t>
      </w:r>
      <w:hyperlink r:id="rId72" w:history="1">
        <w:r w:rsidRPr="00062341">
          <w:rPr>
            <w:rStyle w:val="Hyperlink"/>
            <w:rFonts w:ascii="Arial" w:hAnsi="Arial" w:cs="Arial"/>
            <w:color w:val="auto"/>
            <w:sz w:val="20"/>
            <w:szCs w:val="20"/>
            <w:u w:val="none"/>
          </w:rPr>
          <w:t>USD</w:t>
        </w:r>
      </w:hyperlink>
      <w:r w:rsidRPr="00062341">
        <w:rPr>
          <w:rFonts w:ascii="Arial" w:hAnsi="Arial" w:cs="Arial"/>
          <w:color w:val="auto"/>
          <w:sz w:val="20"/>
          <w:szCs w:val="20"/>
        </w:rPr>
        <w:t xml:space="preserve"> loss. This is called one-day 90% USD </w:t>
      </w:r>
      <w:proofErr w:type="spellStart"/>
      <w:r w:rsidRPr="00062341">
        <w:rPr>
          <w:rFonts w:ascii="Arial" w:hAnsi="Arial" w:cs="Arial"/>
          <w:color w:val="auto"/>
          <w:sz w:val="20"/>
          <w:szCs w:val="20"/>
        </w:rPr>
        <w:t>VaR.</w:t>
      </w:r>
      <w:proofErr w:type="spellEnd"/>
      <w:r w:rsidRPr="00062341">
        <w:rPr>
          <w:rFonts w:ascii="Arial" w:hAnsi="Arial" w:cs="Arial"/>
          <w:color w:val="auto"/>
          <w:sz w:val="20"/>
          <w:szCs w:val="20"/>
        </w:rPr>
        <w:t xml:space="preserve"> If a portfolio has a one-day 90% USD </w:t>
      </w:r>
      <w:proofErr w:type="spellStart"/>
      <w:r w:rsidRPr="00062341">
        <w:rPr>
          <w:rFonts w:ascii="Arial" w:hAnsi="Arial" w:cs="Arial"/>
          <w:color w:val="auto"/>
          <w:sz w:val="20"/>
          <w:szCs w:val="20"/>
        </w:rPr>
        <w:t>VaR</w:t>
      </w:r>
      <w:proofErr w:type="spellEnd"/>
      <w:r w:rsidRPr="00062341">
        <w:rPr>
          <w:rFonts w:ascii="Arial" w:hAnsi="Arial" w:cs="Arial"/>
          <w:color w:val="auto"/>
          <w:sz w:val="20"/>
          <w:szCs w:val="20"/>
        </w:rPr>
        <w:t xml:space="preserve"> of, say, USD 5</w:t>
      </w:r>
      <w:hyperlink r:id="rId73" w:history="1">
        <w:r w:rsidRPr="00062341">
          <w:rPr>
            <w:rStyle w:val="Hyperlink"/>
            <w:rFonts w:ascii="Arial" w:hAnsi="Arial" w:cs="Arial"/>
            <w:color w:val="auto"/>
            <w:sz w:val="20"/>
            <w:szCs w:val="20"/>
            <w:u w:val="none"/>
          </w:rPr>
          <w:t>MM</w:t>
        </w:r>
      </w:hyperlink>
      <w:r w:rsidRPr="00062341">
        <w:rPr>
          <w:rFonts w:ascii="Arial" w:hAnsi="Arial" w:cs="Arial"/>
          <w:color w:val="auto"/>
          <w:sz w:val="20"/>
          <w:szCs w:val="20"/>
        </w:rPr>
        <w:t xml:space="preserve">, it can be expected to lose more than USD 5MM on one trading day </w:t>
      </w:r>
      <w:proofErr w:type="spellStart"/>
      <w:r w:rsidRPr="00062341">
        <w:rPr>
          <w:rFonts w:ascii="Arial" w:hAnsi="Arial" w:cs="Arial"/>
          <w:color w:val="auto"/>
          <w:sz w:val="20"/>
          <w:szCs w:val="20"/>
        </w:rPr>
        <w:t>our</w:t>
      </w:r>
      <w:proofErr w:type="spellEnd"/>
      <w:r w:rsidRPr="00062341">
        <w:rPr>
          <w:rFonts w:ascii="Arial" w:hAnsi="Arial" w:cs="Arial"/>
          <w:color w:val="auto"/>
          <w:sz w:val="20"/>
          <w:szCs w:val="20"/>
        </w:rPr>
        <w:t xml:space="preserve"> </w:t>
      </w:r>
      <w:proofErr w:type="spellStart"/>
      <w:r w:rsidRPr="00062341">
        <w:rPr>
          <w:rFonts w:ascii="Arial" w:hAnsi="Arial" w:cs="Arial"/>
          <w:color w:val="auto"/>
          <w:sz w:val="20"/>
          <w:szCs w:val="20"/>
        </w:rPr>
        <w:t>of ten</w:t>
      </w:r>
      <w:proofErr w:type="spellEnd"/>
      <w:r w:rsidRPr="00062341">
        <w:rPr>
          <w:rFonts w:ascii="Arial" w:hAnsi="Arial" w:cs="Arial"/>
          <w:color w:val="auto"/>
          <w:sz w:val="20"/>
          <w:szCs w:val="20"/>
        </w:rPr>
        <w:t xml:space="preserve">. </w:t>
      </w:r>
    </w:p>
    <w:p w:rsidR="009F1B0F" w:rsidRPr="00062341" w:rsidRDefault="00C164AF" w:rsidP="00062341">
      <w:pPr>
        <w:spacing w:before="120" w:after="120" w:line="240" w:lineRule="atLeast"/>
        <w:jc w:val="both"/>
        <w:rPr>
          <w:rFonts w:ascii="Arial" w:hAnsi="Arial" w:cs="Arial"/>
          <w:sz w:val="20"/>
          <w:szCs w:val="20"/>
        </w:rPr>
      </w:pPr>
      <w:r>
        <w:rPr>
          <w:rFonts w:ascii="Arial" w:hAnsi="Arial" w:cs="Arial"/>
          <w:noProof/>
          <w:sz w:val="20"/>
          <w:szCs w:val="20"/>
        </w:rPr>
        <w:drawing>
          <wp:inline distT="0" distB="0" distL="0" distR="0">
            <wp:extent cx="19050" cy="19050"/>
            <wp:effectExtent l="0" t="0" r="0" b="0"/>
            <wp:docPr id="7" name="Picture 7" descr="blank_2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ank_2x2"/>
                    <pic:cNvPicPr>
                      <a:picLocks noChangeAspect="1" noChangeArrowheads="1"/>
                    </pic:cNvPicPr>
                  </pic:nvPicPr>
                  <pic:blipFill>
                    <a:blip r:embed="rId74" cstate="print"/>
                    <a:srcRect/>
                    <a:stretch>
                      <a:fillRect/>
                    </a:stretch>
                  </pic:blipFill>
                  <pic:spPr bwMode="auto">
                    <a:xfrm>
                      <a:off x="0" y="0"/>
                      <a:ext cx="19050" cy="19050"/>
                    </a:xfrm>
                    <a:prstGeom prst="rect">
                      <a:avLst/>
                    </a:prstGeom>
                    <a:noFill/>
                    <a:ln w="9525">
                      <a:noFill/>
                      <a:miter lim="800000"/>
                      <a:headEnd/>
                      <a:tailEnd/>
                    </a:ln>
                  </pic:spPr>
                </pic:pic>
              </a:graphicData>
            </a:graphic>
          </wp:inline>
        </w:drawing>
      </w:r>
    </w:p>
    <w:p w:rsidR="009F1B0F" w:rsidRPr="00062341" w:rsidRDefault="00C164AF" w:rsidP="009F1B0F">
      <w:pPr>
        <w:spacing w:before="120" w:after="120" w:line="240" w:lineRule="atLeast"/>
        <w:jc w:val="center"/>
        <w:rPr>
          <w:rFonts w:ascii="Arial" w:hAnsi="Arial" w:cs="Arial"/>
          <w:sz w:val="20"/>
          <w:szCs w:val="20"/>
        </w:rPr>
      </w:pPr>
      <w:r>
        <w:rPr>
          <w:rFonts w:ascii="Arial" w:hAnsi="Arial" w:cs="Arial"/>
          <w:noProof/>
          <w:sz w:val="20"/>
          <w:szCs w:val="20"/>
        </w:rPr>
        <w:drawing>
          <wp:inline distT="0" distB="0" distL="0" distR="0">
            <wp:extent cx="2857500" cy="1419225"/>
            <wp:effectExtent l="19050" t="0" r="0" b="0"/>
            <wp:docPr id="8" name="Picture 8" descr="ex1_value-at-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1_value-at-risk"/>
                    <pic:cNvPicPr>
                      <a:picLocks noChangeAspect="1" noChangeArrowheads="1"/>
                    </pic:cNvPicPr>
                  </pic:nvPicPr>
                  <pic:blipFill>
                    <a:blip r:embed="rId75" cstate="print"/>
                    <a:srcRect/>
                    <a:stretch>
                      <a:fillRect/>
                    </a:stretch>
                  </pic:blipFill>
                  <pic:spPr bwMode="auto">
                    <a:xfrm>
                      <a:off x="0" y="0"/>
                      <a:ext cx="2857500" cy="1419225"/>
                    </a:xfrm>
                    <a:prstGeom prst="rect">
                      <a:avLst/>
                    </a:prstGeom>
                    <a:noFill/>
                    <a:ln w="9525">
                      <a:noFill/>
                      <a:miter lim="800000"/>
                      <a:headEnd/>
                      <a:tailEnd/>
                    </a:ln>
                  </pic:spPr>
                </pic:pic>
              </a:graphicData>
            </a:graphic>
          </wp:inline>
        </w:drawing>
      </w:r>
    </w:p>
    <w:p w:rsidR="009F1B0F" w:rsidRPr="0062725D" w:rsidRDefault="009F1B0F" w:rsidP="002723CA">
      <w:pPr>
        <w:pStyle w:val="Caption"/>
        <w:jc w:val="center"/>
      </w:pPr>
      <w:bookmarkStart w:id="79" w:name="_Toc207007213"/>
      <w:r w:rsidRPr="0062725D">
        <w:t xml:space="preserve">Figure </w:t>
      </w:r>
      <w:r w:rsidR="00FC0435">
        <w:fldChar w:fldCharType="begin"/>
      </w:r>
      <w:r w:rsidR="00E732DA">
        <w:instrText xml:space="preserve"> STYLEREF 1 \s </w:instrText>
      </w:r>
      <w:r w:rsidR="00FC0435">
        <w:fldChar w:fldCharType="separate"/>
      </w:r>
      <w:r w:rsidR="0060131C">
        <w:rPr>
          <w:noProof/>
        </w:rPr>
        <w:t>5</w:t>
      </w:r>
      <w:r w:rsidR="00FC0435">
        <w:fldChar w:fldCharType="end"/>
      </w:r>
      <w:r w:rsidR="00E94D45">
        <w:noBreakHyphen/>
      </w:r>
      <w:r w:rsidR="00FC0435">
        <w:fldChar w:fldCharType="begin"/>
      </w:r>
      <w:r w:rsidR="00E732DA">
        <w:instrText xml:space="preserve"> SEQ Figure \* ARABIC \s 1 </w:instrText>
      </w:r>
      <w:r w:rsidR="00FC0435">
        <w:fldChar w:fldCharType="separate"/>
      </w:r>
      <w:r w:rsidR="0060131C">
        <w:rPr>
          <w:noProof/>
        </w:rPr>
        <w:t>2</w:t>
      </w:r>
      <w:r w:rsidR="00FC0435">
        <w:fldChar w:fldCharType="end"/>
      </w:r>
      <w:r w:rsidRPr="0062725D">
        <w:t>: V</w:t>
      </w:r>
      <w:r w:rsidRPr="002723CA">
        <w:t xml:space="preserve"> </w:t>
      </w:r>
      <w:r w:rsidRPr="009F1B0F">
        <w:t xml:space="preserve">One-Day 90% USD </w:t>
      </w:r>
      <w:proofErr w:type="spellStart"/>
      <w:r w:rsidRPr="009F1B0F">
        <w:t>VaR</w:t>
      </w:r>
      <w:bookmarkEnd w:id="79"/>
      <w:proofErr w:type="spellEnd"/>
      <w:r w:rsidRPr="009F1B0F">
        <w:t xml:space="preserve"> </w:t>
      </w:r>
    </w:p>
    <w:p w:rsidR="009F1B0F" w:rsidRPr="00062341" w:rsidRDefault="009F1B0F" w:rsidP="00872FB9">
      <w:pPr>
        <w:pStyle w:val="exhibitlegend"/>
        <w:spacing w:before="120" w:after="120" w:line="240" w:lineRule="auto"/>
        <w:jc w:val="both"/>
        <w:rPr>
          <w:color w:val="auto"/>
        </w:rPr>
      </w:pPr>
      <w:r w:rsidRPr="00062341">
        <w:rPr>
          <w:color w:val="auto"/>
        </w:rPr>
        <w:t xml:space="preserve">One-day 90% USD </w:t>
      </w:r>
      <w:proofErr w:type="spellStart"/>
      <w:r w:rsidRPr="00062341">
        <w:rPr>
          <w:color w:val="auto"/>
        </w:rPr>
        <w:t>VaR</w:t>
      </w:r>
      <w:proofErr w:type="spellEnd"/>
      <w:r w:rsidRPr="00062341">
        <w:rPr>
          <w:color w:val="auto"/>
        </w:rPr>
        <w:t xml:space="preserve"> is illustrated for a hypothetical portfolio. Shown is the probability density function for the portfolio's value </w:t>
      </w:r>
      <w:r w:rsidRPr="00062341">
        <w:rPr>
          <w:color w:val="auto"/>
          <w:vertAlign w:val="superscript"/>
        </w:rPr>
        <w:t>1</w:t>
      </w:r>
      <w:r w:rsidRPr="00062341">
        <w:rPr>
          <w:i/>
          <w:iCs/>
          <w:color w:val="auto"/>
        </w:rPr>
        <w:t>P</w:t>
      </w:r>
      <w:r w:rsidRPr="00062341">
        <w:rPr>
          <w:color w:val="auto"/>
        </w:rPr>
        <w:t xml:space="preserve"> one trading day from now. The</w:t>
      </w:r>
      <w:r w:rsidR="00122E07" w:rsidRPr="00062341">
        <w:rPr>
          <w:color w:val="auto"/>
        </w:rPr>
        <w:t> portfolio’s</w:t>
      </w:r>
      <w:r w:rsidRPr="00062341">
        <w:rPr>
          <w:color w:val="auto"/>
        </w:rPr>
        <w:t xml:space="preserve"> current value </w:t>
      </w:r>
      <w:r w:rsidRPr="00062341">
        <w:rPr>
          <w:color w:val="auto"/>
          <w:vertAlign w:val="superscript"/>
        </w:rPr>
        <w:t>0</w:t>
      </w:r>
      <w:r w:rsidRPr="00062341">
        <w:rPr>
          <w:i/>
          <w:iCs/>
          <w:color w:val="auto"/>
        </w:rPr>
        <w:t>p</w:t>
      </w:r>
      <w:r>
        <w:rPr>
          <w:color w:val="auto"/>
        </w:rPr>
        <w:t xml:space="preserve"> is known. V</w:t>
      </w:r>
      <w:r w:rsidRPr="00062341">
        <w:rPr>
          <w:color w:val="auto"/>
        </w:rPr>
        <w:t>alue-at-risk equals the amount of money such that there is a 90% probability of the portfolio losing less than that amount over the next trading day. This is indicated in the Exhibit.</w:t>
      </w:r>
    </w:p>
    <w:p w:rsidR="00062341" w:rsidRPr="00062341" w:rsidRDefault="00062341" w:rsidP="00872FB9">
      <w:pPr>
        <w:pStyle w:val="body"/>
        <w:spacing w:before="120" w:beforeAutospacing="0" w:after="120" w:afterAutospacing="0" w:line="240" w:lineRule="auto"/>
        <w:jc w:val="both"/>
        <w:rPr>
          <w:rFonts w:ascii="Arial" w:hAnsi="Arial" w:cs="Arial"/>
          <w:color w:val="auto"/>
          <w:sz w:val="20"/>
          <w:szCs w:val="20"/>
        </w:rPr>
      </w:pPr>
      <w:r w:rsidRPr="00062341">
        <w:rPr>
          <w:rFonts w:ascii="Arial" w:hAnsi="Arial" w:cs="Arial"/>
          <w:color w:val="auto"/>
          <w:sz w:val="20"/>
          <w:szCs w:val="20"/>
        </w:rPr>
        <w:t>Value-at-risk can be measured in other ways. For example, bank regulations require that value-at-risk be calculated as a 99%-</w:t>
      </w:r>
      <w:proofErr w:type="spellStart"/>
      <w:r w:rsidRPr="00062341">
        <w:rPr>
          <w:rFonts w:ascii="Arial" w:hAnsi="Arial" w:cs="Arial"/>
          <w:color w:val="auto"/>
          <w:sz w:val="20"/>
          <w:szCs w:val="20"/>
        </w:rPr>
        <w:t>quantile</w:t>
      </w:r>
      <w:proofErr w:type="spellEnd"/>
      <w:r w:rsidRPr="00062341">
        <w:rPr>
          <w:rFonts w:ascii="Arial" w:hAnsi="Arial" w:cs="Arial"/>
          <w:color w:val="auto"/>
          <w:sz w:val="20"/>
          <w:szCs w:val="20"/>
        </w:rPr>
        <w:t xml:space="preserve"> of loss over a two-week horizon. Still other metrics are possible. We could measure value-at-risk as the </w:t>
      </w:r>
      <w:hyperlink r:id="rId76" w:history="1">
        <w:r w:rsidRPr="00062341">
          <w:rPr>
            <w:rStyle w:val="Hyperlink"/>
            <w:rFonts w:ascii="Arial" w:hAnsi="Arial" w:cs="Arial"/>
            <w:color w:val="auto"/>
            <w:sz w:val="20"/>
            <w:szCs w:val="20"/>
            <w:u w:val="none"/>
          </w:rPr>
          <w:t>standard deviation</w:t>
        </w:r>
      </w:hyperlink>
      <w:r w:rsidRPr="00062341">
        <w:rPr>
          <w:rFonts w:ascii="Arial" w:hAnsi="Arial" w:cs="Arial"/>
          <w:color w:val="auto"/>
          <w:sz w:val="20"/>
          <w:szCs w:val="20"/>
        </w:rPr>
        <w:t xml:space="preserve"> of portfolio value or the standard deviation of portfolio </w:t>
      </w:r>
      <w:hyperlink r:id="rId77" w:history="1">
        <w:r w:rsidRPr="00062341">
          <w:rPr>
            <w:rStyle w:val="Hyperlink"/>
            <w:rFonts w:ascii="Arial" w:hAnsi="Arial" w:cs="Arial"/>
            <w:color w:val="auto"/>
            <w:sz w:val="20"/>
            <w:szCs w:val="20"/>
            <w:u w:val="none"/>
          </w:rPr>
          <w:t>return</w:t>
        </w:r>
      </w:hyperlink>
      <w:r w:rsidRPr="00062341">
        <w:rPr>
          <w:rFonts w:ascii="Arial" w:hAnsi="Arial" w:cs="Arial"/>
          <w:color w:val="auto"/>
          <w:sz w:val="20"/>
          <w:szCs w:val="20"/>
        </w:rPr>
        <w:t>. Essentially, any parameter of the distribution of a portfolio's future value can be used to measure value-at-risk.</w:t>
      </w:r>
    </w:p>
    <w:p w:rsidR="00062341" w:rsidRPr="00872FB9" w:rsidRDefault="00062341" w:rsidP="00872FB9">
      <w:pPr>
        <w:pStyle w:val="body"/>
        <w:spacing w:before="120" w:beforeAutospacing="0" w:after="120" w:afterAutospacing="0" w:line="240" w:lineRule="auto"/>
        <w:jc w:val="both"/>
        <w:rPr>
          <w:rFonts w:ascii="Arial" w:hAnsi="Arial" w:cs="Arial"/>
          <w:color w:val="auto"/>
          <w:sz w:val="20"/>
          <w:szCs w:val="20"/>
        </w:rPr>
      </w:pPr>
      <w:r w:rsidRPr="00062341">
        <w:rPr>
          <w:rFonts w:ascii="Arial" w:hAnsi="Arial" w:cs="Arial"/>
          <w:color w:val="auto"/>
          <w:sz w:val="20"/>
          <w:szCs w:val="20"/>
        </w:rPr>
        <w:t xml:space="preserve">Let's formalize this. </w:t>
      </w:r>
      <w:r w:rsidR="00E4616D" w:rsidRPr="00062341">
        <w:rPr>
          <w:rFonts w:ascii="Arial" w:hAnsi="Arial" w:cs="Arial"/>
          <w:color w:val="auto"/>
          <w:sz w:val="20"/>
          <w:szCs w:val="20"/>
        </w:rPr>
        <w:t>Value-at-risk</w:t>
      </w:r>
      <w:r w:rsidRPr="00062341">
        <w:rPr>
          <w:rFonts w:ascii="Arial" w:hAnsi="Arial" w:cs="Arial"/>
          <w:color w:val="auto"/>
          <w:sz w:val="20"/>
          <w:szCs w:val="20"/>
        </w:rPr>
        <w:t xml:space="preserve"> is applicable to any </w:t>
      </w:r>
      <w:hyperlink r:id="rId78" w:history="1">
        <w:r w:rsidRPr="00062341">
          <w:rPr>
            <w:rStyle w:val="Hyperlink"/>
            <w:rFonts w:ascii="Arial" w:hAnsi="Arial" w:cs="Arial"/>
            <w:color w:val="auto"/>
            <w:sz w:val="20"/>
            <w:szCs w:val="20"/>
            <w:u w:val="none"/>
          </w:rPr>
          <w:t>liquid</w:t>
        </w:r>
      </w:hyperlink>
      <w:r w:rsidRPr="00062341">
        <w:rPr>
          <w:rFonts w:ascii="Arial" w:hAnsi="Arial" w:cs="Arial"/>
          <w:color w:val="auto"/>
          <w:sz w:val="20"/>
          <w:szCs w:val="20"/>
        </w:rPr>
        <w:t xml:space="preserve"> portfolio—that is, any portfolio that can reasonably be marked to market on a regular basis. Value-at-risk is not applicable to illiquid assets, such as real estate or fine art. Value-at-risk considers a portfolio's performance over a </w:t>
      </w:r>
      <w:r w:rsidRPr="00872FB9">
        <w:rPr>
          <w:rFonts w:ascii="Arial" w:hAnsi="Arial" w:cs="Arial"/>
          <w:color w:val="auto"/>
          <w:sz w:val="20"/>
          <w:szCs w:val="20"/>
        </w:rPr>
        <w:lastRenderedPageBreak/>
        <w:t>specific horizon—a trading day, two weeks, a month, etc</w:t>
      </w:r>
      <w:r w:rsidR="00E4616D" w:rsidRPr="00872FB9">
        <w:rPr>
          <w:rFonts w:ascii="Arial" w:hAnsi="Arial" w:cs="Arial"/>
          <w:color w:val="auto"/>
          <w:sz w:val="20"/>
          <w:szCs w:val="20"/>
        </w:rPr>
        <w:t xml:space="preserve"> known as</w:t>
      </w:r>
      <w:r w:rsidRPr="00872FB9">
        <w:rPr>
          <w:rFonts w:ascii="Arial" w:hAnsi="Arial" w:cs="Arial"/>
          <w:color w:val="auto"/>
          <w:sz w:val="20"/>
          <w:szCs w:val="20"/>
        </w:rPr>
        <w:t xml:space="preserve"> </w:t>
      </w:r>
      <w:bookmarkStart w:id="80" w:name="VaR_horizon"/>
      <w:proofErr w:type="spellStart"/>
      <w:r w:rsidRPr="00872FB9">
        <w:rPr>
          <w:rFonts w:ascii="Arial" w:hAnsi="Arial" w:cs="Arial"/>
          <w:bCs/>
          <w:color w:val="auto"/>
          <w:sz w:val="20"/>
          <w:szCs w:val="20"/>
        </w:rPr>
        <w:t>VaR</w:t>
      </w:r>
      <w:proofErr w:type="spellEnd"/>
      <w:r w:rsidRPr="00872FB9">
        <w:rPr>
          <w:rFonts w:ascii="Arial" w:hAnsi="Arial" w:cs="Arial"/>
          <w:bCs/>
          <w:color w:val="auto"/>
          <w:sz w:val="20"/>
          <w:szCs w:val="20"/>
        </w:rPr>
        <w:t xml:space="preserve"> horizon</w:t>
      </w:r>
      <w:bookmarkEnd w:id="80"/>
      <w:r w:rsidRPr="00872FB9">
        <w:rPr>
          <w:rFonts w:ascii="Arial" w:hAnsi="Arial" w:cs="Arial"/>
          <w:color w:val="auto"/>
          <w:sz w:val="20"/>
          <w:szCs w:val="20"/>
        </w:rPr>
        <w:t>. Value-at-risk is measured in a particular currency</w:t>
      </w:r>
      <w:r w:rsidR="00E4616D" w:rsidRPr="00872FB9">
        <w:rPr>
          <w:rFonts w:ascii="Arial" w:hAnsi="Arial" w:cs="Arial"/>
          <w:color w:val="auto"/>
          <w:sz w:val="20"/>
          <w:szCs w:val="20"/>
        </w:rPr>
        <w:t xml:space="preserve">, </w:t>
      </w:r>
      <w:r w:rsidRPr="00872FB9">
        <w:rPr>
          <w:rFonts w:ascii="Arial" w:hAnsi="Arial" w:cs="Arial"/>
          <w:color w:val="auto"/>
          <w:sz w:val="20"/>
          <w:szCs w:val="20"/>
        </w:rPr>
        <w:t xml:space="preserve">but any currency can be used. This is called the </w:t>
      </w:r>
      <w:bookmarkStart w:id="81" w:name="base_currency"/>
      <w:r w:rsidRPr="00872FB9">
        <w:rPr>
          <w:rFonts w:ascii="Arial" w:hAnsi="Arial" w:cs="Arial"/>
          <w:bCs/>
          <w:color w:val="auto"/>
          <w:sz w:val="20"/>
          <w:szCs w:val="20"/>
        </w:rPr>
        <w:t>base currency</w:t>
      </w:r>
      <w:bookmarkEnd w:id="81"/>
      <w:r w:rsidRPr="00872FB9">
        <w:rPr>
          <w:rFonts w:ascii="Arial" w:hAnsi="Arial" w:cs="Arial"/>
          <w:color w:val="auto"/>
          <w:sz w:val="20"/>
          <w:szCs w:val="20"/>
        </w:rPr>
        <w:t xml:space="preserve">. Finally, the portfolio's market risk is summarized with a single number. Informally, we called this a parameter of the distribution of portfolio value. More formally, it is any function of both the portfolio's current value </w:t>
      </w:r>
      <w:r w:rsidR="00C164AF">
        <w:rPr>
          <w:rFonts w:ascii="Arial" w:hAnsi="Arial" w:cs="Arial"/>
          <w:noProof/>
          <w:color w:val="auto"/>
          <w:sz w:val="20"/>
          <w:szCs w:val="20"/>
        </w:rPr>
        <w:drawing>
          <wp:inline distT="0" distB="0" distL="0" distR="0">
            <wp:extent cx="133350" cy="171450"/>
            <wp:effectExtent l="19050" t="0" r="0" b="0"/>
            <wp:docPr id="9" name="Picture 9" descr="0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_p"/>
                    <pic:cNvPicPr>
                      <a:picLocks noChangeAspect="1" noChangeArrowheads="1"/>
                    </pic:cNvPicPr>
                  </pic:nvPicPr>
                  <pic:blipFill>
                    <a:blip r:embed="rId70" cstate="print"/>
                    <a:srcRect/>
                    <a:stretch>
                      <a:fillRect/>
                    </a:stretch>
                  </pic:blipFill>
                  <pic:spPr bwMode="auto">
                    <a:xfrm>
                      <a:off x="0" y="0"/>
                      <a:ext cx="133350" cy="171450"/>
                    </a:xfrm>
                    <a:prstGeom prst="rect">
                      <a:avLst/>
                    </a:prstGeom>
                    <a:noFill/>
                    <a:ln w="9525">
                      <a:noFill/>
                      <a:miter lim="800000"/>
                      <a:headEnd/>
                      <a:tailEnd/>
                    </a:ln>
                  </pic:spPr>
                </pic:pic>
              </a:graphicData>
            </a:graphic>
          </wp:inline>
        </w:drawing>
      </w:r>
      <w:r w:rsidRPr="00872FB9">
        <w:rPr>
          <w:rFonts w:ascii="Arial" w:hAnsi="Arial" w:cs="Arial"/>
          <w:color w:val="auto"/>
          <w:sz w:val="20"/>
          <w:szCs w:val="20"/>
        </w:rPr>
        <w:t xml:space="preserve">and its (random) value </w:t>
      </w:r>
      <w:r w:rsidR="00C164AF">
        <w:rPr>
          <w:rFonts w:ascii="Arial" w:hAnsi="Arial" w:cs="Arial"/>
          <w:noProof/>
          <w:color w:val="auto"/>
          <w:sz w:val="20"/>
          <w:szCs w:val="20"/>
        </w:rPr>
        <w:drawing>
          <wp:inline distT="0" distB="0" distL="0" distR="0">
            <wp:extent cx="123825" cy="171450"/>
            <wp:effectExtent l="19050" t="0" r="9525" b="0"/>
            <wp:docPr id="10" name="Picture 10" descr="1_p_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_p_cap"/>
                    <pic:cNvPicPr>
                      <a:picLocks noChangeAspect="1" noChangeArrowheads="1"/>
                    </pic:cNvPicPr>
                  </pic:nvPicPr>
                  <pic:blipFill>
                    <a:blip r:embed="rId71" cstate="print"/>
                    <a:srcRect/>
                    <a:stretch>
                      <a:fillRect/>
                    </a:stretch>
                  </pic:blipFill>
                  <pic:spPr bwMode="auto">
                    <a:xfrm>
                      <a:off x="0" y="0"/>
                      <a:ext cx="123825" cy="171450"/>
                    </a:xfrm>
                    <a:prstGeom prst="rect">
                      <a:avLst/>
                    </a:prstGeom>
                    <a:noFill/>
                    <a:ln w="9525">
                      <a:noFill/>
                      <a:miter lim="800000"/>
                      <a:headEnd/>
                      <a:tailEnd/>
                    </a:ln>
                  </pic:spPr>
                </pic:pic>
              </a:graphicData>
            </a:graphic>
          </wp:inline>
        </w:drawing>
      </w:r>
      <w:r w:rsidRPr="00872FB9">
        <w:rPr>
          <w:rFonts w:ascii="Arial" w:hAnsi="Arial" w:cs="Arial"/>
          <w:color w:val="auto"/>
          <w:sz w:val="20"/>
          <w:szCs w:val="20"/>
        </w:rPr>
        <w:t xml:space="preserve">at the end of the </w:t>
      </w:r>
      <w:proofErr w:type="spellStart"/>
      <w:r w:rsidRPr="00872FB9">
        <w:rPr>
          <w:rFonts w:ascii="Arial" w:hAnsi="Arial" w:cs="Arial"/>
          <w:color w:val="auto"/>
          <w:sz w:val="20"/>
          <w:szCs w:val="20"/>
        </w:rPr>
        <w:t>VaR</w:t>
      </w:r>
      <w:proofErr w:type="spellEnd"/>
      <w:r w:rsidRPr="00872FB9">
        <w:rPr>
          <w:rFonts w:ascii="Arial" w:hAnsi="Arial" w:cs="Arial"/>
          <w:color w:val="auto"/>
          <w:sz w:val="20"/>
          <w:szCs w:val="20"/>
        </w:rPr>
        <w:t xml:space="preserve"> horizon. In our example, the function was the 90%-</w:t>
      </w:r>
      <w:proofErr w:type="spellStart"/>
      <w:r w:rsidRPr="00872FB9">
        <w:rPr>
          <w:rFonts w:ascii="Arial" w:hAnsi="Arial" w:cs="Arial"/>
          <w:color w:val="auto"/>
          <w:sz w:val="20"/>
          <w:szCs w:val="20"/>
        </w:rPr>
        <w:t>quantile</w:t>
      </w:r>
      <w:proofErr w:type="spellEnd"/>
      <w:r w:rsidRPr="00872FB9">
        <w:rPr>
          <w:rFonts w:ascii="Arial" w:hAnsi="Arial" w:cs="Arial"/>
          <w:color w:val="auto"/>
          <w:sz w:val="20"/>
          <w:szCs w:val="20"/>
        </w:rPr>
        <w:t xml:space="preserve"> of loss. As we mentioned, other functions are possible. A </w:t>
      </w:r>
      <w:bookmarkStart w:id="82" w:name="VaR_measurement"/>
      <w:proofErr w:type="spellStart"/>
      <w:r w:rsidRPr="00872FB9">
        <w:rPr>
          <w:rFonts w:ascii="Arial" w:hAnsi="Arial" w:cs="Arial"/>
          <w:bCs/>
          <w:color w:val="auto"/>
          <w:sz w:val="20"/>
          <w:szCs w:val="20"/>
        </w:rPr>
        <w:t>VaR</w:t>
      </w:r>
      <w:proofErr w:type="spellEnd"/>
      <w:r w:rsidRPr="00872FB9">
        <w:rPr>
          <w:rFonts w:ascii="Arial" w:hAnsi="Arial" w:cs="Arial"/>
          <w:bCs/>
          <w:color w:val="auto"/>
          <w:sz w:val="20"/>
          <w:szCs w:val="20"/>
        </w:rPr>
        <w:t xml:space="preserve"> measurement</w:t>
      </w:r>
      <w:bookmarkEnd w:id="82"/>
      <w:r w:rsidRPr="00872FB9">
        <w:rPr>
          <w:rFonts w:ascii="Arial" w:hAnsi="Arial" w:cs="Arial"/>
          <w:color w:val="auto"/>
          <w:sz w:val="20"/>
          <w:szCs w:val="20"/>
        </w:rPr>
        <w:t xml:space="preserve"> is the value obtained for that function for a specific portfolio at a specific point in time. </w:t>
      </w:r>
    </w:p>
    <w:p w:rsidR="00062341" w:rsidRPr="00872FB9" w:rsidRDefault="00062341" w:rsidP="00872FB9">
      <w:pPr>
        <w:pStyle w:val="body"/>
        <w:spacing w:before="120" w:beforeAutospacing="0" w:after="120" w:afterAutospacing="0" w:line="240" w:lineRule="auto"/>
        <w:jc w:val="both"/>
        <w:rPr>
          <w:rFonts w:ascii="Arial" w:hAnsi="Arial" w:cs="Arial"/>
          <w:color w:val="auto"/>
          <w:sz w:val="20"/>
          <w:szCs w:val="20"/>
        </w:rPr>
      </w:pPr>
      <w:r w:rsidRPr="00872FB9">
        <w:rPr>
          <w:rFonts w:ascii="Arial" w:hAnsi="Arial" w:cs="Arial"/>
          <w:color w:val="auto"/>
          <w:sz w:val="20"/>
          <w:szCs w:val="20"/>
        </w:rPr>
        <w:t xml:space="preserve">We distinguish between a </w:t>
      </w:r>
      <w:hyperlink r:id="rId79" w:history="1">
        <w:proofErr w:type="spellStart"/>
        <w:r w:rsidRPr="00872FB9">
          <w:rPr>
            <w:rStyle w:val="Hyperlink"/>
            <w:rFonts w:ascii="Arial" w:hAnsi="Arial" w:cs="Arial"/>
            <w:color w:val="auto"/>
            <w:sz w:val="20"/>
            <w:szCs w:val="20"/>
            <w:u w:val="none"/>
          </w:rPr>
          <w:t>VaR</w:t>
        </w:r>
        <w:proofErr w:type="spellEnd"/>
        <w:r w:rsidRPr="00872FB9">
          <w:rPr>
            <w:rStyle w:val="Hyperlink"/>
            <w:rFonts w:ascii="Arial" w:hAnsi="Arial" w:cs="Arial"/>
            <w:color w:val="auto"/>
            <w:sz w:val="20"/>
            <w:szCs w:val="20"/>
            <w:u w:val="none"/>
          </w:rPr>
          <w:t xml:space="preserve"> measure</w:t>
        </w:r>
      </w:hyperlink>
      <w:r w:rsidRPr="00872FB9">
        <w:rPr>
          <w:rFonts w:ascii="Arial" w:hAnsi="Arial" w:cs="Arial"/>
          <w:color w:val="auto"/>
          <w:sz w:val="20"/>
          <w:szCs w:val="20"/>
        </w:rPr>
        <w:t xml:space="preserve"> and a </w:t>
      </w:r>
      <w:hyperlink r:id="rId80" w:history="1">
        <w:proofErr w:type="spellStart"/>
        <w:r w:rsidRPr="00872FB9">
          <w:rPr>
            <w:rStyle w:val="Hyperlink"/>
            <w:rFonts w:ascii="Arial" w:hAnsi="Arial" w:cs="Arial"/>
            <w:color w:val="auto"/>
            <w:sz w:val="20"/>
            <w:szCs w:val="20"/>
            <w:u w:val="none"/>
          </w:rPr>
          <w:t>VaR</w:t>
        </w:r>
        <w:proofErr w:type="spellEnd"/>
        <w:r w:rsidRPr="00872FB9">
          <w:rPr>
            <w:rStyle w:val="Hyperlink"/>
            <w:rFonts w:ascii="Arial" w:hAnsi="Arial" w:cs="Arial"/>
            <w:color w:val="auto"/>
            <w:sz w:val="20"/>
            <w:szCs w:val="20"/>
            <w:u w:val="none"/>
          </w:rPr>
          <w:t xml:space="preserve"> metric</w:t>
        </w:r>
      </w:hyperlink>
      <w:r w:rsidRPr="00872FB9">
        <w:rPr>
          <w:rFonts w:ascii="Arial" w:hAnsi="Arial" w:cs="Arial"/>
          <w:color w:val="auto"/>
          <w:sz w:val="20"/>
          <w:szCs w:val="20"/>
        </w:rPr>
        <w:t xml:space="preserve">. A </w:t>
      </w:r>
      <w:proofErr w:type="spellStart"/>
      <w:r w:rsidRPr="00872FB9">
        <w:rPr>
          <w:rFonts w:ascii="Arial" w:hAnsi="Arial" w:cs="Arial"/>
          <w:color w:val="auto"/>
          <w:sz w:val="20"/>
          <w:szCs w:val="20"/>
        </w:rPr>
        <w:t>VaR</w:t>
      </w:r>
      <w:proofErr w:type="spellEnd"/>
      <w:r w:rsidRPr="00872FB9">
        <w:rPr>
          <w:rFonts w:ascii="Arial" w:hAnsi="Arial" w:cs="Arial"/>
          <w:color w:val="auto"/>
          <w:sz w:val="20"/>
          <w:szCs w:val="20"/>
        </w:rPr>
        <w:t xml:space="preserve"> measure is the procedure by which we arrive at a </w:t>
      </w:r>
      <w:proofErr w:type="spellStart"/>
      <w:r w:rsidRPr="00872FB9">
        <w:rPr>
          <w:rFonts w:ascii="Arial" w:hAnsi="Arial" w:cs="Arial"/>
          <w:color w:val="auto"/>
          <w:sz w:val="20"/>
          <w:szCs w:val="20"/>
        </w:rPr>
        <w:t>VaR</w:t>
      </w:r>
      <w:proofErr w:type="spellEnd"/>
      <w:r w:rsidRPr="00872FB9">
        <w:rPr>
          <w:rFonts w:ascii="Arial" w:hAnsi="Arial" w:cs="Arial"/>
          <w:color w:val="auto"/>
          <w:sz w:val="20"/>
          <w:szCs w:val="20"/>
        </w:rPr>
        <w:t xml:space="preserve"> measurement. It is some computational algorithm, which is typically coded on a computer. A </w:t>
      </w:r>
      <w:proofErr w:type="spellStart"/>
      <w:r w:rsidRPr="00872FB9">
        <w:rPr>
          <w:rFonts w:ascii="Arial" w:hAnsi="Arial" w:cs="Arial"/>
          <w:color w:val="auto"/>
          <w:sz w:val="20"/>
          <w:szCs w:val="20"/>
        </w:rPr>
        <w:t>VaR</w:t>
      </w:r>
      <w:proofErr w:type="spellEnd"/>
      <w:r w:rsidRPr="00872FB9">
        <w:rPr>
          <w:rFonts w:ascii="Arial" w:hAnsi="Arial" w:cs="Arial"/>
          <w:color w:val="auto"/>
          <w:sz w:val="20"/>
          <w:szCs w:val="20"/>
        </w:rPr>
        <w:t xml:space="preserve"> metric is our interpretation of the </w:t>
      </w:r>
      <w:proofErr w:type="spellStart"/>
      <w:r w:rsidRPr="00872FB9">
        <w:rPr>
          <w:rFonts w:ascii="Arial" w:hAnsi="Arial" w:cs="Arial"/>
          <w:color w:val="auto"/>
          <w:sz w:val="20"/>
          <w:szCs w:val="20"/>
        </w:rPr>
        <w:t>VaR</w:t>
      </w:r>
      <w:proofErr w:type="spellEnd"/>
      <w:r w:rsidRPr="00872FB9">
        <w:rPr>
          <w:rFonts w:ascii="Arial" w:hAnsi="Arial" w:cs="Arial"/>
          <w:color w:val="auto"/>
          <w:sz w:val="20"/>
          <w:szCs w:val="20"/>
        </w:rPr>
        <w:t xml:space="preserve"> measurement. In our examples, the </w:t>
      </w:r>
      <w:proofErr w:type="spellStart"/>
      <w:r w:rsidRPr="00872FB9">
        <w:rPr>
          <w:rFonts w:ascii="Arial" w:hAnsi="Arial" w:cs="Arial"/>
          <w:color w:val="auto"/>
          <w:sz w:val="20"/>
          <w:szCs w:val="20"/>
        </w:rPr>
        <w:t>VaR</w:t>
      </w:r>
      <w:proofErr w:type="spellEnd"/>
      <w:r w:rsidRPr="00872FB9">
        <w:rPr>
          <w:rFonts w:ascii="Arial" w:hAnsi="Arial" w:cs="Arial"/>
          <w:color w:val="auto"/>
          <w:sz w:val="20"/>
          <w:szCs w:val="20"/>
        </w:rPr>
        <w:t xml:space="preserve"> metric was one-day 90% USD </w:t>
      </w:r>
      <w:proofErr w:type="spellStart"/>
      <w:r w:rsidRPr="00872FB9">
        <w:rPr>
          <w:rFonts w:ascii="Arial" w:hAnsi="Arial" w:cs="Arial"/>
          <w:color w:val="auto"/>
          <w:sz w:val="20"/>
          <w:szCs w:val="20"/>
        </w:rPr>
        <w:t>VaR.</w:t>
      </w:r>
      <w:proofErr w:type="spellEnd"/>
      <w:r w:rsidRPr="00872FB9">
        <w:rPr>
          <w:rFonts w:ascii="Arial" w:hAnsi="Arial" w:cs="Arial"/>
          <w:color w:val="auto"/>
          <w:sz w:val="20"/>
          <w:szCs w:val="20"/>
        </w:rPr>
        <w:t xml:space="preserve"> Other example of </w:t>
      </w:r>
      <w:proofErr w:type="spellStart"/>
      <w:r w:rsidRPr="00872FB9">
        <w:rPr>
          <w:rFonts w:ascii="Arial" w:hAnsi="Arial" w:cs="Arial"/>
          <w:color w:val="auto"/>
          <w:sz w:val="20"/>
          <w:szCs w:val="20"/>
        </w:rPr>
        <w:t>VaR</w:t>
      </w:r>
      <w:proofErr w:type="spellEnd"/>
      <w:r w:rsidRPr="00872FB9">
        <w:rPr>
          <w:rFonts w:ascii="Arial" w:hAnsi="Arial" w:cs="Arial"/>
          <w:color w:val="auto"/>
          <w:sz w:val="20"/>
          <w:szCs w:val="20"/>
        </w:rPr>
        <w:t xml:space="preserve"> metrics are:</w:t>
      </w:r>
    </w:p>
    <w:p w:rsidR="00062341" w:rsidRPr="00872FB9" w:rsidRDefault="00E4616D" w:rsidP="00872FB9">
      <w:pPr>
        <w:pStyle w:val="bullet"/>
        <w:numPr>
          <w:ilvl w:val="0"/>
          <w:numId w:val="22"/>
        </w:numPr>
        <w:spacing w:before="120" w:after="120" w:line="240" w:lineRule="auto"/>
        <w:jc w:val="both"/>
        <w:rPr>
          <w:rFonts w:ascii="Arial" w:hAnsi="Arial" w:cs="Arial"/>
          <w:color w:val="auto"/>
          <w:sz w:val="20"/>
          <w:szCs w:val="20"/>
        </w:rPr>
      </w:pPr>
      <w:r w:rsidRPr="00872FB9">
        <w:rPr>
          <w:rFonts w:ascii="Arial" w:hAnsi="Arial" w:cs="Arial"/>
          <w:color w:val="auto"/>
          <w:sz w:val="20"/>
          <w:szCs w:val="20"/>
        </w:rPr>
        <w:t>T</w:t>
      </w:r>
      <w:r w:rsidR="00E3532A" w:rsidRPr="00872FB9">
        <w:rPr>
          <w:rFonts w:ascii="Arial" w:hAnsi="Arial" w:cs="Arial"/>
          <w:color w:val="auto"/>
          <w:sz w:val="20"/>
          <w:szCs w:val="20"/>
        </w:rPr>
        <w:t xml:space="preserve">wo-week 99% </w:t>
      </w:r>
      <w:hyperlink r:id="rId81" w:history="1">
        <w:r w:rsidR="00E3532A" w:rsidRPr="00872FB9">
          <w:rPr>
            <w:rStyle w:val="Hyperlink"/>
            <w:rFonts w:ascii="Arial" w:hAnsi="Arial" w:cs="Arial"/>
            <w:color w:val="auto"/>
            <w:sz w:val="20"/>
            <w:szCs w:val="20"/>
            <w:u w:val="none"/>
          </w:rPr>
          <w:t>EUR</w:t>
        </w:r>
      </w:hyperlink>
      <w:r w:rsidR="00E3532A" w:rsidRPr="00872FB9">
        <w:rPr>
          <w:rFonts w:ascii="Arial" w:hAnsi="Arial" w:cs="Arial"/>
          <w:color w:val="auto"/>
          <w:sz w:val="20"/>
          <w:szCs w:val="20"/>
        </w:rPr>
        <w:t xml:space="preserve"> </w:t>
      </w:r>
      <w:proofErr w:type="spellStart"/>
      <w:r w:rsidR="00E3532A" w:rsidRPr="00872FB9">
        <w:rPr>
          <w:rFonts w:ascii="Arial" w:hAnsi="Arial" w:cs="Arial"/>
          <w:color w:val="auto"/>
          <w:sz w:val="20"/>
          <w:szCs w:val="20"/>
        </w:rPr>
        <w:t>VaR</w:t>
      </w:r>
      <w:proofErr w:type="spellEnd"/>
      <w:r w:rsidR="00E3532A" w:rsidRPr="00872FB9">
        <w:rPr>
          <w:rFonts w:ascii="Arial" w:hAnsi="Arial" w:cs="Arial"/>
          <w:color w:val="auto"/>
          <w:sz w:val="20"/>
          <w:szCs w:val="20"/>
        </w:rPr>
        <w:t xml:space="preserve"> </w:t>
      </w:r>
    </w:p>
    <w:p w:rsidR="00062341" w:rsidRPr="00872FB9" w:rsidRDefault="00E4616D" w:rsidP="00872FB9">
      <w:pPr>
        <w:pStyle w:val="bullet"/>
        <w:numPr>
          <w:ilvl w:val="0"/>
          <w:numId w:val="22"/>
        </w:numPr>
        <w:spacing w:before="120" w:after="120" w:line="240" w:lineRule="auto"/>
        <w:jc w:val="both"/>
        <w:rPr>
          <w:rFonts w:ascii="Arial" w:hAnsi="Arial" w:cs="Arial"/>
          <w:color w:val="auto"/>
          <w:sz w:val="20"/>
          <w:szCs w:val="20"/>
        </w:rPr>
      </w:pPr>
      <w:r w:rsidRPr="00872FB9">
        <w:rPr>
          <w:rFonts w:ascii="Arial" w:hAnsi="Arial" w:cs="Arial"/>
          <w:color w:val="auto"/>
          <w:sz w:val="20"/>
          <w:szCs w:val="20"/>
        </w:rPr>
        <w:t>O</w:t>
      </w:r>
      <w:r w:rsidR="00E3532A" w:rsidRPr="00872FB9">
        <w:rPr>
          <w:rFonts w:ascii="Arial" w:hAnsi="Arial" w:cs="Arial"/>
          <w:color w:val="auto"/>
          <w:sz w:val="20"/>
          <w:szCs w:val="20"/>
        </w:rPr>
        <w:t xml:space="preserve">ne-year standard deviation of USD return </w:t>
      </w:r>
    </w:p>
    <w:p w:rsidR="00062341" w:rsidRPr="00872FB9" w:rsidRDefault="00E4616D" w:rsidP="00872FB9">
      <w:pPr>
        <w:pStyle w:val="bullet"/>
        <w:numPr>
          <w:ilvl w:val="0"/>
          <w:numId w:val="22"/>
        </w:numPr>
        <w:spacing w:before="120" w:after="120" w:line="240" w:lineRule="auto"/>
        <w:jc w:val="both"/>
        <w:rPr>
          <w:rFonts w:ascii="Arial" w:hAnsi="Arial" w:cs="Arial"/>
          <w:color w:val="auto"/>
          <w:sz w:val="20"/>
          <w:szCs w:val="20"/>
        </w:rPr>
      </w:pPr>
      <w:r w:rsidRPr="00872FB9">
        <w:rPr>
          <w:rFonts w:ascii="Arial" w:hAnsi="Arial" w:cs="Arial"/>
          <w:color w:val="auto"/>
          <w:sz w:val="20"/>
          <w:szCs w:val="20"/>
        </w:rPr>
        <w:t>O</w:t>
      </w:r>
      <w:r w:rsidR="00E3532A" w:rsidRPr="00872FB9">
        <w:rPr>
          <w:rFonts w:ascii="Arial" w:hAnsi="Arial" w:cs="Arial"/>
          <w:color w:val="auto"/>
          <w:sz w:val="20"/>
          <w:szCs w:val="20"/>
        </w:rPr>
        <w:t xml:space="preserve">ne-day </w:t>
      </w:r>
      <w:hyperlink r:id="rId82" w:history="1">
        <w:r w:rsidR="00E3532A" w:rsidRPr="00872FB9">
          <w:rPr>
            <w:rStyle w:val="Hyperlink"/>
            <w:rFonts w:ascii="Arial" w:hAnsi="Arial" w:cs="Arial"/>
            <w:color w:val="auto"/>
            <w:sz w:val="20"/>
            <w:szCs w:val="20"/>
            <w:u w:val="none"/>
          </w:rPr>
          <w:t>semi-variance</w:t>
        </w:r>
      </w:hyperlink>
      <w:r w:rsidR="00E3532A" w:rsidRPr="00872FB9">
        <w:rPr>
          <w:rFonts w:ascii="Arial" w:hAnsi="Arial" w:cs="Arial"/>
          <w:color w:val="auto"/>
          <w:sz w:val="20"/>
          <w:szCs w:val="20"/>
        </w:rPr>
        <w:t xml:space="preserve"> of </w:t>
      </w:r>
      <w:hyperlink r:id="rId83" w:history="1">
        <w:r w:rsidR="00E3532A" w:rsidRPr="00872FB9">
          <w:rPr>
            <w:rStyle w:val="Hyperlink"/>
            <w:rFonts w:ascii="Arial" w:hAnsi="Arial" w:cs="Arial"/>
            <w:color w:val="auto"/>
            <w:sz w:val="20"/>
            <w:szCs w:val="20"/>
            <w:u w:val="none"/>
          </w:rPr>
          <w:t>JPY</w:t>
        </w:r>
      </w:hyperlink>
      <w:r w:rsidR="00E3532A" w:rsidRPr="00872FB9">
        <w:rPr>
          <w:rFonts w:ascii="Arial" w:hAnsi="Arial" w:cs="Arial"/>
          <w:color w:val="auto"/>
          <w:sz w:val="20"/>
          <w:szCs w:val="20"/>
        </w:rPr>
        <w:t xml:space="preserve"> portfolio value </w:t>
      </w:r>
    </w:p>
    <w:p w:rsidR="00062341" w:rsidRDefault="00062341" w:rsidP="00062341">
      <w:pPr>
        <w:pStyle w:val="body"/>
        <w:spacing w:before="120" w:beforeAutospacing="0" w:after="120" w:afterAutospacing="0" w:line="240" w:lineRule="atLeast"/>
        <w:jc w:val="both"/>
        <w:rPr>
          <w:rFonts w:ascii="Arial" w:hAnsi="Arial" w:cs="Arial"/>
          <w:color w:val="auto"/>
          <w:sz w:val="20"/>
          <w:szCs w:val="20"/>
        </w:rPr>
      </w:pPr>
      <w:r w:rsidRPr="00062341">
        <w:rPr>
          <w:rFonts w:ascii="Arial" w:hAnsi="Arial" w:cs="Arial"/>
          <w:color w:val="auto"/>
          <w:sz w:val="20"/>
          <w:szCs w:val="20"/>
        </w:rPr>
        <w:t xml:space="preserve"> </w:t>
      </w:r>
    </w:p>
    <w:p w:rsidR="000577C5" w:rsidRPr="009A4FA9" w:rsidRDefault="000577C5" w:rsidP="009A4FA9">
      <w:pPr>
        <w:pStyle w:val="Heading3"/>
        <w:widowControl w:val="0"/>
        <w:tabs>
          <w:tab w:val="left" w:pos="900"/>
          <w:tab w:val="num" w:pos="1800"/>
        </w:tabs>
        <w:spacing w:before="0" w:after="240" w:line="240" w:lineRule="atLeast"/>
        <w:ind w:left="1224" w:right="115" w:hanging="1224"/>
        <w:jc w:val="both"/>
      </w:pPr>
      <w:smartTag w:uri="urn:schemas-microsoft-com:office:smarttags" w:element="place">
        <w:r w:rsidRPr="009A4FA9">
          <w:t>Monte Carlo</w:t>
        </w:r>
      </w:smartTag>
      <w:r w:rsidRPr="009A4FA9">
        <w:t xml:space="preserve"> Method</w:t>
      </w:r>
    </w:p>
    <w:p w:rsidR="000577C5" w:rsidRPr="00E4616D" w:rsidRDefault="000577C5" w:rsidP="0059307F">
      <w:pPr>
        <w:pStyle w:val="body"/>
        <w:spacing w:before="120" w:beforeAutospacing="0" w:after="120" w:afterAutospacing="0" w:line="240" w:lineRule="auto"/>
        <w:jc w:val="both"/>
        <w:rPr>
          <w:rFonts w:ascii="Arial" w:hAnsi="Arial" w:cs="Arial"/>
          <w:color w:val="auto"/>
          <w:sz w:val="20"/>
          <w:szCs w:val="20"/>
        </w:rPr>
      </w:pPr>
      <w:smartTag w:uri="urn:schemas-microsoft-com:office:smarttags" w:element="place">
        <w:r w:rsidRPr="00E4616D">
          <w:rPr>
            <w:rFonts w:ascii="Arial" w:hAnsi="Arial" w:cs="Arial"/>
            <w:color w:val="auto"/>
            <w:sz w:val="20"/>
            <w:szCs w:val="20"/>
          </w:rPr>
          <w:t>Monte Carlo</w:t>
        </w:r>
      </w:smartTag>
      <w:r w:rsidRPr="00E4616D">
        <w:rPr>
          <w:rFonts w:ascii="Arial" w:hAnsi="Arial" w:cs="Arial"/>
          <w:color w:val="auto"/>
          <w:sz w:val="20"/>
          <w:szCs w:val="20"/>
        </w:rPr>
        <w:t xml:space="preserve"> method</w:t>
      </w:r>
      <w:r w:rsidR="00B11084" w:rsidRPr="00E4616D">
        <w:rPr>
          <w:rFonts w:ascii="Arial" w:hAnsi="Arial" w:cs="Arial"/>
          <w:color w:val="auto"/>
          <w:sz w:val="20"/>
          <w:szCs w:val="20"/>
        </w:rPr>
        <w:t>,</w:t>
      </w:r>
      <w:r w:rsidRPr="00E4616D">
        <w:rPr>
          <w:rFonts w:ascii="Arial" w:hAnsi="Arial" w:cs="Arial"/>
          <w:color w:val="auto"/>
          <w:sz w:val="20"/>
          <w:szCs w:val="20"/>
        </w:rPr>
        <w:t xml:space="preserve"> </w:t>
      </w:r>
      <w:r w:rsidR="00B11084" w:rsidRPr="00E4616D">
        <w:rPr>
          <w:rFonts w:ascii="Arial" w:hAnsi="Arial" w:cs="Arial"/>
          <w:color w:val="auto"/>
          <w:sz w:val="20"/>
          <w:szCs w:val="20"/>
        </w:rPr>
        <w:t>a</w:t>
      </w:r>
      <w:r w:rsidRPr="00E4616D">
        <w:rPr>
          <w:rFonts w:ascii="Arial" w:hAnsi="Arial" w:cs="Arial"/>
          <w:color w:val="auto"/>
          <w:sz w:val="20"/>
          <w:szCs w:val="20"/>
        </w:rPr>
        <w:t xml:space="preserve">t an elementary level, is a surprisingly simple concept, but it can be computationally expensive to use. It is easy to code </w:t>
      </w:r>
      <w:smartTag w:uri="urn:schemas-microsoft-com:office:smarttags" w:element="place">
        <w:r w:rsidRPr="00E4616D">
          <w:rPr>
            <w:rFonts w:ascii="Arial" w:hAnsi="Arial" w:cs="Arial"/>
            <w:color w:val="auto"/>
            <w:sz w:val="20"/>
            <w:szCs w:val="20"/>
          </w:rPr>
          <w:t>Monte Carlo</w:t>
        </w:r>
      </w:smartTag>
      <w:r w:rsidRPr="00E4616D">
        <w:rPr>
          <w:rFonts w:ascii="Arial" w:hAnsi="Arial" w:cs="Arial"/>
          <w:color w:val="auto"/>
          <w:sz w:val="20"/>
          <w:szCs w:val="20"/>
        </w:rPr>
        <w:t xml:space="preserve"> analyses that take hours or even days to run. To speed up analyses</w:t>
      </w:r>
      <w:r w:rsidR="00E4616D" w:rsidRPr="00E4616D">
        <w:rPr>
          <w:rFonts w:ascii="Arial" w:hAnsi="Arial" w:cs="Arial"/>
          <w:color w:val="auto"/>
          <w:sz w:val="20"/>
          <w:szCs w:val="20"/>
        </w:rPr>
        <w:t xml:space="preserve">; </w:t>
      </w:r>
      <w:r w:rsidRPr="00E4616D">
        <w:rPr>
          <w:rFonts w:ascii="Arial" w:hAnsi="Arial" w:cs="Arial"/>
          <w:color w:val="auto"/>
          <w:sz w:val="20"/>
          <w:szCs w:val="20"/>
        </w:rPr>
        <w:t xml:space="preserve">users need to employ techniques such as variance reduction. These techniques are easy to learn, but they are NOT intuitive. To use them, users need a sophisticated understanding of how and why the </w:t>
      </w:r>
      <w:smartTag w:uri="urn:schemas-microsoft-com:office:smarttags" w:element="place">
        <w:r w:rsidRPr="00E4616D">
          <w:rPr>
            <w:rFonts w:ascii="Arial" w:hAnsi="Arial" w:cs="Arial"/>
            <w:color w:val="auto"/>
            <w:sz w:val="20"/>
            <w:szCs w:val="20"/>
          </w:rPr>
          <w:t>Monte Carlo</w:t>
        </w:r>
      </w:smartTag>
      <w:r w:rsidRPr="00E4616D">
        <w:rPr>
          <w:rFonts w:ascii="Arial" w:hAnsi="Arial" w:cs="Arial"/>
          <w:color w:val="auto"/>
          <w:sz w:val="20"/>
          <w:szCs w:val="20"/>
        </w:rPr>
        <w:t xml:space="preserve"> method works. </w:t>
      </w:r>
    </w:p>
    <w:p w:rsidR="00E4616D" w:rsidRDefault="000577C5" w:rsidP="0059307F">
      <w:pPr>
        <w:pStyle w:val="quote"/>
        <w:spacing w:line="240" w:lineRule="auto"/>
        <w:ind w:left="0"/>
        <w:jc w:val="both"/>
      </w:pPr>
      <w:r w:rsidRPr="00E4616D">
        <w:rPr>
          <w:rFonts w:ascii="Arial" w:hAnsi="Arial" w:cs="Arial"/>
          <w:color w:val="auto"/>
          <w:sz w:val="20"/>
          <w:szCs w:val="20"/>
        </w:rPr>
        <w:t xml:space="preserve">Credit for inventing the Monte Carlo method often goes to Stanislaw </w:t>
      </w:r>
      <w:proofErr w:type="spellStart"/>
      <w:r w:rsidRPr="00E4616D">
        <w:rPr>
          <w:rFonts w:ascii="Arial" w:hAnsi="Arial" w:cs="Arial"/>
          <w:color w:val="auto"/>
          <w:sz w:val="20"/>
          <w:szCs w:val="20"/>
        </w:rPr>
        <w:t>Ulam</w:t>
      </w:r>
      <w:proofErr w:type="spellEnd"/>
      <w:r w:rsidRPr="00E4616D">
        <w:rPr>
          <w:rFonts w:ascii="Arial" w:hAnsi="Arial" w:cs="Arial"/>
          <w:color w:val="auto"/>
          <w:sz w:val="20"/>
          <w:szCs w:val="20"/>
        </w:rPr>
        <w:t xml:space="preserve">, a Polish born mathematician who worked for John von Neumann on the </w:t>
      </w:r>
      <w:smartTag w:uri="urn:schemas-microsoft-com:office:smarttags" w:element="place">
        <w:smartTag w:uri="urn:schemas-microsoft-com:office:smarttags" w:element="country-region">
          <w:r w:rsidRPr="00E4616D">
            <w:rPr>
              <w:rFonts w:ascii="Arial" w:hAnsi="Arial" w:cs="Arial"/>
              <w:color w:val="auto"/>
              <w:sz w:val="20"/>
              <w:szCs w:val="20"/>
            </w:rPr>
            <w:t>United States</w:t>
          </w:r>
        </w:smartTag>
      </w:smartTag>
      <w:r w:rsidRPr="00E4616D">
        <w:rPr>
          <w:rFonts w:ascii="Arial" w:hAnsi="Arial" w:cs="Arial"/>
          <w:color w:val="auto"/>
          <w:sz w:val="20"/>
          <w:szCs w:val="20"/>
        </w:rPr>
        <w:t>’ Manhattan Project during World War II.</w:t>
      </w:r>
      <w:r w:rsidR="00E4616D" w:rsidRPr="00E4616D">
        <w:rPr>
          <w:rFonts w:ascii="Arial" w:hAnsi="Arial" w:cs="Arial"/>
          <w:color w:val="auto"/>
          <w:sz w:val="20"/>
          <w:szCs w:val="20"/>
        </w:rPr>
        <w:t xml:space="preserve"> </w:t>
      </w:r>
      <w:r w:rsidRPr="00E4616D">
        <w:rPr>
          <w:rFonts w:ascii="Arial" w:hAnsi="Arial" w:cs="Arial"/>
          <w:color w:val="auto"/>
          <w:sz w:val="20"/>
          <w:szCs w:val="20"/>
        </w:rPr>
        <w:t>.</w:t>
      </w:r>
      <w:r w:rsidRPr="00E4616D">
        <w:rPr>
          <w:rFonts w:ascii="Arial" w:hAnsi="Arial" w:cs="Arial"/>
          <w:sz w:val="20"/>
          <w:szCs w:val="20"/>
        </w:rPr>
        <w:t xml:space="preserve">The </w:t>
      </w:r>
      <w:bookmarkStart w:id="83" w:name="Monte_Carlo_method"/>
      <w:smartTag w:uri="urn:schemas-microsoft-com:office:smarttags" w:element="place">
        <w:r w:rsidRPr="00E4616D">
          <w:rPr>
            <w:rFonts w:ascii="Arial" w:hAnsi="Arial" w:cs="Arial"/>
            <w:sz w:val="20"/>
            <w:szCs w:val="20"/>
          </w:rPr>
          <w:t>Monte Carlo</w:t>
        </w:r>
      </w:smartTag>
      <w:r w:rsidRPr="00E4616D">
        <w:rPr>
          <w:rFonts w:ascii="Arial" w:hAnsi="Arial" w:cs="Arial"/>
          <w:sz w:val="20"/>
          <w:szCs w:val="20"/>
        </w:rPr>
        <w:t xml:space="preserve"> method</w:t>
      </w:r>
      <w:bookmarkEnd w:id="83"/>
      <w:r w:rsidRPr="00E4616D">
        <w:rPr>
          <w:rFonts w:ascii="Arial" w:hAnsi="Arial" w:cs="Arial"/>
          <w:sz w:val="20"/>
          <w:szCs w:val="20"/>
        </w:rPr>
        <w:t>, as it is understood today, encompasses any technique of statistical sampling employed to approximate solutions to quantitative problems</w:t>
      </w:r>
    </w:p>
    <w:p w:rsidR="00B87DA9" w:rsidRPr="00B87DA9" w:rsidRDefault="00B87DA9" w:rsidP="000577C5">
      <w:pPr>
        <w:pStyle w:val="body"/>
        <w:spacing w:before="120" w:beforeAutospacing="0" w:after="120" w:afterAutospacing="0" w:line="240" w:lineRule="atLeast"/>
        <w:jc w:val="both"/>
        <w:rPr>
          <w:rFonts w:ascii="Arial" w:hAnsi="Arial" w:cs="Arial"/>
          <w:b/>
          <w:color w:val="auto"/>
          <w:sz w:val="20"/>
          <w:szCs w:val="20"/>
        </w:rPr>
      </w:pPr>
      <w:r w:rsidRPr="009A4FA9">
        <w:rPr>
          <w:rFonts w:ascii="Arial" w:hAnsi="Arial" w:cs="Arial"/>
          <w:b/>
          <w:bCs/>
          <w:i/>
          <w:color w:val="333399"/>
          <w:sz w:val="26"/>
          <w:szCs w:val="26"/>
        </w:rPr>
        <w:t>Conditional Value at Risk (</w:t>
      </w:r>
      <w:proofErr w:type="spellStart"/>
      <w:r w:rsidRPr="009A4FA9">
        <w:rPr>
          <w:rFonts w:ascii="Arial" w:hAnsi="Arial" w:cs="Arial"/>
          <w:b/>
          <w:bCs/>
          <w:i/>
          <w:color w:val="333399"/>
          <w:sz w:val="26"/>
          <w:szCs w:val="26"/>
        </w:rPr>
        <w:t>CVaR</w:t>
      </w:r>
      <w:proofErr w:type="spellEnd"/>
      <w:r w:rsidRPr="009A4FA9">
        <w:rPr>
          <w:rFonts w:ascii="Arial" w:hAnsi="Arial" w:cs="Arial"/>
          <w:b/>
          <w:bCs/>
          <w:i/>
          <w:color w:val="333399"/>
          <w:sz w:val="26"/>
          <w:szCs w:val="26"/>
        </w:rPr>
        <w:t>)</w:t>
      </w:r>
    </w:p>
    <w:p w:rsidR="00B87DA9" w:rsidRDefault="00B87DA9" w:rsidP="0059307F">
      <w:pPr>
        <w:autoSpaceDE w:val="0"/>
        <w:autoSpaceDN w:val="0"/>
        <w:adjustRightInd w:val="0"/>
        <w:spacing w:before="120" w:after="120"/>
        <w:jc w:val="both"/>
        <w:rPr>
          <w:rFonts w:ascii="Arial" w:hAnsi="Arial" w:cs="Arial"/>
          <w:sz w:val="20"/>
          <w:szCs w:val="20"/>
        </w:rPr>
      </w:pPr>
      <w:r w:rsidRPr="00B87DA9">
        <w:rPr>
          <w:rFonts w:ascii="Arial" w:hAnsi="Arial" w:cs="Arial"/>
          <w:sz w:val="20"/>
          <w:szCs w:val="20"/>
        </w:rPr>
        <w:t>Fundamental properties of Conditional Value-at-Risk (</w:t>
      </w:r>
      <w:proofErr w:type="spellStart"/>
      <w:r w:rsidRPr="00B87DA9">
        <w:rPr>
          <w:rFonts w:ascii="Arial" w:hAnsi="Arial" w:cs="Arial"/>
          <w:sz w:val="20"/>
          <w:szCs w:val="20"/>
        </w:rPr>
        <w:t>CVaR</w:t>
      </w:r>
      <w:proofErr w:type="spellEnd"/>
      <w:r w:rsidRPr="00B87DA9">
        <w:rPr>
          <w:rFonts w:ascii="Arial" w:hAnsi="Arial" w:cs="Arial"/>
          <w:sz w:val="20"/>
          <w:szCs w:val="20"/>
        </w:rPr>
        <w:t>), as a</w:t>
      </w:r>
      <w:r>
        <w:rPr>
          <w:rFonts w:ascii="Arial" w:hAnsi="Arial" w:cs="Arial"/>
          <w:sz w:val="20"/>
          <w:szCs w:val="20"/>
        </w:rPr>
        <w:t xml:space="preserve"> </w:t>
      </w:r>
      <w:r w:rsidRPr="00B87DA9">
        <w:rPr>
          <w:rFonts w:ascii="Arial" w:hAnsi="Arial" w:cs="Arial"/>
          <w:sz w:val="20"/>
          <w:szCs w:val="20"/>
        </w:rPr>
        <w:t>measure of risk with significant advantages over Value-at-Risk,</w:t>
      </w:r>
      <w:r>
        <w:rPr>
          <w:rFonts w:ascii="Arial" w:hAnsi="Arial" w:cs="Arial"/>
          <w:sz w:val="20"/>
          <w:szCs w:val="20"/>
        </w:rPr>
        <w:t xml:space="preserve"> </w:t>
      </w:r>
      <w:r w:rsidRPr="00B87DA9">
        <w:rPr>
          <w:rFonts w:ascii="Arial" w:hAnsi="Arial" w:cs="Arial"/>
          <w:sz w:val="20"/>
          <w:szCs w:val="20"/>
        </w:rPr>
        <w:t>are derived for loss distributions in finance that can involve</w:t>
      </w:r>
      <w:r>
        <w:rPr>
          <w:rFonts w:ascii="Arial" w:hAnsi="Arial" w:cs="Arial"/>
          <w:sz w:val="20"/>
          <w:szCs w:val="20"/>
        </w:rPr>
        <w:t xml:space="preserve"> </w:t>
      </w:r>
      <w:r w:rsidRPr="00B87DA9">
        <w:rPr>
          <w:rFonts w:ascii="Arial" w:hAnsi="Arial" w:cs="Arial"/>
          <w:sz w:val="20"/>
          <w:szCs w:val="20"/>
        </w:rPr>
        <w:t>discreetness. Such distributions are of particular importance in</w:t>
      </w:r>
      <w:r>
        <w:rPr>
          <w:rFonts w:ascii="Arial" w:hAnsi="Arial" w:cs="Arial"/>
          <w:sz w:val="20"/>
          <w:szCs w:val="20"/>
        </w:rPr>
        <w:t xml:space="preserve"> </w:t>
      </w:r>
      <w:r w:rsidRPr="00B87DA9">
        <w:rPr>
          <w:rFonts w:ascii="Arial" w:hAnsi="Arial" w:cs="Arial"/>
          <w:sz w:val="20"/>
          <w:szCs w:val="20"/>
        </w:rPr>
        <w:t>applications because of the prevalence of models based on</w:t>
      </w:r>
      <w:r>
        <w:rPr>
          <w:rFonts w:ascii="Arial" w:hAnsi="Arial" w:cs="Arial"/>
          <w:sz w:val="20"/>
          <w:szCs w:val="20"/>
        </w:rPr>
        <w:t xml:space="preserve"> </w:t>
      </w:r>
      <w:r w:rsidRPr="00B87DA9">
        <w:rPr>
          <w:rFonts w:ascii="Arial" w:hAnsi="Arial" w:cs="Arial"/>
          <w:sz w:val="20"/>
          <w:szCs w:val="20"/>
        </w:rPr>
        <w:t>scenarios and finite sampling. Conditional Value-at-Risk is able to</w:t>
      </w:r>
      <w:r>
        <w:rPr>
          <w:rFonts w:ascii="Arial" w:hAnsi="Arial" w:cs="Arial"/>
          <w:sz w:val="20"/>
          <w:szCs w:val="20"/>
        </w:rPr>
        <w:t xml:space="preserve"> </w:t>
      </w:r>
      <w:r w:rsidRPr="00B87DA9">
        <w:rPr>
          <w:rFonts w:ascii="Arial" w:hAnsi="Arial" w:cs="Arial"/>
          <w:sz w:val="20"/>
          <w:szCs w:val="20"/>
        </w:rPr>
        <w:t>quantify dangers beyond Value-at-Risk, and moreover it is</w:t>
      </w:r>
      <w:r>
        <w:rPr>
          <w:rFonts w:ascii="Arial" w:hAnsi="Arial" w:cs="Arial"/>
          <w:sz w:val="20"/>
          <w:szCs w:val="20"/>
        </w:rPr>
        <w:t xml:space="preserve"> </w:t>
      </w:r>
      <w:r w:rsidRPr="00B87DA9">
        <w:rPr>
          <w:rFonts w:ascii="Arial" w:hAnsi="Arial" w:cs="Arial"/>
          <w:sz w:val="20"/>
          <w:szCs w:val="20"/>
        </w:rPr>
        <w:t>coheren</w:t>
      </w:r>
      <w:r>
        <w:rPr>
          <w:rFonts w:ascii="Arial" w:hAnsi="Arial" w:cs="Arial"/>
          <w:sz w:val="20"/>
          <w:szCs w:val="20"/>
        </w:rPr>
        <w:t xml:space="preserve">t. </w:t>
      </w:r>
      <w:r w:rsidRPr="00B87DA9">
        <w:rPr>
          <w:rFonts w:ascii="Arial" w:hAnsi="Arial" w:cs="Arial"/>
          <w:sz w:val="20"/>
          <w:szCs w:val="20"/>
        </w:rPr>
        <w:t xml:space="preserve"> </w:t>
      </w:r>
    </w:p>
    <w:p w:rsidR="003A0453" w:rsidRPr="000577C5" w:rsidRDefault="003A0453" w:rsidP="000577C5">
      <w:pPr>
        <w:pStyle w:val="body"/>
        <w:spacing w:before="120" w:beforeAutospacing="0" w:after="120" w:afterAutospacing="0" w:line="240" w:lineRule="atLeast"/>
        <w:jc w:val="both"/>
        <w:rPr>
          <w:rFonts w:ascii="Arial" w:hAnsi="Arial" w:cs="Arial"/>
          <w:color w:val="auto"/>
          <w:sz w:val="20"/>
          <w:szCs w:val="20"/>
        </w:rPr>
      </w:pPr>
    </w:p>
    <w:p w:rsidR="004A31D3" w:rsidRPr="009413F6" w:rsidRDefault="004A31D3" w:rsidP="003E3FB6">
      <w:pPr>
        <w:pStyle w:val="Heading2"/>
        <w:keepNext w:val="0"/>
        <w:spacing w:before="120" w:after="120" w:line="240" w:lineRule="atLeast"/>
        <w:ind w:left="0" w:firstLine="0"/>
        <w:jc w:val="both"/>
      </w:pPr>
      <w:bookmarkStart w:id="84" w:name="_Toc134366492"/>
      <w:bookmarkStart w:id="85" w:name="_Toc226530529"/>
      <w:r w:rsidRPr="009413F6">
        <w:t>Order Management</w:t>
      </w:r>
      <w:bookmarkEnd w:id="66"/>
      <w:bookmarkEnd w:id="84"/>
      <w:bookmarkEnd w:id="85"/>
    </w:p>
    <w:p w:rsidR="004A31D3" w:rsidRPr="009413F6" w:rsidRDefault="004A31D3" w:rsidP="00FA2CC8">
      <w:pPr>
        <w:pStyle w:val="BSL"/>
        <w:spacing w:line="240" w:lineRule="auto"/>
      </w:pPr>
      <w:r w:rsidRPr="009413F6">
        <w:t>Any investment management process shall deal with the most important activity of buying and selling of various securities depending upon the state of the market and the view taken by the portfolio manager. Such trading activities need a lot of monitoring and have to be settled in accordance with the market practices.</w:t>
      </w:r>
    </w:p>
    <w:p w:rsidR="004A31D3" w:rsidRPr="009413F6" w:rsidRDefault="00A417E8" w:rsidP="00FA2CC8">
      <w:pPr>
        <w:pStyle w:val="BSL"/>
        <w:spacing w:line="240" w:lineRule="auto"/>
      </w:pPr>
      <w:r>
        <w:t>The Order Management system</w:t>
      </w:r>
      <w:r w:rsidR="004A31D3" w:rsidRPr="009413F6">
        <w:t xml:space="preserve"> provides functions for deal recording, compliance and back office integration. Dealers can record the detail of orders and track the confirmation process. The status of the orders can be monitored across all workstations</w:t>
      </w:r>
      <w:r w:rsidR="00AA6745">
        <w:t>.</w:t>
      </w:r>
      <w:r w:rsidR="004A31D3" w:rsidRPr="009413F6">
        <w:t xml:space="preserve"> The system enables dealers to share a common database with the back office and provides the dealers on-line access to shareholders actual cash and investment positions and limits. Allocated deals are sent to the back office </w:t>
      </w:r>
      <w:r w:rsidR="004A31D3" w:rsidRPr="009413F6">
        <w:lastRenderedPageBreak/>
        <w:t xml:space="preserve">electronically for the computation of contract </w:t>
      </w:r>
      <w:r w:rsidR="00736838" w:rsidRPr="009413F6">
        <w:t>details</w:t>
      </w:r>
      <w:r w:rsidR="004A31D3" w:rsidRPr="009413F6">
        <w:t xml:space="preserve">, for printing the contract notes and to start the settlement process. </w:t>
      </w:r>
    </w:p>
    <w:p w:rsidR="001301EE" w:rsidRDefault="004A31D3" w:rsidP="00FA2CC8">
      <w:pPr>
        <w:pStyle w:val="BSL"/>
        <w:spacing w:line="240" w:lineRule="auto"/>
      </w:pPr>
      <w:r w:rsidRPr="009413F6">
        <w:t>Investment Management firm</w:t>
      </w:r>
      <w:r w:rsidR="00C348BA">
        <w:t>s have</w:t>
      </w:r>
      <w:r w:rsidRPr="009413F6">
        <w:t xml:space="preserve"> a list of empanelled brokers who </w:t>
      </w:r>
      <w:r w:rsidR="00C348BA">
        <w:t>execute the buy and sell orders of the firm</w:t>
      </w:r>
      <w:r w:rsidRPr="009413F6">
        <w:t xml:space="preserve">. Once the orders get executed they get a confirmation back after which it moves into </w:t>
      </w:r>
      <w:r w:rsidR="00E07840" w:rsidRPr="009413F6">
        <w:t>Settlement</w:t>
      </w:r>
      <w:r w:rsidR="00736838" w:rsidRPr="009413F6">
        <w:t>. The</w:t>
      </w:r>
      <w:r w:rsidRPr="009413F6">
        <w:t xml:space="preserve"> settlement wing ensures the movement of appropriate securities and cash in order to settle the transaction.</w:t>
      </w:r>
      <w:r w:rsidR="00736838">
        <w:t xml:space="preserve"> </w:t>
      </w:r>
      <w:r w:rsidRPr="009413F6">
        <w:t>Once the trading and settlement activity takes place for a particular transaction the same is reported to the respective databases and shareholder account updated for the same.</w:t>
      </w:r>
    </w:p>
    <w:p w:rsidR="004A31D3" w:rsidRPr="009413F6" w:rsidRDefault="004A31D3" w:rsidP="009A4FA9">
      <w:pPr>
        <w:pStyle w:val="Heading3"/>
        <w:widowControl w:val="0"/>
        <w:tabs>
          <w:tab w:val="left" w:pos="900"/>
          <w:tab w:val="num" w:pos="1800"/>
        </w:tabs>
        <w:spacing w:before="0" w:after="240" w:line="240" w:lineRule="atLeast"/>
        <w:ind w:left="1224" w:right="115" w:hanging="1224"/>
        <w:jc w:val="both"/>
      </w:pPr>
      <w:r w:rsidRPr="009413F6">
        <w:t>Order Transmission and Execution</w:t>
      </w:r>
    </w:p>
    <w:p w:rsidR="00582653" w:rsidRPr="009413F6" w:rsidRDefault="004A31D3" w:rsidP="00FA2CC8">
      <w:pPr>
        <w:pStyle w:val="BSL"/>
        <w:spacing w:line="240" w:lineRule="auto"/>
        <w:rPr>
          <w:szCs w:val="22"/>
        </w:rPr>
      </w:pPr>
      <w:r w:rsidRPr="009413F6">
        <w:t xml:space="preserve">An order represents intent to buy or sell. Market orders request execution at the most advantageous price obtainable after the order is presented in the </w:t>
      </w:r>
      <w:r w:rsidR="00736838" w:rsidRPr="009413F6">
        <w:t>market</w:t>
      </w:r>
      <w:r w:rsidRPr="009413F6">
        <w:t xml:space="preserve">. Limit orders request execution at a specified price or better; they will be executed only if and when that price is reached. In addition to these two basic types of orders there are several order types specifying further conditions for execution (e.g., sell plus, buy minus, good ’til cancelled and stop </w:t>
      </w:r>
      <w:r w:rsidR="00121ACC">
        <w:t>loss</w:t>
      </w:r>
      <w:r w:rsidRPr="009413F6">
        <w:t xml:space="preserve">). Orders also carry qualifications regarding trade settlement (e.g., regular way, cash, </w:t>
      </w:r>
      <w:r w:rsidR="00736838" w:rsidRPr="009413F6">
        <w:t>and next</w:t>
      </w:r>
      <w:r w:rsidRPr="009413F6">
        <w:t xml:space="preserve"> day). Finally, orders can be subdivided into member orders (for a member’s own account) or public orders (submitted by a member on behalf of a non-member, such as a retail client). </w:t>
      </w:r>
    </w:p>
    <w:p w:rsidR="004A31D3" w:rsidRDefault="00582653" w:rsidP="003A59A9">
      <w:pPr>
        <w:pStyle w:val="Heading1"/>
        <w:keepNext w:val="0"/>
        <w:spacing w:before="120" w:after="120" w:line="240" w:lineRule="atLeast"/>
        <w:ind w:left="0" w:firstLine="0"/>
        <w:jc w:val="both"/>
      </w:pPr>
      <w:bookmarkStart w:id="86" w:name="_Toc134366493"/>
      <w:bookmarkStart w:id="87" w:name="_Toc226530530"/>
      <w:r w:rsidRPr="009413F6">
        <w:lastRenderedPageBreak/>
        <w:t>Investment Management – Back Offic</w:t>
      </w:r>
      <w:bookmarkEnd w:id="86"/>
      <w:r w:rsidR="003A59A9">
        <w:t>e</w:t>
      </w:r>
      <w:bookmarkEnd w:id="87"/>
    </w:p>
    <w:p w:rsidR="003A59A9" w:rsidRPr="003A59A9" w:rsidRDefault="003A59A9" w:rsidP="003A59A9"/>
    <w:p w:rsidR="004A31D3" w:rsidRPr="009413F6" w:rsidRDefault="004A31D3" w:rsidP="003E3FB6">
      <w:pPr>
        <w:pStyle w:val="Heading2"/>
        <w:keepNext w:val="0"/>
        <w:spacing w:before="120" w:after="120" w:line="240" w:lineRule="atLeast"/>
        <w:ind w:left="0" w:firstLine="0"/>
        <w:jc w:val="both"/>
      </w:pPr>
      <w:bookmarkStart w:id="88" w:name="_Toc133730623"/>
      <w:bookmarkStart w:id="89" w:name="_Toc134366494"/>
      <w:bookmarkStart w:id="90" w:name="_Toc226530531"/>
      <w:r w:rsidRPr="009413F6">
        <w:t>Post Trade Processes</w:t>
      </w:r>
      <w:bookmarkEnd w:id="88"/>
      <w:bookmarkEnd w:id="89"/>
      <w:bookmarkEnd w:id="90"/>
    </w:p>
    <w:p w:rsidR="004A31D3" w:rsidRPr="009413F6" w:rsidRDefault="004A31D3" w:rsidP="001301EE">
      <w:pPr>
        <w:pStyle w:val="Heading3"/>
        <w:keepNext w:val="0"/>
        <w:tabs>
          <w:tab w:val="left" w:pos="720"/>
        </w:tabs>
        <w:spacing w:before="120" w:after="120" w:line="240" w:lineRule="atLeast"/>
        <w:ind w:left="0" w:firstLine="0"/>
        <w:jc w:val="both"/>
      </w:pPr>
      <w:bookmarkStart w:id="91" w:name="_Toc134366495"/>
      <w:r w:rsidRPr="009413F6">
        <w:t>Trade Reporting and Dissemination</w:t>
      </w:r>
      <w:bookmarkEnd w:id="91"/>
    </w:p>
    <w:p w:rsidR="004A31D3" w:rsidRPr="009413F6" w:rsidRDefault="004A31D3" w:rsidP="00FA2CC8">
      <w:pPr>
        <w:pStyle w:val="BSL"/>
        <w:spacing w:line="240" w:lineRule="auto"/>
      </w:pPr>
      <w:r w:rsidRPr="009413F6">
        <w:t>The Exchange disseminates, in real time, trade information consisting of symbol, execution price, trade size, and special trading conditions. Occasionally, the Exchange disseminates additional messages indicating, for example, delayed openings and trading halts.</w:t>
      </w:r>
    </w:p>
    <w:p w:rsidR="004A31D3" w:rsidRPr="009413F6" w:rsidRDefault="004A31D3" w:rsidP="00FA2CC8">
      <w:pPr>
        <w:pStyle w:val="BSL"/>
        <w:spacing w:line="240" w:lineRule="auto"/>
      </w:pPr>
      <w:r w:rsidRPr="009413F6">
        <w:t>All U.S. securities exchanges and the National Association of Securities Dealers (NASD) implement SEC-approved "transaction reporting plans" for the real-time collection, processing and dissemination of "trade reports" for listed securities which comprise of the last sale data (symbol, trade price and size, etc.) in "eligible securities. Eligible securities are any common stock, right, long-term warrant or preferred stock listed on the exchange. For each Transaction carried out in the Central Order Book, the Market Undertakings immediately disseminate the quantity, price and time of execution of such Transaction.</w:t>
      </w:r>
    </w:p>
    <w:p w:rsidR="004A31D3" w:rsidRPr="009413F6" w:rsidRDefault="004A31D3" w:rsidP="00FA2CC8">
      <w:pPr>
        <w:pStyle w:val="BSL"/>
        <w:spacing w:line="240" w:lineRule="auto"/>
      </w:pPr>
      <w:r w:rsidRPr="009413F6">
        <w:t xml:space="preserve">Exchanges require member firms to report both own-account and customer-account trades effected outside business hours as well as in foreign markets to the exchange. Member firms need not report program trading transactions they already report to the Exchange. Member firms must report the date and time of the transaction; symbol; price; number of shares; where the transaction was executed; whether the transaction was a buy, sell or cross; whether it was a principal or an agency transaction; and the name of the contra-side broker-dealer. </w:t>
      </w:r>
    </w:p>
    <w:p w:rsidR="004A31D3" w:rsidRPr="009413F6" w:rsidRDefault="00C164AF" w:rsidP="003E3FB6">
      <w:pPr>
        <w:pStyle w:val="Caption"/>
        <w:spacing w:before="120" w:after="120" w:line="240" w:lineRule="atLeast"/>
        <w:jc w:val="both"/>
        <w:rPr>
          <w:rFonts w:ascii="Arial" w:hAnsi="Arial" w:cs="Arial"/>
          <w:szCs w:val="22"/>
        </w:rPr>
      </w:pPr>
      <w:r>
        <w:rPr>
          <w:rFonts w:cs="Arial"/>
          <w:iCs/>
          <w:noProof/>
        </w:rPr>
        <w:drawing>
          <wp:inline distT="0" distB="0" distL="0" distR="0">
            <wp:extent cx="5343525" cy="4038600"/>
            <wp:effectExtent l="19050" t="19050" r="28575" b="19050"/>
            <wp:docPr id="11" name="Picture 11" descr="INstitutionalPost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stitutionalPostTrade"/>
                    <pic:cNvPicPr>
                      <a:picLocks noChangeAspect="1" noChangeArrowheads="1"/>
                    </pic:cNvPicPr>
                  </pic:nvPicPr>
                  <pic:blipFill>
                    <a:blip r:embed="rId84" cstate="print"/>
                    <a:srcRect/>
                    <a:stretch>
                      <a:fillRect/>
                    </a:stretch>
                  </pic:blipFill>
                  <pic:spPr bwMode="auto">
                    <a:xfrm>
                      <a:off x="0" y="0"/>
                      <a:ext cx="5343525" cy="4038600"/>
                    </a:xfrm>
                    <a:prstGeom prst="rect">
                      <a:avLst/>
                    </a:prstGeom>
                    <a:noFill/>
                    <a:ln w="6350" cmpd="sng">
                      <a:solidFill>
                        <a:srgbClr val="000000"/>
                      </a:solidFill>
                      <a:miter lim="800000"/>
                      <a:headEnd/>
                      <a:tailEnd/>
                    </a:ln>
                    <a:effectLst/>
                  </pic:spPr>
                </pic:pic>
              </a:graphicData>
            </a:graphic>
          </wp:inline>
        </w:drawing>
      </w:r>
    </w:p>
    <w:p w:rsidR="009D2A7A" w:rsidRPr="0062725D" w:rsidRDefault="009D2A7A" w:rsidP="002723CA">
      <w:pPr>
        <w:pStyle w:val="Caption"/>
        <w:jc w:val="center"/>
      </w:pPr>
      <w:bookmarkStart w:id="92" w:name="_Toc207007214"/>
      <w:r w:rsidRPr="0062725D">
        <w:t xml:space="preserve">Figure </w:t>
      </w:r>
      <w:r w:rsidR="00FC0435">
        <w:fldChar w:fldCharType="begin"/>
      </w:r>
      <w:r w:rsidR="00E732DA">
        <w:instrText xml:space="preserve"> STYLEREF 1 \s </w:instrText>
      </w:r>
      <w:r w:rsidR="00FC0435">
        <w:fldChar w:fldCharType="separate"/>
      </w:r>
      <w:r w:rsidR="0060131C">
        <w:rPr>
          <w:noProof/>
        </w:rPr>
        <w:t>6</w:t>
      </w:r>
      <w:r w:rsidR="00FC0435">
        <w:fldChar w:fldCharType="end"/>
      </w:r>
      <w:r w:rsidR="00E94D45">
        <w:noBreakHyphen/>
      </w:r>
      <w:r w:rsidR="00FC0435">
        <w:fldChar w:fldCharType="begin"/>
      </w:r>
      <w:r w:rsidR="00E732DA">
        <w:instrText xml:space="preserve"> SEQ Figure \* ARABIC \s 1 </w:instrText>
      </w:r>
      <w:r w:rsidR="00FC0435">
        <w:fldChar w:fldCharType="separate"/>
      </w:r>
      <w:r w:rsidR="0060131C">
        <w:rPr>
          <w:noProof/>
        </w:rPr>
        <w:t>1</w:t>
      </w:r>
      <w:r w:rsidR="00FC0435">
        <w:fldChar w:fldCharType="end"/>
      </w:r>
      <w:r w:rsidRPr="0062725D">
        <w:t>- Post Trade Process</w:t>
      </w:r>
      <w:bookmarkEnd w:id="92"/>
    </w:p>
    <w:p w:rsidR="003A2EE8" w:rsidRDefault="003A2EE8" w:rsidP="003A2EE8">
      <w:pPr>
        <w:spacing w:before="120" w:after="120" w:line="240" w:lineRule="atLeast"/>
        <w:jc w:val="both"/>
        <w:rPr>
          <w:rFonts w:ascii="Arial" w:hAnsi="Arial" w:cs="Arial"/>
          <w:sz w:val="20"/>
          <w:szCs w:val="20"/>
        </w:rPr>
      </w:pPr>
      <w:bookmarkStart w:id="93" w:name="_Toc133730624"/>
    </w:p>
    <w:p w:rsidR="003A2EE8" w:rsidRDefault="003A2EE8" w:rsidP="001301EE">
      <w:pPr>
        <w:pStyle w:val="Heading3"/>
        <w:keepNext w:val="0"/>
        <w:tabs>
          <w:tab w:val="left" w:pos="720"/>
        </w:tabs>
        <w:spacing w:before="120" w:after="120" w:line="240" w:lineRule="atLeast"/>
        <w:ind w:left="0" w:firstLine="0"/>
        <w:jc w:val="both"/>
      </w:pPr>
      <w:bookmarkStart w:id="94" w:name="_Toc134365549"/>
      <w:bookmarkStart w:id="95" w:name="_Toc134366496"/>
      <w:r>
        <w:t>Position Maintenance</w:t>
      </w:r>
      <w:bookmarkEnd w:id="94"/>
      <w:bookmarkEnd w:id="95"/>
    </w:p>
    <w:p w:rsidR="003A2EE8" w:rsidRDefault="003A2EE8" w:rsidP="003A2EE8">
      <w:pPr>
        <w:spacing w:before="120" w:after="120" w:line="240" w:lineRule="atLeast"/>
        <w:jc w:val="both"/>
        <w:rPr>
          <w:rFonts w:ascii="Arial" w:hAnsi="Arial" w:cs="Arial"/>
          <w:sz w:val="20"/>
          <w:szCs w:val="20"/>
        </w:rPr>
      </w:pPr>
    </w:p>
    <w:p w:rsidR="005D5F55" w:rsidRDefault="003A2EE8" w:rsidP="00FA2CC8">
      <w:pPr>
        <w:spacing w:before="120" w:after="120"/>
        <w:jc w:val="both"/>
        <w:rPr>
          <w:rFonts w:ascii="Arial" w:hAnsi="Arial" w:cs="Arial"/>
          <w:sz w:val="20"/>
          <w:szCs w:val="20"/>
        </w:rPr>
      </w:pPr>
      <w:r w:rsidRPr="000045E4">
        <w:rPr>
          <w:rFonts w:ascii="Arial" w:hAnsi="Arial" w:cs="Arial"/>
          <w:sz w:val="20"/>
          <w:szCs w:val="20"/>
        </w:rPr>
        <w:t xml:space="preserve">The function of Record Keeping and Position Maintenance is typically performed by Custodians.  Custodians are </w:t>
      </w:r>
      <w:r>
        <w:rPr>
          <w:rFonts w:ascii="Arial" w:hAnsi="Arial" w:cs="Arial"/>
          <w:sz w:val="20"/>
          <w:szCs w:val="20"/>
        </w:rPr>
        <w:t xml:space="preserve">settling </w:t>
      </w:r>
      <w:r w:rsidRPr="000045E4">
        <w:rPr>
          <w:rFonts w:ascii="Arial" w:hAnsi="Arial" w:cs="Arial"/>
          <w:sz w:val="20"/>
          <w:szCs w:val="20"/>
        </w:rPr>
        <w:t xml:space="preserve">entities in a Trade Cycle.  It is mandatory for institutional investment managers to appoint a custodian. </w:t>
      </w:r>
      <w:r>
        <w:rPr>
          <w:rFonts w:ascii="Arial" w:hAnsi="Arial" w:cs="Arial"/>
          <w:sz w:val="20"/>
          <w:szCs w:val="20"/>
        </w:rPr>
        <w:t>In case of physical settlement all post trade activities like the physical settlement of securities, getting the securities transferred; safe-keeping of the securities is done by the Custodian.  In case of a paperless or electronic settlement environment, the Custodian maintains the securities account balances in electronic form.  The account balances may be held at a Position level as well as a Tax Lot level.</w:t>
      </w:r>
    </w:p>
    <w:p w:rsidR="003A2EE8" w:rsidRPr="000045E4" w:rsidRDefault="005D5F55" w:rsidP="00FA2CC8">
      <w:pPr>
        <w:spacing w:before="120" w:after="120"/>
        <w:jc w:val="both"/>
        <w:rPr>
          <w:rFonts w:ascii="Arial" w:hAnsi="Arial" w:cs="Arial"/>
          <w:sz w:val="20"/>
          <w:szCs w:val="20"/>
        </w:rPr>
      </w:pPr>
      <w:r>
        <w:rPr>
          <w:rFonts w:ascii="Arial" w:hAnsi="Arial" w:cs="Arial"/>
          <w:sz w:val="20"/>
          <w:szCs w:val="20"/>
        </w:rPr>
        <w:t>Investment Managers also do position keeping for their own for various asset classes in a post trade scenario. This would help in keeping records which can be tallied later on against the custodian book of records.</w:t>
      </w:r>
    </w:p>
    <w:p w:rsidR="00060DB6" w:rsidRPr="00CC4268" w:rsidRDefault="00060DB6" w:rsidP="00060DB6">
      <w:pPr>
        <w:pStyle w:val="Heading3"/>
        <w:tabs>
          <w:tab w:val="num" w:pos="720"/>
        </w:tabs>
        <w:ind w:left="720" w:hanging="720"/>
      </w:pPr>
      <w:bookmarkStart w:id="96" w:name="_Toc134008853"/>
      <w:bookmarkStart w:id="97" w:name="_Toc134011827"/>
      <w:r w:rsidRPr="00CC4268">
        <w:t>Trade Allocation</w:t>
      </w:r>
      <w:bookmarkEnd w:id="96"/>
      <w:bookmarkEnd w:id="97"/>
    </w:p>
    <w:p w:rsidR="007A62B5" w:rsidRPr="002B07CB" w:rsidRDefault="00C164AF" w:rsidP="00060DB6">
      <w:pPr>
        <w:spacing w:line="360" w:lineRule="auto"/>
        <w:jc w:val="both"/>
        <w:rPr>
          <w:rFonts w:ascii="Arial" w:hAnsi="Arial" w:cs="Arial"/>
          <w:color w:val="000000"/>
          <w:sz w:val="20"/>
          <w:szCs w:val="20"/>
        </w:rPr>
      </w:pPr>
      <w:r>
        <w:rPr>
          <w:rFonts w:ascii="Arial" w:hAnsi="Arial" w:cs="Arial"/>
          <w:noProof/>
          <w:color w:val="000080"/>
          <w:sz w:val="20"/>
          <w:szCs w:val="20"/>
        </w:rPr>
        <w:drawing>
          <wp:inline distT="0" distB="0" distL="0" distR="0">
            <wp:extent cx="5486400" cy="2886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cstate="print"/>
                    <a:srcRect/>
                    <a:stretch>
                      <a:fillRect/>
                    </a:stretch>
                  </pic:blipFill>
                  <pic:spPr bwMode="auto">
                    <a:xfrm>
                      <a:off x="0" y="0"/>
                      <a:ext cx="5486400" cy="2886075"/>
                    </a:xfrm>
                    <a:prstGeom prst="rect">
                      <a:avLst/>
                    </a:prstGeom>
                    <a:noFill/>
                    <a:ln w="9525">
                      <a:noFill/>
                      <a:miter lim="800000"/>
                      <a:headEnd/>
                      <a:tailEnd/>
                    </a:ln>
                  </pic:spPr>
                </pic:pic>
              </a:graphicData>
            </a:graphic>
          </wp:inline>
        </w:drawing>
      </w:r>
    </w:p>
    <w:p w:rsidR="00060DB6" w:rsidRDefault="00060DB6" w:rsidP="00060DB6">
      <w:pPr>
        <w:spacing w:line="360" w:lineRule="auto"/>
        <w:jc w:val="both"/>
        <w:rPr>
          <w:rFonts w:ascii="Arial" w:hAnsi="Arial" w:cs="Arial"/>
          <w:color w:val="000000"/>
          <w:sz w:val="20"/>
          <w:szCs w:val="20"/>
        </w:rPr>
      </w:pPr>
    </w:p>
    <w:p w:rsidR="00060DB6" w:rsidRPr="0062725D" w:rsidRDefault="00E94D45" w:rsidP="00E94D45">
      <w:pPr>
        <w:pStyle w:val="Caption"/>
        <w:jc w:val="center"/>
      </w:pPr>
      <w:bookmarkStart w:id="98" w:name="_Toc207007215"/>
      <w:r>
        <w:t xml:space="preserve">Figure </w:t>
      </w:r>
      <w:r w:rsidR="00FC0435">
        <w:fldChar w:fldCharType="begin"/>
      </w:r>
      <w:r w:rsidR="00E732DA">
        <w:instrText xml:space="preserve"> STYLEREF 1 \s </w:instrText>
      </w:r>
      <w:r w:rsidR="00FC0435">
        <w:fldChar w:fldCharType="separate"/>
      </w:r>
      <w:r w:rsidR="0060131C">
        <w:rPr>
          <w:noProof/>
        </w:rPr>
        <w:t>6</w:t>
      </w:r>
      <w:r w:rsidR="00FC0435">
        <w:fldChar w:fldCharType="end"/>
      </w:r>
      <w:r>
        <w:noBreakHyphen/>
      </w:r>
      <w:r w:rsidR="00FC0435">
        <w:fldChar w:fldCharType="begin"/>
      </w:r>
      <w:r w:rsidR="00E732DA">
        <w:instrText xml:space="preserve"> SEQ Figure \* ARABIC \s 1 </w:instrText>
      </w:r>
      <w:r w:rsidR="00FC0435">
        <w:fldChar w:fldCharType="separate"/>
      </w:r>
      <w:r w:rsidR="0060131C">
        <w:rPr>
          <w:noProof/>
        </w:rPr>
        <w:t>2</w:t>
      </w:r>
      <w:r w:rsidR="00FC0435">
        <w:fldChar w:fldCharType="end"/>
      </w:r>
      <w:r>
        <w:t xml:space="preserve"> Trade Allocation</w:t>
      </w:r>
      <w:bookmarkEnd w:id="98"/>
    </w:p>
    <w:p w:rsidR="00475D89" w:rsidRDefault="00475D89" w:rsidP="008D304F">
      <w:pPr>
        <w:spacing w:before="120" w:after="120"/>
        <w:jc w:val="both"/>
        <w:rPr>
          <w:rFonts w:ascii="Arial" w:hAnsi="Arial" w:cs="Arial"/>
          <w:sz w:val="20"/>
          <w:szCs w:val="20"/>
        </w:rPr>
      </w:pPr>
    </w:p>
    <w:p w:rsidR="00060DB6" w:rsidRPr="002B07CB" w:rsidRDefault="00060DB6" w:rsidP="00FA2CC8">
      <w:pPr>
        <w:spacing w:before="120" w:after="120"/>
        <w:jc w:val="both"/>
        <w:rPr>
          <w:rFonts w:ascii="Arial" w:hAnsi="Arial" w:cs="Arial"/>
          <w:color w:val="000000"/>
          <w:sz w:val="20"/>
          <w:szCs w:val="20"/>
        </w:rPr>
      </w:pPr>
      <w:r w:rsidRPr="002B07CB">
        <w:rPr>
          <w:rFonts w:ascii="Arial" w:hAnsi="Arial" w:cs="Arial"/>
          <w:sz w:val="20"/>
          <w:szCs w:val="20"/>
        </w:rPr>
        <w:t>As described earlier, w</w:t>
      </w:r>
      <w:r w:rsidRPr="002B07CB">
        <w:rPr>
          <w:rFonts w:ascii="Arial" w:hAnsi="Arial" w:cs="Arial"/>
          <w:color w:val="000000"/>
          <w:sz w:val="20"/>
          <w:szCs w:val="20"/>
        </w:rPr>
        <w:t>hen a single investment manager i</w:t>
      </w:r>
      <w:r>
        <w:rPr>
          <w:rFonts w:ascii="Arial" w:hAnsi="Arial" w:cs="Arial"/>
          <w:color w:val="000000"/>
          <w:sz w:val="20"/>
          <w:szCs w:val="20"/>
        </w:rPr>
        <w:t>s responsible for multiple fund accounts</w:t>
      </w:r>
      <w:r w:rsidRPr="002B07CB">
        <w:rPr>
          <w:rFonts w:ascii="Arial" w:hAnsi="Arial" w:cs="Arial"/>
          <w:color w:val="000000"/>
          <w:sz w:val="20"/>
          <w:szCs w:val="20"/>
        </w:rPr>
        <w:t xml:space="preserve">, the </w:t>
      </w:r>
      <w:r>
        <w:rPr>
          <w:rFonts w:ascii="Arial" w:hAnsi="Arial" w:cs="Arial"/>
          <w:color w:val="000000"/>
          <w:sz w:val="20"/>
          <w:szCs w:val="20"/>
        </w:rPr>
        <w:t>order for similar</w:t>
      </w:r>
      <w:r w:rsidRPr="002B07CB">
        <w:rPr>
          <w:rFonts w:ascii="Arial" w:hAnsi="Arial" w:cs="Arial"/>
          <w:color w:val="000000"/>
          <w:sz w:val="20"/>
          <w:szCs w:val="20"/>
        </w:rPr>
        <w:t xml:space="preserve"> securities from such fund</w:t>
      </w:r>
      <w:r>
        <w:rPr>
          <w:rFonts w:ascii="Arial" w:hAnsi="Arial" w:cs="Arial"/>
          <w:color w:val="000000"/>
          <w:sz w:val="20"/>
          <w:szCs w:val="20"/>
        </w:rPr>
        <w:t xml:space="preserve"> accounts</w:t>
      </w:r>
      <w:r w:rsidRPr="002B07CB">
        <w:rPr>
          <w:rFonts w:ascii="Arial" w:hAnsi="Arial" w:cs="Arial"/>
          <w:color w:val="000000"/>
          <w:sz w:val="20"/>
          <w:szCs w:val="20"/>
        </w:rPr>
        <w:t xml:space="preserve"> </w:t>
      </w:r>
      <w:r>
        <w:rPr>
          <w:rFonts w:ascii="Arial" w:hAnsi="Arial" w:cs="Arial"/>
          <w:color w:val="000000"/>
          <w:sz w:val="20"/>
          <w:szCs w:val="20"/>
        </w:rPr>
        <w:t>are</w:t>
      </w:r>
      <w:r w:rsidRPr="002B07CB">
        <w:rPr>
          <w:rFonts w:ascii="Arial" w:hAnsi="Arial" w:cs="Arial"/>
          <w:color w:val="000000"/>
          <w:sz w:val="20"/>
          <w:szCs w:val="20"/>
        </w:rPr>
        <w:t xml:space="preserve"> normally consolidated a</w:t>
      </w:r>
      <w:r>
        <w:rPr>
          <w:rFonts w:ascii="Arial" w:hAnsi="Arial" w:cs="Arial"/>
          <w:color w:val="000000"/>
          <w:sz w:val="20"/>
          <w:szCs w:val="20"/>
        </w:rPr>
        <w:t>nd sent to the trading desk</w:t>
      </w:r>
      <w:r w:rsidRPr="002B07CB">
        <w:rPr>
          <w:rFonts w:ascii="Arial" w:hAnsi="Arial" w:cs="Arial"/>
          <w:color w:val="000000"/>
          <w:sz w:val="20"/>
          <w:szCs w:val="20"/>
        </w:rPr>
        <w:t xml:space="preserve">. The trader can either place a single order for the </w:t>
      </w:r>
      <w:r>
        <w:rPr>
          <w:rFonts w:ascii="Arial" w:hAnsi="Arial" w:cs="Arial"/>
          <w:color w:val="000000"/>
          <w:sz w:val="20"/>
          <w:szCs w:val="20"/>
        </w:rPr>
        <w:t xml:space="preserve">portfolio </w:t>
      </w:r>
      <w:r w:rsidRPr="002B07CB">
        <w:rPr>
          <w:rFonts w:ascii="Arial" w:hAnsi="Arial" w:cs="Arial"/>
          <w:color w:val="000000"/>
          <w:sz w:val="20"/>
          <w:szCs w:val="20"/>
        </w:rPr>
        <w:t xml:space="preserve">order or merge/split several orders and send it </w:t>
      </w:r>
      <w:r>
        <w:rPr>
          <w:rFonts w:ascii="Arial" w:hAnsi="Arial" w:cs="Arial"/>
          <w:color w:val="000000"/>
          <w:sz w:val="20"/>
          <w:szCs w:val="20"/>
        </w:rPr>
        <w:t xml:space="preserve">as a block order </w:t>
      </w:r>
      <w:r w:rsidRPr="002B07CB">
        <w:rPr>
          <w:rFonts w:ascii="Arial" w:hAnsi="Arial" w:cs="Arial"/>
          <w:color w:val="000000"/>
          <w:sz w:val="20"/>
          <w:szCs w:val="20"/>
        </w:rPr>
        <w:t xml:space="preserve">for execution. </w:t>
      </w:r>
      <w:r w:rsidRPr="002B07CB">
        <w:rPr>
          <w:rFonts w:ascii="Arial" w:hAnsi="Arial" w:cs="Arial"/>
          <w:sz w:val="20"/>
          <w:szCs w:val="20"/>
        </w:rPr>
        <w:t xml:space="preserve">Since a trade order is </w:t>
      </w:r>
      <w:r>
        <w:rPr>
          <w:rFonts w:ascii="Arial" w:hAnsi="Arial" w:cs="Arial"/>
          <w:sz w:val="20"/>
          <w:szCs w:val="20"/>
        </w:rPr>
        <w:t>typical</w:t>
      </w:r>
      <w:r w:rsidRPr="002B07CB">
        <w:rPr>
          <w:rFonts w:ascii="Arial" w:hAnsi="Arial" w:cs="Arial"/>
          <w:sz w:val="20"/>
          <w:szCs w:val="20"/>
        </w:rPr>
        <w:t xml:space="preserve">ly a block order on a security for multiple accounts or funds, when a notice of execution is received, it has to be allocated back to the accounts in the form of allocations. </w:t>
      </w:r>
    </w:p>
    <w:p w:rsidR="00060DB6" w:rsidRDefault="00060DB6" w:rsidP="00FA2CC8">
      <w:pPr>
        <w:spacing w:before="120" w:after="120"/>
        <w:jc w:val="both"/>
        <w:rPr>
          <w:rFonts w:ascii="Arial" w:hAnsi="Arial" w:cs="Arial"/>
          <w:color w:val="000000"/>
          <w:sz w:val="20"/>
          <w:szCs w:val="20"/>
        </w:rPr>
      </w:pPr>
      <w:r w:rsidRPr="002B07CB">
        <w:rPr>
          <w:rFonts w:ascii="Arial" w:hAnsi="Arial" w:cs="Arial"/>
          <w:color w:val="000000"/>
          <w:sz w:val="20"/>
          <w:szCs w:val="20"/>
        </w:rPr>
        <w:t xml:space="preserve">Since trades from multiple funds are pooled into a single order, the firm must have a procedure in place to allocate the executed trade to the various funds. </w:t>
      </w:r>
    </w:p>
    <w:p w:rsidR="00060DB6" w:rsidRPr="002B07CB" w:rsidRDefault="00060DB6" w:rsidP="00FA2CC8">
      <w:pPr>
        <w:spacing w:before="120" w:after="120"/>
        <w:jc w:val="both"/>
        <w:rPr>
          <w:rFonts w:ascii="Arial" w:hAnsi="Arial" w:cs="Arial"/>
          <w:color w:val="000000"/>
          <w:sz w:val="20"/>
          <w:szCs w:val="20"/>
        </w:rPr>
      </w:pPr>
      <w:r w:rsidRPr="002B07CB">
        <w:rPr>
          <w:rFonts w:ascii="Arial" w:hAnsi="Arial" w:cs="Arial"/>
          <w:color w:val="000000"/>
          <w:sz w:val="20"/>
          <w:szCs w:val="20"/>
        </w:rPr>
        <w:t xml:space="preserve">The trades can be </w:t>
      </w:r>
      <w:r w:rsidR="00AA6745" w:rsidRPr="002B07CB">
        <w:rPr>
          <w:rFonts w:ascii="Arial" w:hAnsi="Arial" w:cs="Arial"/>
          <w:color w:val="000000"/>
          <w:sz w:val="20"/>
          <w:szCs w:val="20"/>
        </w:rPr>
        <w:t>allocated:</w:t>
      </w:r>
    </w:p>
    <w:p w:rsidR="00060DB6" w:rsidRPr="002B07CB" w:rsidRDefault="00AA6745" w:rsidP="00FA2CC8">
      <w:pPr>
        <w:numPr>
          <w:ilvl w:val="0"/>
          <w:numId w:val="23"/>
        </w:numPr>
        <w:spacing w:before="120" w:after="120"/>
        <w:jc w:val="both"/>
        <w:rPr>
          <w:rFonts w:ascii="Arial" w:hAnsi="Arial" w:cs="Arial"/>
          <w:color w:val="000000"/>
          <w:sz w:val="20"/>
          <w:szCs w:val="20"/>
        </w:rPr>
      </w:pPr>
      <w:r>
        <w:rPr>
          <w:rFonts w:ascii="Arial" w:hAnsi="Arial" w:cs="Arial"/>
          <w:color w:val="000000"/>
          <w:sz w:val="20"/>
          <w:szCs w:val="20"/>
        </w:rPr>
        <w:t>E</w:t>
      </w:r>
      <w:r w:rsidR="00060DB6" w:rsidRPr="002B07CB">
        <w:rPr>
          <w:rFonts w:ascii="Arial" w:hAnsi="Arial" w:cs="Arial"/>
          <w:color w:val="000000"/>
          <w:sz w:val="20"/>
          <w:szCs w:val="20"/>
        </w:rPr>
        <w:t>qually between selected funds</w:t>
      </w:r>
    </w:p>
    <w:p w:rsidR="00060DB6" w:rsidRPr="002B07CB" w:rsidRDefault="00AA6745" w:rsidP="00FA2CC8">
      <w:pPr>
        <w:numPr>
          <w:ilvl w:val="0"/>
          <w:numId w:val="23"/>
        </w:numPr>
        <w:spacing w:before="120" w:after="120"/>
        <w:jc w:val="both"/>
        <w:rPr>
          <w:rFonts w:ascii="Arial" w:hAnsi="Arial" w:cs="Arial"/>
          <w:color w:val="000000"/>
          <w:sz w:val="20"/>
          <w:szCs w:val="20"/>
        </w:rPr>
      </w:pPr>
      <w:r>
        <w:rPr>
          <w:rFonts w:ascii="Arial" w:hAnsi="Arial" w:cs="Arial"/>
          <w:color w:val="000000"/>
          <w:sz w:val="20"/>
          <w:szCs w:val="20"/>
        </w:rPr>
        <w:lastRenderedPageBreak/>
        <w:t>O</w:t>
      </w:r>
      <w:r w:rsidR="00060DB6" w:rsidRPr="002B07CB">
        <w:rPr>
          <w:rFonts w:ascii="Arial" w:hAnsi="Arial" w:cs="Arial"/>
          <w:color w:val="000000"/>
          <w:sz w:val="20"/>
          <w:szCs w:val="20"/>
        </w:rPr>
        <w:t>n a pro-rata basis</w:t>
      </w:r>
    </w:p>
    <w:p w:rsidR="00060DB6" w:rsidRPr="002B07CB" w:rsidRDefault="00AA6745" w:rsidP="00FA2CC8">
      <w:pPr>
        <w:numPr>
          <w:ilvl w:val="0"/>
          <w:numId w:val="23"/>
        </w:numPr>
        <w:spacing w:before="120" w:after="120"/>
        <w:jc w:val="both"/>
        <w:rPr>
          <w:rFonts w:ascii="Arial" w:hAnsi="Arial" w:cs="Arial"/>
          <w:color w:val="000000"/>
          <w:sz w:val="20"/>
          <w:szCs w:val="20"/>
        </w:rPr>
      </w:pPr>
      <w:r>
        <w:rPr>
          <w:rFonts w:ascii="Arial" w:hAnsi="Arial" w:cs="Arial"/>
          <w:color w:val="000000"/>
          <w:sz w:val="20"/>
          <w:szCs w:val="20"/>
        </w:rPr>
        <w:t>O</w:t>
      </w:r>
      <w:r w:rsidR="00060DB6" w:rsidRPr="002B07CB">
        <w:rPr>
          <w:rFonts w:ascii="Arial" w:hAnsi="Arial" w:cs="Arial"/>
          <w:color w:val="000000"/>
          <w:sz w:val="20"/>
          <w:szCs w:val="20"/>
        </w:rPr>
        <w:t>n a random basis</w:t>
      </w:r>
    </w:p>
    <w:p w:rsidR="00060DB6" w:rsidRDefault="00AA6745" w:rsidP="00FA2CC8">
      <w:pPr>
        <w:numPr>
          <w:ilvl w:val="0"/>
          <w:numId w:val="23"/>
        </w:numPr>
        <w:spacing w:before="120" w:after="120"/>
        <w:jc w:val="both"/>
        <w:rPr>
          <w:rFonts w:ascii="Arial" w:hAnsi="Arial" w:cs="Arial"/>
          <w:color w:val="000000"/>
          <w:sz w:val="20"/>
          <w:szCs w:val="20"/>
        </w:rPr>
      </w:pPr>
      <w:r>
        <w:rPr>
          <w:rFonts w:ascii="Arial" w:hAnsi="Arial" w:cs="Arial"/>
          <w:color w:val="000000"/>
          <w:sz w:val="20"/>
          <w:szCs w:val="20"/>
        </w:rPr>
        <w:t>B</w:t>
      </w:r>
      <w:r w:rsidR="00060DB6" w:rsidRPr="002B07CB">
        <w:rPr>
          <w:rFonts w:ascii="Arial" w:hAnsi="Arial" w:cs="Arial"/>
          <w:color w:val="000000"/>
          <w:sz w:val="20"/>
          <w:szCs w:val="20"/>
        </w:rPr>
        <w:t xml:space="preserve">ased on special instructions from the </w:t>
      </w:r>
      <w:r w:rsidR="00060DB6">
        <w:rPr>
          <w:rFonts w:ascii="Arial" w:hAnsi="Arial" w:cs="Arial"/>
          <w:color w:val="000000"/>
          <w:sz w:val="20"/>
          <w:szCs w:val="20"/>
        </w:rPr>
        <w:t>portfolio</w:t>
      </w:r>
      <w:r w:rsidR="00060DB6" w:rsidRPr="002B07CB">
        <w:rPr>
          <w:rFonts w:ascii="Arial" w:hAnsi="Arial" w:cs="Arial"/>
          <w:color w:val="000000"/>
          <w:sz w:val="20"/>
          <w:szCs w:val="20"/>
        </w:rPr>
        <w:t xml:space="preserve"> manager</w:t>
      </w:r>
    </w:p>
    <w:p w:rsidR="00060DB6" w:rsidRPr="002B07CB" w:rsidRDefault="00060DB6" w:rsidP="00FA2CC8">
      <w:pPr>
        <w:spacing w:before="120" w:after="120"/>
        <w:jc w:val="both"/>
        <w:rPr>
          <w:rFonts w:ascii="Arial" w:hAnsi="Arial" w:cs="Arial"/>
          <w:color w:val="000000"/>
          <w:sz w:val="20"/>
          <w:szCs w:val="20"/>
        </w:rPr>
      </w:pPr>
      <w:r w:rsidRPr="002B07CB">
        <w:rPr>
          <w:rFonts w:ascii="Arial" w:hAnsi="Arial" w:cs="Arial"/>
          <w:color w:val="000000"/>
          <w:sz w:val="20"/>
          <w:szCs w:val="20"/>
        </w:rPr>
        <w:t xml:space="preserve">The determinants </w:t>
      </w:r>
      <w:r>
        <w:rPr>
          <w:rFonts w:ascii="Arial" w:hAnsi="Arial" w:cs="Arial"/>
          <w:color w:val="000000"/>
          <w:sz w:val="20"/>
          <w:szCs w:val="20"/>
        </w:rPr>
        <w:t xml:space="preserve">used by the portfolio manager </w:t>
      </w:r>
      <w:r w:rsidRPr="002B07CB">
        <w:rPr>
          <w:rFonts w:ascii="Arial" w:hAnsi="Arial" w:cs="Arial"/>
          <w:color w:val="000000"/>
          <w:sz w:val="20"/>
          <w:szCs w:val="20"/>
        </w:rPr>
        <w:t>to decide whether to allocate a particular trade to a fund or not are</w:t>
      </w:r>
    </w:p>
    <w:p w:rsidR="00060DB6" w:rsidRPr="002B07CB" w:rsidRDefault="00060DB6" w:rsidP="00FA2CC8">
      <w:pPr>
        <w:numPr>
          <w:ilvl w:val="0"/>
          <w:numId w:val="23"/>
        </w:numPr>
        <w:spacing w:before="120" w:after="120"/>
        <w:jc w:val="both"/>
        <w:rPr>
          <w:rFonts w:ascii="Arial" w:hAnsi="Arial" w:cs="Arial"/>
          <w:color w:val="000000"/>
          <w:sz w:val="20"/>
          <w:szCs w:val="20"/>
        </w:rPr>
      </w:pPr>
      <w:r w:rsidRPr="002B07CB">
        <w:rPr>
          <w:rFonts w:ascii="Arial" w:hAnsi="Arial" w:cs="Arial"/>
          <w:color w:val="000000"/>
          <w:sz w:val="20"/>
          <w:szCs w:val="20"/>
        </w:rPr>
        <w:t>Overall market exposure of the fund</w:t>
      </w:r>
    </w:p>
    <w:p w:rsidR="00060DB6" w:rsidRPr="002B07CB" w:rsidRDefault="00060DB6" w:rsidP="00FA2CC8">
      <w:pPr>
        <w:numPr>
          <w:ilvl w:val="0"/>
          <w:numId w:val="23"/>
        </w:numPr>
        <w:spacing w:before="120" w:after="120"/>
        <w:jc w:val="both"/>
        <w:rPr>
          <w:rFonts w:ascii="Arial" w:hAnsi="Arial" w:cs="Arial"/>
          <w:color w:val="000000"/>
          <w:sz w:val="20"/>
          <w:szCs w:val="20"/>
        </w:rPr>
      </w:pPr>
      <w:r w:rsidRPr="002B07CB">
        <w:rPr>
          <w:rFonts w:ascii="Arial" w:hAnsi="Arial" w:cs="Arial"/>
          <w:color w:val="000000"/>
          <w:sz w:val="20"/>
          <w:szCs w:val="20"/>
        </w:rPr>
        <w:t xml:space="preserve">Industry sector exposure </w:t>
      </w:r>
    </w:p>
    <w:p w:rsidR="00060DB6" w:rsidRPr="002B07CB" w:rsidRDefault="00060DB6" w:rsidP="00FA2CC8">
      <w:pPr>
        <w:numPr>
          <w:ilvl w:val="0"/>
          <w:numId w:val="23"/>
        </w:numPr>
        <w:spacing w:before="120" w:after="120"/>
        <w:jc w:val="both"/>
        <w:rPr>
          <w:rFonts w:ascii="Arial" w:hAnsi="Arial" w:cs="Arial"/>
          <w:color w:val="000000"/>
          <w:sz w:val="20"/>
          <w:szCs w:val="20"/>
        </w:rPr>
      </w:pPr>
      <w:r w:rsidRPr="002B07CB">
        <w:rPr>
          <w:rFonts w:ascii="Arial" w:hAnsi="Arial" w:cs="Arial"/>
          <w:color w:val="000000"/>
          <w:sz w:val="20"/>
          <w:szCs w:val="20"/>
        </w:rPr>
        <w:t>Cash availability</w:t>
      </w:r>
    </w:p>
    <w:p w:rsidR="00060DB6" w:rsidRPr="002B07CB" w:rsidRDefault="00060DB6" w:rsidP="00FA2CC8">
      <w:pPr>
        <w:spacing w:before="120" w:after="120"/>
        <w:jc w:val="both"/>
        <w:rPr>
          <w:rFonts w:ascii="Arial" w:hAnsi="Arial" w:cs="Arial"/>
          <w:color w:val="000000"/>
          <w:sz w:val="20"/>
          <w:szCs w:val="20"/>
        </w:rPr>
      </w:pPr>
      <w:r w:rsidRPr="002B07CB">
        <w:rPr>
          <w:rFonts w:ascii="Arial" w:hAnsi="Arial" w:cs="Arial"/>
          <w:color w:val="000000"/>
          <w:sz w:val="20"/>
          <w:szCs w:val="20"/>
        </w:rPr>
        <w:t xml:space="preserve">Once the OMS receives the NOEs from the broker, the fund trader selects the NOEs that need to be allocated, and also the fund accounts to which the trades need to be allocated. Based on the instructions from the portfolio manager, the trader then allocates the trades to the selected fund accounts in one of the above mentioned ways. Normally the allocations are mentioned in either percentage terms or absolute terms. </w:t>
      </w:r>
    </w:p>
    <w:p w:rsidR="00060DB6" w:rsidRPr="002B07CB" w:rsidRDefault="00060DB6" w:rsidP="00FA2CC8">
      <w:pPr>
        <w:spacing w:before="120" w:after="120"/>
        <w:jc w:val="both"/>
        <w:rPr>
          <w:rFonts w:ascii="Arial" w:hAnsi="Arial" w:cs="Arial"/>
          <w:color w:val="000000"/>
          <w:sz w:val="20"/>
          <w:szCs w:val="20"/>
        </w:rPr>
      </w:pPr>
      <w:r w:rsidRPr="002B07CB">
        <w:rPr>
          <w:rFonts w:ascii="Arial" w:hAnsi="Arial" w:cs="Arial"/>
          <w:color w:val="000000"/>
          <w:sz w:val="20"/>
          <w:szCs w:val="20"/>
        </w:rPr>
        <w:t xml:space="preserve">Allocation information needs to be communicated by the fund trader to the </w:t>
      </w:r>
      <w:r>
        <w:rPr>
          <w:rFonts w:ascii="Arial" w:hAnsi="Arial" w:cs="Arial"/>
          <w:color w:val="000000"/>
          <w:sz w:val="20"/>
          <w:szCs w:val="20"/>
        </w:rPr>
        <w:t>broker-dealer</w:t>
      </w:r>
      <w:r w:rsidRPr="002B07CB">
        <w:rPr>
          <w:rFonts w:ascii="Arial" w:hAnsi="Arial" w:cs="Arial"/>
          <w:color w:val="000000"/>
          <w:sz w:val="20"/>
          <w:szCs w:val="20"/>
        </w:rPr>
        <w:t xml:space="preserve">. This can be done either before the trade or after the trade using FIX protocol or other external systems designed specifically for this purpose. Allocation can be communicated by the </w:t>
      </w:r>
      <w:r w:rsidR="009A4FA9">
        <w:rPr>
          <w:rFonts w:ascii="Arial" w:hAnsi="Arial" w:cs="Arial"/>
          <w:color w:val="000000"/>
          <w:sz w:val="20"/>
          <w:szCs w:val="20"/>
        </w:rPr>
        <w:t xml:space="preserve">Investment manager </w:t>
      </w:r>
      <w:r w:rsidRPr="002B07CB">
        <w:rPr>
          <w:rFonts w:ascii="Arial" w:hAnsi="Arial" w:cs="Arial"/>
          <w:color w:val="000000"/>
          <w:sz w:val="20"/>
          <w:szCs w:val="20"/>
        </w:rPr>
        <w:t>firm in three different ways.</w:t>
      </w:r>
    </w:p>
    <w:p w:rsidR="00060DB6" w:rsidRPr="002B07CB" w:rsidRDefault="00060DB6" w:rsidP="00FA2CC8">
      <w:pPr>
        <w:spacing w:before="120" w:after="120"/>
        <w:jc w:val="both"/>
        <w:rPr>
          <w:rFonts w:ascii="Arial" w:hAnsi="Arial" w:cs="Arial"/>
          <w:color w:val="000000"/>
          <w:sz w:val="20"/>
          <w:szCs w:val="20"/>
        </w:rPr>
      </w:pPr>
      <w:r w:rsidRPr="002B07CB">
        <w:rPr>
          <w:rFonts w:ascii="Arial" w:hAnsi="Arial" w:cs="Arial"/>
          <w:color w:val="000000"/>
          <w:sz w:val="20"/>
          <w:szCs w:val="20"/>
        </w:rPr>
        <w:t xml:space="preserve">Pre-trade allocated order – where the allocation information is sent along with the order </w:t>
      </w:r>
    </w:p>
    <w:p w:rsidR="00060DB6" w:rsidRPr="002B07CB" w:rsidRDefault="00060DB6" w:rsidP="00FA2CC8">
      <w:pPr>
        <w:spacing w:before="120" w:after="120"/>
        <w:jc w:val="both"/>
        <w:rPr>
          <w:rFonts w:ascii="Arial" w:hAnsi="Arial" w:cs="Arial"/>
          <w:color w:val="000000"/>
          <w:sz w:val="20"/>
          <w:szCs w:val="20"/>
        </w:rPr>
      </w:pPr>
      <w:r w:rsidRPr="002B07CB">
        <w:rPr>
          <w:rFonts w:ascii="Arial" w:hAnsi="Arial" w:cs="Arial"/>
          <w:color w:val="000000"/>
          <w:sz w:val="20"/>
          <w:szCs w:val="20"/>
        </w:rPr>
        <w:t xml:space="preserve">Pre-trade allocation – where the allocation information is sent as a separate message before the order is executed </w:t>
      </w:r>
    </w:p>
    <w:p w:rsidR="00060DB6" w:rsidRPr="002B07CB" w:rsidRDefault="00060DB6" w:rsidP="00FA2CC8">
      <w:pPr>
        <w:spacing w:before="120" w:after="120"/>
        <w:jc w:val="both"/>
        <w:rPr>
          <w:rFonts w:ascii="Arial" w:hAnsi="Arial" w:cs="Arial"/>
          <w:color w:val="000000"/>
          <w:sz w:val="20"/>
          <w:szCs w:val="20"/>
        </w:rPr>
      </w:pPr>
      <w:r w:rsidRPr="002B07CB">
        <w:rPr>
          <w:rFonts w:ascii="Arial" w:hAnsi="Arial" w:cs="Arial"/>
          <w:color w:val="000000"/>
          <w:sz w:val="20"/>
          <w:szCs w:val="20"/>
        </w:rPr>
        <w:t>Post-trade allocation – where the allocation information is sent after the trade is executed</w:t>
      </w:r>
    </w:p>
    <w:p w:rsidR="00060DB6" w:rsidRPr="00060DB6" w:rsidRDefault="00060DB6" w:rsidP="00060DB6"/>
    <w:p w:rsidR="004A31D3" w:rsidRPr="009413F6" w:rsidRDefault="004A31D3" w:rsidP="003E3FB6">
      <w:pPr>
        <w:pStyle w:val="Heading2"/>
        <w:keepNext w:val="0"/>
        <w:spacing w:before="120" w:after="120" w:line="240" w:lineRule="atLeast"/>
        <w:ind w:left="0" w:firstLine="0"/>
        <w:jc w:val="both"/>
      </w:pPr>
      <w:bookmarkStart w:id="99" w:name="_Toc134366497"/>
      <w:bookmarkStart w:id="100" w:name="_Toc226530532"/>
      <w:r w:rsidRPr="009413F6">
        <w:t>Portfolio Accounting</w:t>
      </w:r>
      <w:bookmarkEnd w:id="93"/>
      <w:bookmarkEnd w:id="99"/>
      <w:bookmarkEnd w:id="100"/>
    </w:p>
    <w:p w:rsidR="004A31D3"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One of the key functions of the back office in </w:t>
      </w:r>
      <w:r w:rsidR="00086E19">
        <w:rPr>
          <w:rFonts w:ascii="Arial" w:hAnsi="Arial" w:cs="Arial"/>
          <w:sz w:val="20"/>
          <w:szCs w:val="20"/>
        </w:rPr>
        <w:t>an investment management</w:t>
      </w:r>
      <w:r w:rsidRPr="009413F6">
        <w:rPr>
          <w:rFonts w:ascii="Arial" w:hAnsi="Arial" w:cs="Arial"/>
          <w:sz w:val="20"/>
          <w:szCs w:val="20"/>
        </w:rPr>
        <w:t xml:space="preserve"> firm is to ensure that proper accounting for the transactions takes place. This is complex, yet important, since usually there are different types of customers, different securities, and different tax lots and therefore there are a variety of accounting rules used for them.</w:t>
      </w:r>
    </w:p>
    <w:p w:rsidR="00086E19" w:rsidRDefault="00086E19" w:rsidP="006D5183">
      <w:pPr>
        <w:pStyle w:val="Heading3"/>
        <w:keepNext w:val="0"/>
        <w:tabs>
          <w:tab w:val="clear" w:pos="6444"/>
          <w:tab w:val="num" w:pos="540"/>
        </w:tabs>
        <w:spacing w:before="120" w:after="120" w:line="240" w:lineRule="atLeast"/>
        <w:ind w:left="0" w:firstLine="0"/>
        <w:jc w:val="both"/>
      </w:pPr>
      <w:r>
        <w:t>Accounting for Pooled Investment Vehicles – Net Asset Value</w:t>
      </w:r>
    </w:p>
    <w:p w:rsidR="00086E19" w:rsidRDefault="00086E19" w:rsidP="00086E19">
      <w:pPr>
        <w:pStyle w:val="Cog-body"/>
        <w:ind w:left="0"/>
      </w:pPr>
    </w:p>
    <w:p w:rsidR="00086E19" w:rsidRDefault="00086E19" w:rsidP="00FA2CC8">
      <w:pPr>
        <w:pStyle w:val="Cog-body"/>
        <w:spacing w:line="240" w:lineRule="auto"/>
        <w:ind w:left="0"/>
      </w:pPr>
      <w:r>
        <w:t xml:space="preserve">Given the fact that a Pooled Investment Vehicle invests more or less its entire corpus primarily in such assets that undergo change in value </w:t>
      </w:r>
      <w:proofErr w:type="spellStart"/>
      <w:r>
        <w:t>everyday</w:t>
      </w:r>
      <w:proofErr w:type="spellEnd"/>
      <w:r>
        <w:t>, the overall value of its portfolio keeps varying dynamically.   In turn, this means, the pro rata value of units held by individual investors also keeps changing from day to day.  So, it is essential that pooled funds evaluate and publish the value of the units issued by them to their investors. This value is arrived on the basis of Net Asset Value (NAV) computation.</w:t>
      </w:r>
    </w:p>
    <w:p w:rsidR="00086E19" w:rsidRDefault="00086E19" w:rsidP="00FA2CC8">
      <w:pPr>
        <w:pStyle w:val="Cog-body"/>
        <w:spacing w:line="240" w:lineRule="auto"/>
        <w:ind w:left="0"/>
      </w:pPr>
    </w:p>
    <w:p w:rsidR="00086E19" w:rsidRDefault="00086E19" w:rsidP="00FA2CC8">
      <w:pPr>
        <w:pStyle w:val="Cog-body"/>
        <w:spacing w:line="240" w:lineRule="auto"/>
        <w:ind w:left="0"/>
      </w:pPr>
      <w:r>
        <w:t>NAV is the actual value of the investments made by the pooled fund for each unit issued by it. It changes almost on a daily basis as the market prices of individual securities in its portfolio fluctuate. It is computed by the formula given below:</w:t>
      </w:r>
    </w:p>
    <w:p w:rsidR="00086E19" w:rsidRDefault="00086E19" w:rsidP="00FA2CC8">
      <w:pPr>
        <w:pStyle w:val="Cog-body"/>
        <w:spacing w:line="240" w:lineRule="auto"/>
        <w:ind w:left="0"/>
      </w:pPr>
    </w:p>
    <w:p w:rsidR="00086E19" w:rsidRDefault="00086E19" w:rsidP="00FA2CC8">
      <w:pPr>
        <w:pStyle w:val="Cog-body"/>
        <w:spacing w:line="240" w:lineRule="auto"/>
        <w:ind w:left="0"/>
        <w:rPr>
          <w:u w:val="single"/>
        </w:rPr>
      </w:pPr>
      <w:r>
        <w:t xml:space="preserve">NAV = </w:t>
      </w:r>
      <w:r>
        <w:tab/>
      </w:r>
      <w:r>
        <w:rPr>
          <w:u w:val="single"/>
        </w:rPr>
        <w:t>Market Value of Asset s – Liabilities</w:t>
      </w:r>
    </w:p>
    <w:p w:rsidR="00086E19" w:rsidRDefault="00086E19" w:rsidP="00FA2CC8">
      <w:pPr>
        <w:pStyle w:val="Cog-body"/>
        <w:spacing w:line="240" w:lineRule="auto"/>
        <w:ind w:left="0"/>
      </w:pPr>
      <w:r>
        <w:tab/>
      </w:r>
      <w:r w:rsidR="00AA6745">
        <w:t xml:space="preserve">          </w:t>
      </w:r>
      <w:r>
        <w:t>Number of units outstanding</w:t>
      </w:r>
    </w:p>
    <w:p w:rsidR="00086E19" w:rsidRDefault="00086E19" w:rsidP="00AF71C9">
      <w:pPr>
        <w:pStyle w:val="Cog-body"/>
        <w:spacing w:line="240" w:lineRule="auto"/>
        <w:ind w:left="0"/>
      </w:pPr>
    </w:p>
    <w:p w:rsidR="00086E19" w:rsidRDefault="00086E19" w:rsidP="00FA2CC8">
      <w:pPr>
        <w:pStyle w:val="Cog-body"/>
        <w:spacing w:line="240" w:lineRule="auto"/>
        <w:ind w:left="0"/>
      </w:pPr>
      <w:r>
        <w:t>More specifically it will be:</w:t>
      </w:r>
    </w:p>
    <w:p w:rsidR="00086E19" w:rsidRDefault="00086E19" w:rsidP="00FA2CC8">
      <w:pPr>
        <w:pStyle w:val="Cog-body"/>
        <w:spacing w:line="240" w:lineRule="auto"/>
      </w:pPr>
    </w:p>
    <w:p w:rsidR="00086E19" w:rsidRDefault="00086E19" w:rsidP="00FA2CC8">
      <w:pPr>
        <w:pStyle w:val="Cog-body"/>
        <w:spacing w:line="240" w:lineRule="auto"/>
        <w:ind w:hanging="720"/>
      </w:pPr>
      <w:r>
        <w:t>NAV = (Value of investments + Receivables +Accrued Income – Accrued Expenses +Other Current Assets – Liabilities) / Number of units outstanding</w:t>
      </w:r>
    </w:p>
    <w:p w:rsidR="00086E19" w:rsidRDefault="00086E19" w:rsidP="00FA2CC8">
      <w:pPr>
        <w:pStyle w:val="Cog-body"/>
        <w:spacing w:line="240" w:lineRule="auto"/>
      </w:pPr>
    </w:p>
    <w:p w:rsidR="00086E19" w:rsidRDefault="00086E19" w:rsidP="00FA2CC8">
      <w:pPr>
        <w:pStyle w:val="Cog-body"/>
        <w:spacing w:line="240" w:lineRule="auto"/>
        <w:ind w:left="0"/>
      </w:pPr>
      <w:r>
        <w:t>Therefore a PIV’s NAV would be affected by 4 sets of factors:</w:t>
      </w:r>
    </w:p>
    <w:p w:rsidR="00086E19" w:rsidRDefault="00086E19" w:rsidP="00FA2CC8">
      <w:pPr>
        <w:pStyle w:val="Cog-body"/>
        <w:numPr>
          <w:ilvl w:val="0"/>
          <w:numId w:val="24"/>
        </w:numPr>
        <w:spacing w:before="40" w:after="40" w:line="240" w:lineRule="auto"/>
      </w:pPr>
      <w:r>
        <w:t>Purchase and sale of investment securities</w:t>
      </w:r>
    </w:p>
    <w:p w:rsidR="00086E19" w:rsidRDefault="00086E19" w:rsidP="00FA2CC8">
      <w:pPr>
        <w:pStyle w:val="Cog-body"/>
        <w:numPr>
          <w:ilvl w:val="0"/>
          <w:numId w:val="24"/>
        </w:numPr>
        <w:spacing w:before="40" w:after="40" w:line="240" w:lineRule="auto"/>
      </w:pPr>
      <w:r>
        <w:t>Valuation of all investment securities (portfolio) held</w:t>
      </w:r>
    </w:p>
    <w:p w:rsidR="00086E19" w:rsidRDefault="00086E19" w:rsidP="00FA2CC8">
      <w:pPr>
        <w:pStyle w:val="Cog-body"/>
        <w:numPr>
          <w:ilvl w:val="0"/>
          <w:numId w:val="24"/>
        </w:numPr>
        <w:spacing w:before="40" w:after="40" w:line="240" w:lineRule="auto"/>
      </w:pPr>
      <w:r>
        <w:t>Other assets and liabilities</w:t>
      </w:r>
    </w:p>
    <w:p w:rsidR="00086E19" w:rsidRDefault="00086E19" w:rsidP="00FA2CC8">
      <w:pPr>
        <w:pStyle w:val="Cog-body"/>
        <w:numPr>
          <w:ilvl w:val="0"/>
          <w:numId w:val="24"/>
        </w:numPr>
        <w:spacing w:before="40" w:after="40" w:line="240" w:lineRule="auto"/>
      </w:pPr>
      <w:r>
        <w:t>Units sold or redeemed</w:t>
      </w:r>
    </w:p>
    <w:p w:rsidR="00086E19" w:rsidRDefault="00086E19" w:rsidP="00086E19">
      <w:pPr>
        <w:pStyle w:val="Cog-body"/>
        <w:ind w:left="1800"/>
      </w:pPr>
    </w:p>
    <w:p w:rsidR="004A31D3" w:rsidRDefault="006B5942" w:rsidP="006D5183">
      <w:pPr>
        <w:pStyle w:val="Heading3"/>
        <w:keepNext w:val="0"/>
        <w:tabs>
          <w:tab w:val="clear" w:pos="6444"/>
          <w:tab w:val="num" w:pos="540"/>
        </w:tabs>
        <w:spacing w:before="120" w:after="120" w:line="240" w:lineRule="atLeast"/>
        <w:ind w:left="0" w:firstLine="0"/>
        <w:jc w:val="both"/>
      </w:pPr>
      <w:r w:rsidRPr="006B5942">
        <w:t>K</w:t>
      </w:r>
      <w:r w:rsidR="004A31D3" w:rsidRPr="006B5942">
        <w:t xml:space="preserve">ey </w:t>
      </w:r>
      <w:r w:rsidRPr="006B5942">
        <w:t>Concepts of Portfolio Accounting</w:t>
      </w:r>
    </w:p>
    <w:p w:rsidR="00EB6227" w:rsidRPr="00EB6227" w:rsidRDefault="00EB6227" w:rsidP="00FA2CC8">
      <w:pPr>
        <w:pStyle w:val="body"/>
        <w:spacing w:before="120" w:after="120" w:line="240" w:lineRule="auto"/>
        <w:jc w:val="both"/>
        <w:rPr>
          <w:rFonts w:ascii="Arial" w:hAnsi="Arial" w:cs="Arial"/>
          <w:sz w:val="20"/>
          <w:szCs w:val="20"/>
        </w:rPr>
      </w:pPr>
      <w:r>
        <w:rPr>
          <w:rFonts w:ascii="Arial" w:hAnsi="Arial" w:cs="Arial"/>
          <w:sz w:val="20"/>
          <w:szCs w:val="20"/>
        </w:rPr>
        <w:t>Portfolio</w:t>
      </w:r>
      <w:r w:rsidRPr="00EB6227">
        <w:rPr>
          <w:rFonts w:ascii="Arial" w:hAnsi="Arial" w:cs="Arial"/>
          <w:sz w:val="20"/>
          <w:szCs w:val="20"/>
        </w:rPr>
        <w:t xml:space="preserve"> Accounting is an important component of portfolio management process, as it constitutes the accounting of trade, computation of NAV, valuation of portfolios, taxation related issues, measuring &amp; evaluating fund performance and reporting &amp; compliance activities of a fund. Further, it provides inputs for portfolio performance analysis and other management decisions. </w:t>
      </w:r>
      <w:r w:rsidR="00735E1D">
        <w:rPr>
          <w:rFonts w:ascii="Arial" w:hAnsi="Arial" w:cs="Arial"/>
          <w:sz w:val="20"/>
          <w:szCs w:val="20"/>
        </w:rPr>
        <w:t>The terms Portfolio</w:t>
      </w:r>
      <w:r w:rsidRPr="00EB6227">
        <w:rPr>
          <w:rFonts w:ascii="Arial" w:hAnsi="Arial" w:cs="Arial"/>
          <w:sz w:val="20"/>
          <w:szCs w:val="20"/>
        </w:rPr>
        <w:t xml:space="preserve"> Accounting and Fund Accounting are often used interchangeably.</w:t>
      </w:r>
      <w:r w:rsidR="00735E1D">
        <w:rPr>
          <w:rFonts w:ascii="Arial" w:hAnsi="Arial" w:cs="Arial"/>
          <w:sz w:val="20"/>
          <w:szCs w:val="20"/>
        </w:rPr>
        <w:t xml:space="preserve"> Below </w:t>
      </w:r>
      <w:r w:rsidR="0016188A">
        <w:rPr>
          <w:rFonts w:ascii="Arial" w:hAnsi="Arial" w:cs="Arial"/>
          <w:sz w:val="20"/>
          <w:szCs w:val="20"/>
        </w:rPr>
        <w:t>are the key concepts in P</w:t>
      </w:r>
      <w:r w:rsidR="00735E1D">
        <w:rPr>
          <w:rFonts w:ascii="Arial" w:hAnsi="Arial" w:cs="Arial"/>
          <w:sz w:val="20"/>
          <w:szCs w:val="20"/>
        </w:rPr>
        <w:t xml:space="preserve">ortfolio </w:t>
      </w:r>
      <w:r w:rsidR="0016188A">
        <w:rPr>
          <w:rFonts w:ascii="Arial" w:hAnsi="Arial" w:cs="Arial"/>
          <w:sz w:val="20"/>
          <w:szCs w:val="20"/>
        </w:rPr>
        <w:t>A</w:t>
      </w:r>
      <w:r w:rsidR="00735E1D">
        <w:rPr>
          <w:rFonts w:ascii="Arial" w:hAnsi="Arial" w:cs="Arial"/>
          <w:sz w:val="20"/>
          <w:szCs w:val="20"/>
        </w:rPr>
        <w:t>ccounting.</w:t>
      </w:r>
    </w:p>
    <w:p w:rsidR="004A31D3" w:rsidRPr="00936708" w:rsidRDefault="004A31D3" w:rsidP="003E3FB6">
      <w:pPr>
        <w:pStyle w:val="Heading4"/>
        <w:keepNext w:val="0"/>
        <w:spacing w:before="120" w:after="120" w:line="240" w:lineRule="atLeast"/>
        <w:jc w:val="both"/>
        <w:rPr>
          <w:rFonts w:cs="Arial"/>
          <w:b/>
          <w:sz w:val="22"/>
          <w:szCs w:val="22"/>
        </w:rPr>
      </w:pPr>
      <w:r w:rsidRPr="00936708">
        <w:rPr>
          <w:rFonts w:cs="Arial"/>
          <w:b/>
          <w:sz w:val="22"/>
          <w:szCs w:val="22"/>
        </w:rPr>
        <w:t>Accrual</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Accrual method of accounting recognizes income in the period it is earned and expense in the period it is incurred, NOT in the period when the cash inflow (due to income) and outflow (due to expense) takes place.</w:t>
      </w:r>
      <w:r w:rsidR="00AF71C9">
        <w:rPr>
          <w:rFonts w:ascii="Arial" w:hAnsi="Arial" w:cs="Arial"/>
          <w:sz w:val="20"/>
          <w:szCs w:val="20"/>
        </w:rPr>
        <w:t xml:space="preserve"> </w:t>
      </w:r>
      <w:r w:rsidRPr="009413F6">
        <w:rPr>
          <w:rFonts w:ascii="Arial" w:hAnsi="Arial" w:cs="Arial"/>
          <w:sz w:val="20"/>
          <w:szCs w:val="20"/>
        </w:rPr>
        <w:t>Similarly, expenses are also accrued when necessary to calculate the Net Asset Value (NAV) of each unit of a mutual fund.</w:t>
      </w:r>
    </w:p>
    <w:p w:rsidR="004A31D3" w:rsidRPr="00936708" w:rsidRDefault="004A31D3" w:rsidP="003E3FB6">
      <w:pPr>
        <w:pStyle w:val="Heading4"/>
        <w:keepNext w:val="0"/>
        <w:spacing w:before="120" w:after="120" w:line="240" w:lineRule="atLeast"/>
        <w:jc w:val="both"/>
        <w:rPr>
          <w:rFonts w:cs="Arial"/>
          <w:b/>
          <w:sz w:val="22"/>
          <w:szCs w:val="22"/>
        </w:rPr>
      </w:pPr>
      <w:r w:rsidRPr="00936708">
        <w:rPr>
          <w:rFonts w:cs="Arial"/>
          <w:b/>
          <w:sz w:val="22"/>
          <w:szCs w:val="22"/>
        </w:rPr>
        <w:t>Amortization</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This term connotes different meanings in accounting, depending on the context in which it is used. Let us understand its usage for determining the NAV. </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The NAV is determined by calculating the current value of short-term debt instruments relative to their maturity value. For instance suppose the mutual fund had invested in short-term bonds whose total maturity value is Rs.1 </w:t>
      </w:r>
      <w:proofErr w:type="spellStart"/>
      <w:r w:rsidRPr="009413F6">
        <w:rPr>
          <w:rFonts w:ascii="Arial" w:hAnsi="Arial" w:cs="Arial"/>
          <w:sz w:val="20"/>
          <w:szCs w:val="20"/>
        </w:rPr>
        <w:t>crore</w:t>
      </w:r>
      <w:proofErr w:type="spellEnd"/>
      <w:r w:rsidRPr="009413F6">
        <w:rPr>
          <w:rFonts w:ascii="Arial" w:hAnsi="Arial" w:cs="Arial"/>
          <w:sz w:val="20"/>
          <w:szCs w:val="20"/>
        </w:rPr>
        <w:t xml:space="preserve">, but the current value of these bonds is Rs.1.3 </w:t>
      </w:r>
      <w:proofErr w:type="spellStart"/>
      <w:r w:rsidRPr="009413F6">
        <w:rPr>
          <w:rFonts w:ascii="Arial" w:hAnsi="Arial" w:cs="Arial"/>
          <w:sz w:val="20"/>
          <w:szCs w:val="20"/>
        </w:rPr>
        <w:t>crores</w:t>
      </w:r>
      <w:proofErr w:type="spellEnd"/>
      <w:r w:rsidRPr="009413F6">
        <w:rPr>
          <w:rFonts w:ascii="Arial" w:hAnsi="Arial" w:cs="Arial"/>
          <w:sz w:val="20"/>
          <w:szCs w:val="20"/>
        </w:rPr>
        <w:t>. The NAV, as calculated by the amortization method, is therefore 1.3.</w:t>
      </w:r>
    </w:p>
    <w:p w:rsidR="004A31D3" w:rsidRPr="00936708" w:rsidRDefault="004A31D3" w:rsidP="003E3FB6">
      <w:pPr>
        <w:pStyle w:val="Heading4"/>
        <w:keepNext w:val="0"/>
        <w:spacing w:before="120" w:after="120" w:line="240" w:lineRule="atLeast"/>
        <w:jc w:val="both"/>
        <w:rPr>
          <w:rFonts w:cs="Arial"/>
          <w:b/>
          <w:sz w:val="22"/>
          <w:szCs w:val="22"/>
        </w:rPr>
      </w:pPr>
      <w:r w:rsidRPr="00936708">
        <w:rPr>
          <w:rFonts w:cs="Arial"/>
          <w:b/>
          <w:sz w:val="22"/>
          <w:szCs w:val="22"/>
        </w:rPr>
        <w:t>Market Action and Currency Valuation</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If there are international investments the gains or losses arising have two components. The market action is the result of changes in the value of the security in the currency of the issue. The currency valuation is result of foreign exchange rate changes. </w:t>
      </w:r>
    </w:p>
    <w:p w:rsidR="004A31D3" w:rsidRPr="00936708" w:rsidRDefault="004A31D3" w:rsidP="003E3FB6">
      <w:pPr>
        <w:pStyle w:val="Heading4"/>
        <w:keepNext w:val="0"/>
        <w:spacing w:before="120" w:after="120" w:line="240" w:lineRule="atLeast"/>
        <w:jc w:val="both"/>
        <w:rPr>
          <w:rFonts w:cs="Arial"/>
          <w:b/>
          <w:sz w:val="22"/>
          <w:szCs w:val="22"/>
        </w:rPr>
      </w:pPr>
      <w:r w:rsidRPr="00936708">
        <w:rPr>
          <w:rFonts w:cs="Arial"/>
          <w:b/>
          <w:sz w:val="22"/>
          <w:szCs w:val="22"/>
        </w:rPr>
        <w:t>Unrealized Gains and Losses</w:t>
      </w:r>
    </w:p>
    <w:p w:rsidR="004A31D3" w:rsidRPr="00D92DF8"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Suppose a fund manager buys shares of </w:t>
      </w:r>
      <w:r w:rsidR="006E0652">
        <w:rPr>
          <w:rFonts w:ascii="Arial" w:hAnsi="Arial" w:cs="Arial"/>
          <w:sz w:val="20"/>
          <w:szCs w:val="20"/>
        </w:rPr>
        <w:t>a company</w:t>
      </w:r>
      <w:r w:rsidRPr="009413F6">
        <w:rPr>
          <w:rFonts w:ascii="Arial" w:hAnsi="Arial" w:cs="Arial"/>
          <w:sz w:val="20"/>
          <w:szCs w:val="20"/>
        </w:rPr>
        <w:t xml:space="preserve"> and the market price of the shares shoots up soon. However the fund manager doesn’t sell of the shares to make profits, rather he holds on </w:t>
      </w:r>
      <w:r w:rsidRPr="009413F6">
        <w:rPr>
          <w:rFonts w:ascii="Arial" w:hAnsi="Arial" w:cs="Arial"/>
          <w:sz w:val="20"/>
          <w:szCs w:val="20"/>
        </w:rPr>
        <w:lastRenderedPageBreak/>
        <w:t>to them. The fund in such a case has an unrealized gain. Similarly there can also be unrealized losses for the fund. Unrealized gains and losses are taken into account while calculating the NAV.</w:t>
      </w:r>
    </w:p>
    <w:p w:rsidR="004A31D3" w:rsidRPr="00936708" w:rsidRDefault="004A31D3" w:rsidP="003E3FB6">
      <w:pPr>
        <w:pStyle w:val="body"/>
        <w:spacing w:before="120" w:after="120" w:line="240" w:lineRule="atLeast"/>
        <w:jc w:val="both"/>
        <w:rPr>
          <w:rFonts w:ascii="Arial" w:hAnsi="Arial" w:cs="Arial"/>
          <w:b/>
          <w:bCs/>
          <w:color w:val="0000FF"/>
          <w:sz w:val="22"/>
          <w:szCs w:val="22"/>
        </w:rPr>
      </w:pPr>
      <w:r w:rsidRPr="00936708">
        <w:rPr>
          <w:rFonts w:ascii="Arial" w:hAnsi="Arial" w:cs="Arial"/>
          <w:b/>
          <w:bCs/>
          <w:color w:val="0000FF"/>
          <w:sz w:val="22"/>
          <w:szCs w:val="22"/>
        </w:rPr>
        <w:t>Tax Lot Calculation</w:t>
      </w:r>
    </w:p>
    <w:p w:rsidR="00841F22" w:rsidRDefault="00A70480"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Each security position may actually be built by several trades, not necessarily just one. Each trade may have been executed at a different price, thus each lot – holding resulted by an individual trade - has its own profitability associated with it. The accounting and tax implications also make each lot a distinct entity on its own, called Tax Lot.</w:t>
      </w:r>
      <w:r w:rsidR="00E01090">
        <w:rPr>
          <w:rFonts w:ascii="Arial" w:hAnsi="Arial" w:cs="Arial"/>
          <w:sz w:val="20"/>
          <w:szCs w:val="20"/>
        </w:rPr>
        <w:t xml:space="preserve"> </w:t>
      </w:r>
      <w:r w:rsidR="004A31D3" w:rsidRPr="009413F6">
        <w:rPr>
          <w:rFonts w:ascii="Arial" w:hAnsi="Arial" w:cs="Arial"/>
          <w:sz w:val="20"/>
          <w:szCs w:val="20"/>
        </w:rPr>
        <w:t>The accounting team performs the all-important function of tracking the performance of the firm and drawing up its P&amp;L. It calculates the fees, charges and other such heads that are to be recovered from the clients.</w:t>
      </w:r>
    </w:p>
    <w:p w:rsidR="00841F22" w:rsidRPr="00841F22" w:rsidRDefault="00841F22" w:rsidP="00841F22">
      <w:pPr>
        <w:pStyle w:val="Heading3"/>
        <w:keepNext w:val="0"/>
        <w:tabs>
          <w:tab w:val="clear" w:pos="6444"/>
          <w:tab w:val="num" w:pos="540"/>
        </w:tabs>
        <w:spacing w:before="120" w:after="120" w:line="240" w:lineRule="atLeast"/>
        <w:ind w:left="0" w:firstLine="0"/>
        <w:jc w:val="both"/>
      </w:pPr>
      <w:r w:rsidRPr="00841F22">
        <w:t>Steps in Portfolio Accounting</w:t>
      </w:r>
    </w:p>
    <w:p w:rsidR="00832903" w:rsidRPr="00832903" w:rsidRDefault="00832903" w:rsidP="00FA2CC8">
      <w:pPr>
        <w:jc w:val="both"/>
        <w:rPr>
          <w:rFonts w:ascii="Arial" w:hAnsi="Arial" w:cs="Arial"/>
          <w:color w:val="000000"/>
          <w:sz w:val="20"/>
          <w:szCs w:val="20"/>
        </w:rPr>
      </w:pPr>
      <w:r w:rsidRPr="00832903">
        <w:rPr>
          <w:rFonts w:ascii="Arial" w:hAnsi="Arial" w:cs="Arial"/>
          <w:color w:val="000000"/>
          <w:sz w:val="20"/>
          <w:szCs w:val="20"/>
        </w:rPr>
        <w:t xml:space="preserve">Investment accounting services includes accounting for trade (buying and selling of securities) and other related transactions in a portfolio (fund), valuation of the portfolio (marking to market all holdings in the portfolio) and computation of net asset value (price at which ongoing sale/re-purchase of funds units take place). </w:t>
      </w:r>
    </w:p>
    <w:p w:rsidR="00832903" w:rsidRPr="00832903" w:rsidRDefault="00832903" w:rsidP="00FA2CC8">
      <w:pPr>
        <w:jc w:val="both"/>
        <w:rPr>
          <w:rFonts w:ascii="Arial" w:hAnsi="Arial" w:cs="Arial"/>
          <w:color w:val="000000"/>
          <w:sz w:val="20"/>
          <w:szCs w:val="20"/>
        </w:rPr>
      </w:pPr>
    </w:p>
    <w:p w:rsidR="00832903" w:rsidRPr="00832903" w:rsidRDefault="00832903" w:rsidP="00FA2CC8">
      <w:pPr>
        <w:jc w:val="both"/>
        <w:rPr>
          <w:rFonts w:ascii="Arial" w:hAnsi="Arial" w:cs="Arial"/>
          <w:color w:val="000000"/>
          <w:sz w:val="20"/>
          <w:szCs w:val="20"/>
        </w:rPr>
      </w:pPr>
      <w:r w:rsidRPr="00832903">
        <w:rPr>
          <w:rFonts w:ascii="Arial" w:hAnsi="Arial" w:cs="Arial"/>
          <w:color w:val="000000"/>
          <w:sz w:val="20"/>
          <w:szCs w:val="20"/>
        </w:rPr>
        <w:t>The broad steps are as follows:</w:t>
      </w:r>
    </w:p>
    <w:p w:rsidR="00832903" w:rsidRPr="00832903" w:rsidRDefault="00832903" w:rsidP="00FA2CC8">
      <w:pPr>
        <w:numPr>
          <w:ilvl w:val="0"/>
          <w:numId w:val="50"/>
        </w:numPr>
        <w:jc w:val="both"/>
        <w:rPr>
          <w:rFonts w:ascii="Arial" w:hAnsi="Arial" w:cs="Arial"/>
          <w:color w:val="000000"/>
          <w:sz w:val="20"/>
          <w:szCs w:val="20"/>
        </w:rPr>
      </w:pPr>
      <w:r w:rsidRPr="00832903">
        <w:rPr>
          <w:rFonts w:ascii="Arial" w:hAnsi="Arial" w:cs="Arial"/>
          <w:color w:val="000000"/>
          <w:sz w:val="20"/>
          <w:szCs w:val="20"/>
        </w:rPr>
        <w:t>Post the transactions (buying and selling of securities) and other related activities (like management fees, administration charges, trustee/custodian, registration fees, audit fees, costs for statutory advertisements) on the portfolio in the ledgers following the accounting standards</w:t>
      </w:r>
      <w:r w:rsidR="00B976A4">
        <w:rPr>
          <w:rFonts w:ascii="Arial" w:hAnsi="Arial" w:cs="Arial"/>
          <w:color w:val="000000"/>
          <w:sz w:val="20"/>
          <w:szCs w:val="20"/>
        </w:rPr>
        <w:t>.</w:t>
      </w:r>
    </w:p>
    <w:p w:rsidR="00832903" w:rsidRPr="00832903" w:rsidRDefault="00832903" w:rsidP="00FA2CC8">
      <w:pPr>
        <w:numPr>
          <w:ilvl w:val="0"/>
          <w:numId w:val="50"/>
        </w:numPr>
        <w:jc w:val="both"/>
        <w:rPr>
          <w:rFonts w:ascii="Arial" w:hAnsi="Arial" w:cs="Arial"/>
          <w:color w:val="000000"/>
          <w:sz w:val="20"/>
          <w:szCs w:val="20"/>
        </w:rPr>
      </w:pPr>
      <w:r w:rsidRPr="00832903">
        <w:rPr>
          <w:rFonts w:ascii="Arial" w:hAnsi="Arial" w:cs="Arial"/>
          <w:color w:val="000000"/>
          <w:sz w:val="20"/>
          <w:szCs w:val="20"/>
        </w:rPr>
        <w:t>Execute and s</w:t>
      </w:r>
      <w:r w:rsidR="00B976A4">
        <w:rPr>
          <w:rFonts w:ascii="Arial" w:hAnsi="Arial" w:cs="Arial"/>
          <w:color w:val="000000"/>
          <w:sz w:val="20"/>
          <w:szCs w:val="20"/>
        </w:rPr>
        <w:t>ettle corporate action (if any).</w:t>
      </w:r>
    </w:p>
    <w:p w:rsidR="00832903" w:rsidRPr="00832903" w:rsidRDefault="00832903" w:rsidP="00FA2CC8">
      <w:pPr>
        <w:numPr>
          <w:ilvl w:val="0"/>
          <w:numId w:val="50"/>
        </w:numPr>
        <w:jc w:val="both"/>
        <w:rPr>
          <w:rFonts w:ascii="Arial" w:hAnsi="Arial" w:cs="Arial"/>
          <w:color w:val="000000"/>
          <w:sz w:val="20"/>
          <w:szCs w:val="20"/>
        </w:rPr>
      </w:pPr>
      <w:r w:rsidRPr="00832903">
        <w:rPr>
          <w:rFonts w:ascii="Arial" w:hAnsi="Arial" w:cs="Arial"/>
          <w:color w:val="000000"/>
          <w:sz w:val="20"/>
          <w:szCs w:val="20"/>
        </w:rPr>
        <w:t>Get the market Value of the Investments</w:t>
      </w:r>
      <w:r w:rsidR="00B976A4">
        <w:rPr>
          <w:rFonts w:ascii="Arial" w:hAnsi="Arial" w:cs="Arial"/>
          <w:color w:val="000000"/>
          <w:sz w:val="20"/>
          <w:szCs w:val="20"/>
        </w:rPr>
        <w:t>.</w:t>
      </w:r>
    </w:p>
    <w:p w:rsidR="00832903" w:rsidRPr="00832903" w:rsidRDefault="00832903" w:rsidP="00FA2CC8">
      <w:pPr>
        <w:pStyle w:val="N1"/>
        <w:numPr>
          <w:ilvl w:val="0"/>
          <w:numId w:val="50"/>
        </w:numPr>
        <w:spacing w:line="240" w:lineRule="auto"/>
        <w:jc w:val="both"/>
        <w:rPr>
          <w:color w:val="000000"/>
        </w:rPr>
      </w:pPr>
      <w:r w:rsidRPr="00832903">
        <w:rPr>
          <w:color w:val="000000"/>
        </w:rPr>
        <w:t xml:space="preserve">Calculate and post the interest accruals in the account. Interest accrual is the process of accounting the interest income due on bonds. </w:t>
      </w:r>
    </w:p>
    <w:p w:rsidR="00832903" w:rsidRPr="00832903" w:rsidRDefault="00832903" w:rsidP="00FA2CC8">
      <w:pPr>
        <w:pStyle w:val="N1"/>
        <w:numPr>
          <w:ilvl w:val="0"/>
          <w:numId w:val="50"/>
        </w:numPr>
        <w:spacing w:line="240" w:lineRule="auto"/>
        <w:jc w:val="both"/>
        <w:rPr>
          <w:color w:val="000000"/>
        </w:rPr>
      </w:pPr>
      <w:r w:rsidRPr="00832903">
        <w:rPr>
          <w:color w:val="000000"/>
        </w:rPr>
        <w:t>Calculate and adjust amortization. Amortization is the process of posting cost adjustment entries only for bond securities bought at discount or at premium so that, at the time of maturity the book cost of the investment equals the maturity value.</w:t>
      </w:r>
    </w:p>
    <w:p w:rsidR="00832903" w:rsidRPr="00832903" w:rsidRDefault="00832903" w:rsidP="00FA2CC8">
      <w:pPr>
        <w:pStyle w:val="N1"/>
        <w:numPr>
          <w:ilvl w:val="0"/>
          <w:numId w:val="50"/>
        </w:numPr>
        <w:spacing w:line="240" w:lineRule="auto"/>
        <w:jc w:val="both"/>
        <w:rPr>
          <w:color w:val="000000"/>
        </w:rPr>
      </w:pPr>
      <w:r w:rsidRPr="00832903">
        <w:rPr>
          <w:color w:val="000000"/>
        </w:rPr>
        <w:t>Next step is the start of the valuation process where the unrealized gains/loss on positions and the subsidiary valuation are computed. Subsidiary valuation involves the computation of unrealized currency gains/loss on investment interest and dividend receivables.</w:t>
      </w:r>
    </w:p>
    <w:p w:rsidR="00832903" w:rsidRPr="00832903" w:rsidRDefault="00832903" w:rsidP="00FA2CC8">
      <w:pPr>
        <w:numPr>
          <w:ilvl w:val="0"/>
          <w:numId w:val="50"/>
        </w:numPr>
        <w:jc w:val="both"/>
        <w:rPr>
          <w:rFonts w:ascii="Arial" w:hAnsi="Arial" w:cs="Arial"/>
          <w:color w:val="000000"/>
          <w:sz w:val="20"/>
          <w:szCs w:val="20"/>
        </w:rPr>
      </w:pPr>
      <w:r w:rsidRPr="00832903">
        <w:rPr>
          <w:rFonts w:ascii="Arial" w:hAnsi="Arial" w:cs="Arial"/>
          <w:color w:val="000000"/>
          <w:sz w:val="20"/>
          <w:szCs w:val="20"/>
        </w:rPr>
        <w:t>Calculate NAV and process Unit Price</w:t>
      </w:r>
      <w:r w:rsidR="00B976A4">
        <w:rPr>
          <w:rFonts w:ascii="Arial" w:hAnsi="Arial" w:cs="Arial"/>
          <w:color w:val="000000"/>
          <w:sz w:val="20"/>
          <w:szCs w:val="20"/>
        </w:rPr>
        <w:t>.</w:t>
      </w:r>
    </w:p>
    <w:p w:rsidR="004A31D3" w:rsidRPr="009413F6" w:rsidRDefault="004A31D3" w:rsidP="003E3FB6">
      <w:pPr>
        <w:pStyle w:val="Heading2"/>
        <w:keepNext w:val="0"/>
        <w:spacing w:before="120" w:after="120" w:line="240" w:lineRule="atLeast"/>
        <w:ind w:left="0" w:firstLine="0"/>
        <w:jc w:val="both"/>
      </w:pPr>
      <w:bookmarkStart w:id="101" w:name="_Toc202158951"/>
      <w:bookmarkStart w:id="102" w:name="_Toc202158952"/>
      <w:bookmarkStart w:id="103" w:name="_Toc133730625"/>
      <w:bookmarkStart w:id="104" w:name="_Toc134366498"/>
      <w:bookmarkStart w:id="105" w:name="_Toc226530533"/>
      <w:bookmarkEnd w:id="101"/>
      <w:bookmarkEnd w:id="102"/>
      <w:r w:rsidRPr="009413F6">
        <w:t xml:space="preserve">Performance </w:t>
      </w:r>
      <w:r w:rsidR="004850BB" w:rsidRPr="009413F6">
        <w:t>M</w:t>
      </w:r>
      <w:r w:rsidRPr="009413F6">
        <w:t>easurement</w:t>
      </w:r>
      <w:bookmarkEnd w:id="103"/>
      <w:bookmarkEnd w:id="104"/>
      <w:bookmarkEnd w:id="105"/>
    </w:p>
    <w:p w:rsidR="003E7142" w:rsidRPr="009413F6" w:rsidRDefault="003E7142" w:rsidP="003E7142">
      <w:pPr>
        <w:pStyle w:val="body"/>
        <w:spacing w:before="120" w:after="120" w:line="240" w:lineRule="auto"/>
        <w:jc w:val="both"/>
        <w:rPr>
          <w:rFonts w:ascii="Arial" w:hAnsi="Arial" w:cs="Arial"/>
          <w:sz w:val="20"/>
          <w:szCs w:val="20"/>
        </w:rPr>
      </w:pPr>
      <w:bookmarkStart w:id="106" w:name="_Toc202158954"/>
      <w:bookmarkStart w:id="107" w:name="_Toc202158983"/>
      <w:bookmarkStart w:id="108" w:name="_Toc133730626"/>
      <w:bookmarkStart w:id="109" w:name="_Toc134366500"/>
      <w:bookmarkEnd w:id="106"/>
      <w:bookmarkEnd w:id="107"/>
      <w:r w:rsidRPr="009413F6">
        <w:rPr>
          <w:rFonts w:ascii="Arial" w:hAnsi="Arial" w:cs="Arial"/>
          <w:sz w:val="20"/>
          <w:szCs w:val="20"/>
        </w:rPr>
        <w:t xml:space="preserve">Fund performance is the acid test of investment management, and in the institutional context accurate measurement a sine qua non. For that purpose, institutions measure the performance of each fund (and usually for internal purposes components of each fund) under their management, and performance is also measured by external firms that specialize in performance measurement. The leading performance measurement firms (e.g. Frank Russell in the </w:t>
      </w:r>
      <w:smartTag w:uri="urn:schemas-microsoft-com:office:smarttags" w:element="place">
        <w:smartTag w:uri="urn:schemas-microsoft-com:office:smarttags" w:element="country-region">
          <w:r w:rsidRPr="009413F6">
            <w:rPr>
              <w:rFonts w:ascii="Arial" w:hAnsi="Arial" w:cs="Arial"/>
              <w:sz w:val="20"/>
              <w:szCs w:val="20"/>
            </w:rPr>
            <w:t>USA</w:t>
          </w:r>
        </w:smartTag>
      </w:smartTag>
      <w:r w:rsidRPr="009413F6">
        <w:rPr>
          <w:rFonts w:ascii="Arial" w:hAnsi="Arial" w:cs="Arial"/>
          <w:sz w:val="20"/>
          <w:szCs w:val="20"/>
        </w:rPr>
        <w:t>) compile aggregate industry data e.g. showing how funds in general performed against given indices and peer groups over various time periods.</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Generally speaking it is probably appropriate that an institution should persuade its clients that performance be assessed over a longer period e.g. 3 or 5 years to smooth out very short term fluctuations in performance and the influence of the business cycle. </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Absolute versus relative performance</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lastRenderedPageBreak/>
        <w:t xml:space="preserve">In the </w:t>
      </w:r>
      <w:smartTag w:uri="urn:schemas-microsoft-com:office:smarttags" w:element="country-region">
        <w:r w:rsidRPr="009413F6">
          <w:rPr>
            <w:rFonts w:ascii="Arial" w:hAnsi="Arial" w:cs="Arial"/>
            <w:sz w:val="20"/>
            <w:szCs w:val="20"/>
          </w:rPr>
          <w:t>USA</w:t>
        </w:r>
      </w:smartTag>
      <w:r w:rsidRPr="009413F6">
        <w:rPr>
          <w:rFonts w:ascii="Arial" w:hAnsi="Arial" w:cs="Arial"/>
          <w:sz w:val="20"/>
          <w:szCs w:val="20"/>
        </w:rPr>
        <w:t xml:space="preserve"> and the </w:t>
      </w:r>
      <w:smartTag w:uri="urn:schemas-microsoft-com:office:smarttags" w:element="place">
        <w:smartTag w:uri="urn:schemas-microsoft-com:office:smarttags" w:element="country-region">
          <w:r w:rsidRPr="009413F6">
            <w:rPr>
              <w:rFonts w:ascii="Arial" w:hAnsi="Arial" w:cs="Arial"/>
              <w:sz w:val="20"/>
              <w:szCs w:val="20"/>
            </w:rPr>
            <w:t>UK</w:t>
          </w:r>
        </w:smartTag>
      </w:smartTag>
      <w:r w:rsidRPr="009413F6">
        <w:rPr>
          <w:rFonts w:ascii="Arial" w:hAnsi="Arial" w:cs="Arial"/>
          <w:sz w:val="20"/>
          <w:szCs w:val="20"/>
        </w:rPr>
        <w:t>, two of the world's most sophisticated fund management markets, the tradition is for institutions to manage client money relative to benchmarks.</w:t>
      </w:r>
      <w:r>
        <w:rPr>
          <w:rFonts w:ascii="Arial" w:hAnsi="Arial" w:cs="Arial"/>
          <w:sz w:val="20"/>
          <w:szCs w:val="20"/>
        </w:rPr>
        <w:t xml:space="preserve"> </w:t>
      </w:r>
      <w:r w:rsidRPr="009413F6">
        <w:rPr>
          <w:rFonts w:ascii="Arial" w:hAnsi="Arial" w:cs="Arial"/>
          <w:sz w:val="20"/>
          <w:szCs w:val="20"/>
        </w:rPr>
        <w:t xml:space="preserve">In other markets however, e.g. Switzerland, the mentality is different and clients and fund managers focus on absolute return management, i.e. returns relative to cash (e.g. Swiss franc or Yen cash) where (performance) fees are payable only if the return exceeds some absolute figure (e.g. 10% per annum).The goal of performance measurement may be stated as: </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The calculation of return, risk and derived statistics stemming from the periodic change in market value of portfolio positions and transactions made into and within a portfolio, for use in the evaluation of historical fund or manager performance.</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Return Measurement</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The measurement of performance starts with the calculation of return. By measuring return we can answer questions such as:</w:t>
      </w:r>
    </w:p>
    <w:p w:rsidR="003E7142" w:rsidRPr="009413F6" w:rsidRDefault="003E7142" w:rsidP="003E7142">
      <w:pPr>
        <w:pStyle w:val="BodyText-Bullets1"/>
        <w:numPr>
          <w:ilvl w:val="0"/>
          <w:numId w:val="25"/>
        </w:numPr>
        <w:spacing w:before="120" w:line="240" w:lineRule="auto"/>
        <w:rPr>
          <w:rFonts w:cs="Arial"/>
          <w:szCs w:val="20"/>
        </w:rPr>
      </w:pPr>
      <w:r w:rsidRPr="009413F6">
        <w:rPr>
          <w:rFonts w:cs="Arial"/>
          <w:szCs w:val="20"/>
        </w:rPr>
        <w:t>How has the absolute value of the portfolio changed over time?</w:t>
      </w:r>
    </w:p>
    <w:p w:rsidR="003E7142" w:rsidRPr="009413F6" w:rsidRDefault="003E7142" w:rsidP="003E7142">
      <w:pPr>
        <w:pStyle w:val="BodyText-Bullets1"/>
        <w:numPr>
          <w:ilvl w:val="0"/>
          <w:numId w:val="25"/>
        </w:numPr>
        <w:spacing w:before="120" w:line="240" w:lineRule="auto"/>
        <w:rPr>
          <w:rFonts w:cs="Arial"/>
          <w:szCs w:val="20"/>
        </w:rPr>
      </w:pPr>
      <w:r w:rsidRPr="009413F6">
        <w:rPr>
          <w:rFonts w:cs="Arial"/>
          <w:szCs w:val="20"/>
        </w:rPr>
        <w:t>What was the impact of management fees, taxes, and currency fluctuation on the returns?</w:t>
      </w:r>
    </w:p>
    <w:p w:rsidR="003E7142" w:rsidRPr="009413F6" w:rsidRDefault="003E7142" w:rsidP="003E7142">
      <w:pPr>
        <w:pStyle w:val="BodyText-Bullets1"/>
        <w:numPr>
          <w:ilvl w:val="0"/>
          <w:numId w:val="25"/>
        </w:numPr>
        <w:spacing w:before="120" w:line="240" w:lineRule="auto"/>
        <w:rPr>
          <w:rFonts w:cs="Arial"/>
          <w:szCs w:val="20"/>
        </w:rPr>
      </w:pPr>
      <w:r w:rsidRPr="009413F6">
        <w:rPr>
          <w:rFonts w:cs="Arial"/>
          <w:szCs w:val="20"/>
        </w:rPr>
        <w:t>How do these returns compare to those earned by the fund’s peers and benchmark?</w:t>
      </w:r>
    </w:p>
    <w:p w:rsidR="003E7142" w:rsidRPr="009413F6" w:rsidRDefault="003E7142" w:rsidP="003E7142">
      <w:pPr>
        <w:pStyle w:val="BodyText-Bullets1"/>
        <w:numPr>
          <w:ilvl w:val="0"/>
          <w:numId w:val="25"/>
        </w:numPr>
        <w:spacing w:before="120" w:line="240" w:lineRule="auto"/>
        <w:rPr>
          <w:rFonts w:cs="Arial"/>
          <w:szCs w:val="20"/>
        </w:rPr>
      </w:pPr>
      <w:r w:rsidRPr="009413F6">
        <w:rPr>
          <w:rFonts w:cs="Arial"/>
          <w:szCs w:val="20"/>
        </w:rPr>
        <w:t>How much value did the manager add over the benchmark?</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Risk Measurement</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The capital markets offer incremental returns only when investors assume heightened risk. By measuring risk we hope to answer these questions:</w:t>
      </w:r>
    </w:p>
    <w:p w:rsidR="003E7142" w:rsidRPr="009413F6" w:rsidRDefault="003E7142" w:rsidP="003E7142">
      <w:pPr>
        <w:pStyle w:val="BodyText-Bullets1"/>
        <w:numPr>
          <w:ilvl w:val="0"/>
          <w:numId w:val="26"/>
        </w:numPr>
        <w:spacing w:before="120" w:line="240" w:lineRule="auto"/>
        <w:rPr>
          <w:rFonts w:cs="Arial"/>
          <w:szCs w:val="20"/>
        </w:rPr>
      </w:pPr>
      <w:r w:rsidRPr="009413F6">
        <w:rPr>
          <w:rFonts w:cs="Arial"/>
          <w:szCs w:val="20"/>
        </w:rPr>
        <w:t>How much total risk was taken to achieve the returns?</w:t>
      </w:r>
    </w:p>
    <w:p w:rsidR="003E7142" w:rsidRPr="009413F6" w:rsidRDefault="003E7142" w:rsidP="003E7142">
      <w:pPr>
        <w:pStyle w:val="BodyText-Bullets1"/>
        <w:numPr>
          <w:ilvl w:val="0"/>
          <w:numId w:val="26"/>
        </w:numPr>
        <w:spacing w:before="120" w:line="240" w:lineRule="auto"/>
        <w:rPr>
          <w:rFonts w:cs="Arial"/>
          <w:szCs w:val="20"/>
        </w:rPr>
      </w:pPr>
      <w:r w:rsidRPr="009413F6">
        <w:rPr>
          <w:rFonts w:cs="Arial"/>
          <w:szCs w:val="20"/>
        </w:rPr>
        <w:t>What was the probability of achieving a return below the return required to meet our objectives?</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Efficiency and Skill Measurement</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We are interested in whether the fund is being managed efficiently, and in the case of actively managed portfolios, discovering evidence of the manager’s skill. The statistics representing efficiency and skill are used to help answer questions that include:</w:t>
      </w:r>
    </w:p>
    <w:p w:rsidR="003E7142" w:rsidRPr="009413F6" w:rsidRDefault="003E7142" w:rsidP="003E7142">
      <w:pPr>
        <w:pStyle w:val="BodyText-Bullets1"/>
        <w:numPr>
          <w:ilvl w:val="0"/>
          <w:numId w:val="27"/>
        </w:numPr>
        <w:spacing w:before="120" w:line="240" w:lineRule="auto"/>
        <w:rPr>
          <w:rFonts w:cs="Arial"/>
          <w:szCs w:val="20"/>
        </w:rPr>
      </w:pPr>
      <w:r w:rsidRPr="009413F6">
        <w:rPr>
          <w:rFonts w:cs="Arial"/>
          <w:szCs w:val="20"/>
        </w:rPr>
        <w:t>Did the fund return as much as other funds, or the benchmark, that exhibited a similar degree of risk?</w:t>
      </w:r>
    </w:p>
    <w:p w:rsidR="003E7142" w:rsidRPr="009413F6" w:rsidRDefault="003E7142" w:rsidP="003E7142">
      <w:pPr>
        <w:pStyle w:val="BodyText-Bullets1"/>
        <w:numPr>
          <w:ilvl w:val="0"/>
          <w:numId w:val="27"/>
        </w:numPr>
        <w:spacing w:before="120" w:line="240" w:lineRule="auto"/>
        <w:rPr>
          <w:rFonts w:cs="Arial"/>
          <w:szCs w:val="20"/>
        </w:rPr>
      </w:pPr>
      <w:r w:rsidRPr="009413F6">
        <w:rPr>
          <w:rFonts w:cs="Arial"/>
          <w:szCs w:val="20"/>
        </w:rPr>
        <w:t>How did the investment perform on a risk-adjusted basis?</w:t>
      </w:r>
    </w:p>
    <w:p w:rsidR="003E7142" w:rsidRPr="009413F6" w:rsidRDefault="003E7142" w:rsidP="003E7142">
      <w:pPr>
        <w:pStyle w:val="BodyText-Bullets1"/>
        <w:numPr>
          <w:ilvl w:val="0"/>
          <w:numId w:val="27"/>
        </w:numPr>
        <w:spacing w:before="120" w:line="240" w:lineRule="auto"/>
        <w:rPr>
          <w:rFonts w:cs="Arial"/>
          <w:szCs w:val="20"/>
        </w:rPr>
      </w:pPr>
      <w:r w:rsidRPr="009413F6">
        <w:rPr>
          <w:rFonts w:cs="Arial"/>
          <w:szCs w:val="20"/>
        </w:rPr>
        <w:t>What was the manager’s risk-adjusted value added over the period?</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Performance Attribution</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By comparing fund and benchmark returns, we can determine whether the manager has added value over the period, and, if yes, how this was achieved. Performance attribution is used to help answer questions such as:</w:t>
      </w:r>
    </w:p>
    <w:p w:rsidR="003E7142" w:rsidRPr="009413F6" w:rsidRDefault="003E7142" w:rsidP="003E7142">
      <w:pPr>
        <w:pStyle w:val="BodyText-Bullets1"/>
        <w:numPr>
          <w:ilvl w:val="0"/>
          <w:numId w:val="28"/>
        </w:numPr>
        <w:spacing w:before="120" w:line="240" w:lineRule="auto"/>
        <w:rPr>
          <w:rFonts w:cs="Arial"/>
          <w:szCs w:val="20"/>
        </w:rPr>
      </w:pPr>
      <w:r w:rsidRPr="009413F6">
        <w:rPr>
          <w:rFonts w:cs="Arial"/>
          <w:szCs w:val="20"/>
        </w:rPr>
        <w:t>How did the different securities and segments within the fund perform over the period?</w:t>
      </w:r>
    </w:p>
    <w:p w:rsidR="003E7142" w:rsidRPr="009413F6" w:rsidRDefault="003E7142" w:rsidP="003E7142">
      <w:pPr>
        <w:pStyle w:val="BodyText-Bullets1"/>
        <w:numPr>
          <w:ilvl w:val="0"/>
          <w:numId w:val="28"/>
        </w:numPr>
        <w:spacing w:before="120" w:line="240" w:lineRule="auto"/>
        <w:rPr>
          <w:rFonts w:cs="Arial"/>
          <w:szCs w:val="20"/>
        </w:rPr>
      </w:pPr>
      <w:r w:rsidRPr="009413F6">
        <w:rPr>
          <w:rFonts w:cs="Arial"/>
          <w:szCs w:val="20"/>
        </w:rPr>
        <w:lastRenderedPageBreak/>
        <w:t>How were the contributions to total fund return attributable to these securities and portfolio segments?</w:t>
      </w:r>
    </w:p>
    <w:p w:rsidR="003E7142" w:rsidRPr="009413F6" w:rsidRDefault="003E7142" w:rsidP="003E7142">
      <w:pPr>
        <w:pStyle w:val="BodyText-Bullets1"/>
        <w:numPr>
          <w:ilvl w:val="0"/>
          <w:numId w:val="28"/>
        </w:numPr>
        <w:spacing w:before="120" w:line="240" w:lineRule="auto"/>
        <w:rPr>
          <w:rFonts w:cs="Arial"/>
          <w:szCs w:val="20"/>
        </w:rPr>
      </w:pPr>
      <w:r w:rsidRPr="009413F6">
        <w:rPr>
          <w:rFonts w:cs="Arial"/>
          <w:szCs w:val="20"/>
        </w:rPr>
        <w:t>How much did the fund’s asset allocation relative to the benchmark, as well as other decisions, contribute to the value added?</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Performance Presentation</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The investments industry, via the CFA Institute (formerly, the Association for Investment Management and Research, AIMR), has developed global standards (CGIPS) for the presentation of performance to prospective investors. The standards are important because they effectively govern the methodology used by the industry to calculate and present returns. Performance presentation helps answer questions like:</w:t>
      </w:r>
    </w:p>
    <w:p w:rsidR="003E7142" w:rsidRPr="009413F6" w:rsidRDefault="003E7142" w:rsidP="003E7142">
      <w:pPr>
        <w:pStyle w:val="BodyText-Bullets1"/>
        <w:numPr>
          <w:ilvl w:val="0"/>
          <w:numId w:val="29"/>
        </w:numPr>
        <w:spacing w:before="120" w:line="240" w:lineRule="auto"/>
        <w:rPr>
          <w:rFonts w:cs="Arial"/>
          <w:szCs w:val="20"/>
        </w:rPr>
      </w:pPr>
      <w:r w:rsidRPr="009413F6">
        <w:rPr>
          <w:rFonts w:cs="Arial"/>
          <w:szCs w:val="20"/>
        </w:rPr>
        <w:t>What does a manager do to meet the standards?</w:t>
      </w:r>
    </w:p>
    <w:p w:rsidR="003E7142" w:rsidRPr="009413F6" w:rsidRDefault="003E7142" w:rsidP="003E7142">
      <w:pPr>
        <w:pStyle w:val="BodyText-Bullets1"/>
        <w:numPr>
          <w:ilvl w:val="0"/>
          <w:numId w:val="29"/>
        </w:numPr>
        <w:spacing w:before="120" w:line="240" w:lineRule="auto"/>
        <w:rPr>
          <w:rFonts w:cs="Arial"/>
          <w:szCs w:val="20"/>
        </w:rPr>
      </w:pPr>
      <w:r w:rsidRPr="009413F6">
        <w:rPr>
          <w:rFonts w:cs="Arial"/>
          <w:szCs w:val="20"/>
        </w:rPr>
        <w:t>How do we interpret the composite returns presented by managers?</w:t>
      </w:r>
    </w:p>
    <w:p w:rsidR="003E7142" w:rsidRPr="009413F6" w:rsidRDefault="003E7142" w:rsidP="003E7142">
      <w:pPr>
        <w:pStyle w:val="BodyText-Bullets1"/>
        <w:numPr>
          <w:ilvl w:val="0"/>
          <w:numId w:val="29"/>
        </w:numPr>
        <w:spacing w:before="120" w:line="240" w:lineRule="auto"/>
        <w:rPr>
          <w:rFonts w:cs="Arial"/>
          <w:szCs w:val="20"/>
        </w:rPr>
      </w:pPr>
      <w:r w:rsidRPr="009413F6">
        <w:rPr>
          <w:rFonts w:cs="Arial"/>
          <w:szCs w:val="20"/>
        </w:rPr>
        <w:t>How have all of the portfolios entrusted to the manager performed on average?</w:t>
      </w:r>
    </w:p>
    <w:p w:rsidR="003E7142" w:rsidRDefault="003E7142" w:rsidP="003E7142">
      <w:pPr>
        <w:pStyle w:val="Heading3"/>
        <w:keepNext w:val="0"/>
        <w:tabs>
          <w:tab w:val="clear" w:pos="6444"/>
          <w:tab w:val="num" w:pos="540"/>
        </w:tabs>
        <w:spacing w:before="120" w:after="120" w:line="240" w:lineRule="atLeast"/>
        <w:ind w:left="0" w:firstLine="0"/>
        <w:jc w:val="both"/>
      </w:pPr>
      <w:bookmarkStart w:id="110" w:name="_Toc134366499"/>
      <w:r w:rsidRPr="009413F6">
        <w:t>Measurement of Return</w:t>
      </w:r>
      <w:bookmarkEnd w:id="110"/>
    </w:p>
    <w:p w:rsidR="003E7142" w:rsidRPr="00E106A3" w:rsidRDefault="003E7142" w:rsidP="003E7142">
      <w:pPr>
        <w:rPr>
          <w:rFonts w:ascii="Arial" w:hAnsi="Arial" w:cs="Arial"/>
          <w:sz w:val="20"/>
          <w:szCs w:val="20"/>
        </w:rPr>
      </w:pP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Period-by-Period or Holding Period Return</w:t>
      </w:r>
    </w:p>
    <w:p w:rsidR="003E7142"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Holding Period Return (HPR) is the simple percentage change in a portfolio’s total market value over a given period. It is the simplest measure of return, </w:t>
      </w:r>
      <w:r>
        <w:rPr>
          <w:rFonts w:ascii="Arial" w:hAnsi="Arial" w:cs="Arial"/>
          <w:sz w:val="20"/>
          <w:szCs w:val="20"/>
        </w:rPr>
        <w:t>which</w:t>
      </w:r>
      <w:r w:rsidRPr="009413F6">
        <w:rPr>
          <w:rFonts w:ascii="Arial" w:hAnsi="Arial" w:cs="Arial"/>
          <w:sz w:val="20"/>
          <w:szCs w:val="20"/>
        </w:rPr>
        <w:t xml:space="preserve"> investors first think of when they are reviewing their portfolio. </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HPR = (MVE – MVB) / MVB</w:t>
      </w:r>
    </w:p>
    <w:p w:rsidR="003E7142" w:rsidRPr="000634C6" w:rsidRDefault="003E7142" w:rsidP="003E7142">
      <w:pPr>
        <w:pStyle w:val="body"/>
        <w:spacing w:before="120" w:after="120" w:line="240" w:lineRule="auto"/>
        <w:jc w:val="both"/>
        <w:rPr>
          <w:rFonts w:ascii="Arial" w:hAnsi="Arial" w:cs="Arial"/>
          <w:sz w:val="20"/>
          <w:szCs w:val="20"/>
        </w:rPr>
      </w:pPr>
      <w:r>
        <w:rPr>
          <w:rFonts w:ascii="Arial" w:hAnsi="Arial" w:cs="Arial"/>
          <w:sz w:val="20"/>
          <w:szCs w:val="20"/>
        </w:rPr>
        <w:t>W</w:t>
      </w:r>
      <w:r w:rsidRPr="009413F6">
        <w:rPr>
          <w:rFonts w:ascii="Arial" w:hAnsi="Arial" w:cs="Arial"/>
          <w:sz w:val="20"/>
          <w:szCs w:val="20"/>
        </w:rPr>
        <w:t xml:space="preserve">here MVE is the market value at the end of a given time period, and MVB is the market value at the </w:t>
      </w:r>
      <w:r w:rsidRPr="000634C6">
        <w:rPr>
          <w:rFonts w:ascii="Arial" w:hAnsi="Arial" w:cs="Arial"/>
          <w:sz w:val="20"/>
          <w:szCs w:val="20"/>
        </w:rPr>
        <w:t xml:space="preserve">beginning of the time period.  </w:t>
      </w:r>
    </w:p>
    <w:p w:rsidR="003E7142" w:rsidRDefault="003E7142" w:rsidP="003E7142">
      <w:pPr>
        <w:pStyle w:val="body"/>
        <w:rPr>
          <w:rFonts w:ascii="Arial" w:hAnsi="Arial" w:cs="Arial"/>
          <w:sz w:val="20"/>
          <w:szCs w:val="20"/>
        </w:rPr>
      </w:pPr>
      <w:r w:rsidRPr="000634C6">
        <w:rPr>
          <w:rFonts w:ascii="Arial" w:hAnsi="Arial" w:cs="Arial"/>
          <w:sz w:val="20"/>
          <w:szCs w:val="20"/>
        </w:rPr>
        <w:t>The drawbacks of holding period</w:t>
      </w:r>
      <w:r>
        <w:rPr>
          <w:rFonts w:ascii="Arial" w:hAnsi="Arial" w:cs="Arial"/>
          <w:sz w:val="20"/>
          <w:szCs w:val="20"/>
        </w:rPr>
        <w:t xml:space="preserve"> return are as follows:</w:t>
      </w:r>
    </w:p>
    <w:p w:rsidR="003E7142" w:rsidRDefault="003E7142" w:rsidP="003E7142">
      <w:pPr>
        <w:pStyle w:val="body"/>
        <w:numPr>
          <w:ilvl w:val="0"/>
          <w:numId w:val="133"/>
        </w:numPr>
        <w:rPr>
          <w:rFonts w:ascii="Arial" w:hAnsi="Arial" w:cs="Arial"/>
          <w:sz w:val="20"/>
          <w:szCs w:val="20"/>
        </w:rPr>
      </w:pPr>
      <w:r>
        <w:rPr>
          <w:rFonts w:ascii="Arial" w:hAnsi="Arial" w:cs="Arial"/>
          <w:sz w:val="20"/>
          <w:szCs w:val="20"/>
        </w:rPr>
        <w:t>HPR does not take into account the cash inflows or outflows during the return measurement period – neither the amount of cash flow not their timing</w:t>
      </w:r>
    </w:p>
    <w:p w:rsidR="003E7142" w:rsidRPr="000634C6" w:rsidRDefault="003E7142" w:rsidP="003E7142">
      <w:pPr>
        <w:pStyle w:val="body"/>
        <w:numPr>
          <w:ilvl w:val="0"/>
          <w:numId w:val="133"/>
        </w:numPr>
        <w:rPr>
          <w:rFonts w:ascii="Arial" w:hAnsi="Arial" w:cs="Arial"/>
          <w:sz w:val="20"/>
          <w:szCs w:val="20"/>
        </w:rPr>
      </w:pPr>
      <w:r>
        <w:rPr>
          <w:rFonts w:ascii="Arial" w:hAnsi="Arial" w:cs="Arial"/>
          <w:sz w:val="20"/>
          <w:szCs w:val="20"/>
        </w:rPr>
        <w:t>HPR value is affected by external cash flows, thus it is not appropriate for calculating performance of the investment manager.</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Return on Investment</w:t>
      </w:r>
    </w:p>
    <w:p w:rsidR="003E7142" w:rsidRPr="00720576" w:rsidRDefault="003E7142" w:rsidP="003E7142">
      <w:pPr>
        <w:rPr>
          <w:rFonts w:ascii="Arial" w:hAnsi="Arial" w:cs="Arial"/>
          <w:sz w:val="20"/>
          <w:szCs w:val="20"/>
        </w:rPr>
      </w:pPr>
    </w:p>
    <w:p w:rsidR="003E7142" w:rsidRPr="00720576" w:rsidRDefault="003E7142" w:rsidP="003E7142">
      <w:pPr>
        <w:rPr>
          <w:rFonts w:ascii="Arial" w:hAnsi="Arial" w:cs="Arial"/>
          <w:sz w:val="20"/>
          <w:szCs w:val="20"/>
        </w:rPr>
      </w:pPr>
      <w:r w:rsidRPr="00720576">
        <w:rPr>
          <w:rFonts w:ascii="Arial" w:hAnsi="Arial" w:cs="Arial"/>
          <w:sz w:val="20"/>
          <w:szCs w:val="20"/>
        </w:rPr>
        <w:t>It is same as the holding period return. However, it takes into account the cash flows during the period.</w:t>
      </w:r>
    </w:p>
    <w:p w:rsidR="003E7142" w:rsidRPr="00720576" w:rsidRDefault="003E7142" w:rsidP="003E7142">
      <w:pPr>
        <w:rPr>
          <w:rFonts w:ascii="Arial" w:hAnsi="Arial" w:cs="Arial"/>
          <w:sz w:val="20"/>
          <w:szCs w:val="20"/>
        </w:rPr>
      </w:pPr>
    </w:p>
    <w:p w:rsidR="003E7142" w:rsidRPr="009413F6" w:rsidRDefault="003E7142" w:rsidP="003E7142">
      <w:pPr>
        <w:pStyle w:val="body"/>
        <w:spacing w:before="120" w:after="120" w:line="240" w:lineRule="auto"/>
        <w:jc w:val="both"/>
        <w:rPr>
          <w:rFonts w:ascii="Arial" w:hAnsi="Arial" w:cs="Arial"/>
          <w:sz w:val="20"/>
          <w:szCs w:val="20"/>
        </w:rPr>
      </w:pPr>
      <w:r>
        <w:rPr>
          <w:rFonts w:ascii="Arial" w:hAnsi="Arial" w:cs="Arial"/>
          <w:sz w:val="20"/>
          <w:szCs w:val="20"/>
        </w:rPr>
        <w:t>ROI</w:t>
      </w:r>
      <w:r w:rsidRPr="009413F6">
        <w:rPr>
          <w:rFonts w:ascii="Arial" w:hAnsi="Arial" w:cs="Arial"/>
          <w:sz w:val="20"/>
          <w:szCs w:val="20"/>
        </w:rPr>
        <w:t xml:space="preserve"> = (MVE – MVB</w:t>
      </w:r>
      <w:r>
        <w:rPr>
          <w:rFonts w:ascii="Arial" w:hAnsi="Arial" w:cs="Arial"/>
          <w:sz w:val="20"/>
          <w:szCs w:val="20"/>
        </w:rPr>
        <w:t xml:space="preserve"> - NCF</w:t>
      </w:r>
      <w:r w:rsidRPr="009413F6">
        <w:rPr>
          <w:rFonts w:ascii="Arial" w:hAnsi="Arial" w:cs="Arial"/>
          <w:sz w:val="20"/>
          <w:szCs w:val="20"/>
        </w:rPr>
        <w:t xml:space="preserve">) / </w:t>
      </w:r>
      <w:r>
        <w:rPr>
          <w:rFonts w:ascii="Arial" w:hAnsi="Arial" w:cs="Arial"/>
          <w:sz w:val="20"/>
          <w:szCs w:val="20"/>
        </w:rPr>
        <w:t>(</w:t>
      </w:r>
      <w:r w:rsidRPr="009413F6">
        <w:rPr>
          <w:rFonts w:ascii="Arial" w:hAnsi="Arial" w:cs="Arial"/>
          <w:sz w:val="20"/>
          <w:szCs w:val="20"/>
        </w:rPr>
        <w:t>MVB</w:t>
      </w:r>
      <w:r>
        <w:rPr>
          <w:rFonts w:ascii="Arial" w:hAnsi="Arial" w:cs="Arial"/>
          <w:sz w:val="20"/>
          <w:szCs w:val="20"/>
        </w:rPr>
        <w:t xml:space="preserve"> + NCF)</w:t>
      </w:r>
    </w:p>
    <w:p w:rsidR="003E7142" w:rsidRDefault="003E7142" w:rsidP="003E7142">
      <w:pPr>
        <w:rPr>
          <w:rFonts w:ascii="Arial" w:hAnsi="Arial" w:cs="Arial"/>
          <w:sz w:val="20"/>
          <w:szCs w:val="20"/>
        </w:rPr>
      </w:pPr>
      <w:r>
        <w:rPr>
          <w:rFonts w:ascii="Arial" w:hAnsi="Arial" w:cs="Arial"/>
          <w:sz w:val="20"/>
          <w:szCs w:val="20"/>
        </w:rPr>
        <w:t>W</w:t>
      </w:r>
      <w:r w:rsidRPr="009413F6">
        <w:rPr>
          <w:rFonts w:ascii="Arial" w:hAnsi="Arial" w:cs="Arial"/>
          <w:sz w:val="20"/>
          <w:szCs w:val="20"/>
        </w:rPr>
        <w:t xml:space="preserve">here MVE is the market value at the end of a given time period, and MVB is the market value at the </w:t>
      </w:r>
      <w:r>
        <w:rPr>
          <w:rFonts w:ascii="Arial" w:hAnsi="Arial" w:cs="Arial"/>
          <w:sz w:val="20"/>
          <w:szCs w:val="20"/>
        </w:rPr>
        <w:t>beginning of the time period, and NCF is the net cash flow</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lastRenderedPageBreak/>
        <w:t xml:space="preserve">NCF = CIF - </w:t>
      </w:r>
      <w:r w:rsidRPr="000634C6">
        <w:rPr>
          <w:rFonts w:ascii="Arial" w:hAnsi="Arial" w:cs="Arial"/>
          <w:sz w:val="20"/>
          <w:szCs w:val="20"/>
        </w:rPr>
        <w:t xml:space="preserve">  </w:t>
      </w:r>
      <w:r>
        <w:rPr>
          <w:rFonts w:ascii="Arial" w:hAnsi="Arial" w:cs="Arial"/>
          <w:sz w:val="20"/>
          <w:szCs w:val="20"/>
        </w:rPr>
        <w:t xml:space="preserve">COF </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Where, CIF = cash inflow</w:t>
      </w:r>
    </w:p>
    <w:p w:rsidR="003E7142" w:rsidRDefault="003E7142" w:rsidP="003E7142">
      <w:pPr>
        <w:rPr>
          <w:rFonts w:ascii="Arial" w:hAnsi="Arial" w:cs="Arial"/>
          <w:sz w:val="20"/>
          <w:szCs w:val="20"/>
        </w:rPr>
      </w:pPr>
      <w:r>
        <w:rPr>
          <w:rFonts w:ascii="Arial" w:hAnsi="Arial" w:cs="Arial"/>
          <w:sz w:val="20"/>
          <w:szCs w:val="20"/>
        </w:rPr>
        <w:t xml:space="preserve">             COF = cash outflow</w:t>
      </w:r>
    </w:p>
    <w:p w:rsidR="003E7142" w:rsidRDefault="003E7142" w:rsidP="003E7142"/>
    <w:p w:rsidR="003E7142" w:rsidRDefault="003E7142" w:rsidP="003E7142">
      <w:pPr>
        <w:rPr>
          <w:rFonts w:ascii="Arial" w:hAnsi="Arial" w:cs="Arial"/>
          <w:sz w:val="20"/>
          <w:szCs w:val="20"/>
        </w:rPr>
      </w:pPr>
      <w:r w:rsidRPr="00720576">
        <w:rPr>
          <w:rFonts w:ascii="Arial" w:hAnsi="Arial" w:cs="Arial"/>
          <w:sz w:val="20"/>
          <w:szCs w:val="20"/>
        </w:rPr>
        <w:t>The drawback of this method is that while it ignores the timing of the cash flows.</w:t>
      </w:r>
    </w:p>
    <w:p w:rsidR="003E7142" w:rsidRPr="00720576" w:rsidRDefault="003E7142" w:rsidP="003E7142">
      <w:pPr>
        <w:rPr>
          <w:rFonts w:ascii="Arial" w:hAnsi="Arial" w:cs="Arial"/>
          <w:sz w:val="20"/>
          <w:szCs w:val="20"/>
        </w:rPr>
      </w:pPr>
    </w:p>
    <w:p w:rsidR="003E7142" w:rsidRPr="00936708" w:rsidRDefault="00936708" w:rsidP="003E7142">
      <w:pPr>
        <w:pStyle w:val="Heading4"/>
        <w:keepNext w:val="0"/>
        <w:spacing w:before="120" w:after="120" w:line="240" w:lineRule="atLeast"/>
        <w:jc w:val="both"/>
        <w:rPr>
          <w:rFonts w:cs="Arial"/>
          <w:b/>
          <w:sz w:val="22"/>
          <w:szCs w:val="22"/>
        </w:rPr>
      </w:pPr>
      <w:r>
        <w:rPr>
          <w:rFonts w:cs="Arial"/>
          <w:b/>
          <w:sz w:val="22"/>
          <w:szCs w:val="22"/>
        </w:rPr>
        <w:t>Investment Performance V</w:t>
      </w:r>
      <w:r w:rsidR="003E7142" w:rsidRPr="00936708">
        <w:rPr>
          <w:rFonts w:cs="Arial"/>
          <w:b/>
          <w:sz w:val="22"/>
          <w:szCs w:val="22"/>
        </w:rPr>
        <w:t>s Manager Performance</w:t>
      </w:r>
    </w:p>
    <w:p w:rsidR="003E7142" w:rsidRDefault="003E7142" w:rsidP="003E7142">
      <w:pPr>
        <w:rPr>
          <w:rFonts w:ascii="Arial" w:hAnsi="Arial" w:cs="Arial"/>
          <w:sz w:val="20"/>
          <w:szCs w:val="20"/>
        </w:rPr>
      </w:pPr>
      <w:r>
        <w:rPr>
          <w:rFonts w:ascii="Arial" w:hAnsi="Arial" w:cs="Arial"/>
          <w:sz w:val="20"/>
          <w:szCs w:val="20"/>
        </w:rPr>
        <w:t>It is important to distinguish between the return that is accrued due to the asset allocation decisions of the investment manager, and the return that is accrued due to the amount and timing of cash flows by the investor.</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 xml:space="preserve">For example, </w:t>
      </w:r>
      <w:proofErr w:type="spellStart"/>
      <w:proofErr w:type="gramStart"/>
      <w:r>
        <w:rPr>
          <w:rFonts w:ascii="Arial" w:hAnsi="Arial" w:cs="Arial"/>
          <w:sz w:val="20"/>
          <w:szCs w:val="20"/>
        </w:rPr>
        <w:t>lets</w:t>
      </w:r>
      <w:proofErr w:type="spellEnd"/>
      <w:proofErr w:type="gramEnd"/>
      <w:r>
        <w:rPr>
          <w:rFonts w:ascii="Arial" w:hAnsi="Arial" w:cs="Arial"/>
          <w:sz w:val="20"/>
          <w:szCs w:val="20"/>
        </w:rPr>
        <w:t xml:space="preserve"> assume that a fund starts with a NAV of Rs 100. </w:t>
      </w:r>
    </w:p>
    <w:p w:rsidR="003E7142" w:rsidRDefault="003E7142" w:rsidP="003E7142">
      <w:pPr>
        <w:rPr>
          <w:rFonts w:ascii="Arial" w:hAnsi="Arial" w:cs="Arial"/>
          <w:sz w:val="20"/>
          <w:szCs w:val="20"/>
        </w:rPr>
      </w:pPr>
      <w:r>
        <w:rPr>
          <w:rFonts w:ascii="Arial" w:hAnsi="Arial" w:cs="Arial"/>
          <w:sz w:val="20"/>
          <w:szCs w:val="20"/>
        </w:rPr>
        <w:t>The following NAVs are observed during the next 1 year:</w:t>
      </w:r>
    </w:p>
    <w:p w:rsidR="003E7142" w:rsidRDefault="003E7142" w:rsidP="003E7142">
      <w:pPr>
        <w:rPr>
          <w:rFonts w:ascii="Arial" w:hAnsi="Arial" w:cs="Arial"/>
          <w:sz w:val="20"/>
          <w:szCs w:val="20"/>
        </w:rPr>
      </w:pPr>
      <w:proofErr w:type="gramStart"/>
      <w:r>
        <w:rPr>
          <w:rFonts w:ascii="Arial" w:hAnsi="Arial" w:cs="Arial"/>
          <w:sz w:val="20"/>
          <w:szCs w:val="20"/>
        </w:rPr>
        <w:t>N(</w:t>
      </w:r>
      <w:proofErr w:type="gramEnd"/>
      <w:r>
        <w:rPr>
          <w:rFonts w:ascii="Arial" w:hAnsi="Arial" w:cs="Arial"/>
          <w:sz w:val="20"/>
          <w:szCs w:val="20"/>
        </w:rPr>
        <w:t>0.25) = Rs 95</w:t>
      </w:r>
    </w:p>
    <w:p w:rsidR="003E7142" w:rsidRDefault="003E7142" w:rsidP="003E7142">
      <w:pPr>
        <w:rPr>
          <w:rFonts w:ascii="Arial" w:hAnsi="Arial" w:cs="Arial"/>
          <w:sz w:val="20"/>
          <w:szCs w:val="20"/>
        </w:rPr>
      </w:pPr>
      <w:proofErr w:type="gramStart"/>
      <w:r>
        <w:rPr>
          <w:rFonts w:ascii="Arial" w:hAnsi="Arial" w:cs="Arial"/>
          <w:sz w:val="20"/>
          <w:szCs w:val="20"/>
        </w:rPr>
        <w:t>N(</w:t>
      </w:r>
      <w:proofErr w:type="gramEnd"/>
      <w:r>
        <w:rPr>
          <w:rFonts w:ascii="Arial" w:hAnsi="Arial" w:cs="Arial"/>
          <w:sz w:val="20"/>
          <w:szCs w:val="20"/>
        </w:rPr>
        <w:t>0.5) = Rs 110</w:t>
      </w:r>
    </w:p>
    <w:p w:rsidR="003E7142" w:rsidRDefault="003E7142" w:rsidP="003E7142">
      <w:pPr>
        <w:rPr>
          <w:rFonts w:ascii="Arial" w:hAnsi="Arial" w:cs="Arial"/>
          <w:sz w:val="20"/>
          <w:szCs w:val="20"/>
        </w:rPr>
      </w:pPr>
      <w:proofErr w:type="gramStart"/>
      <w:r>
        <w:rPr>
          <w:rFonts w:ascii="Arial" w:hAnsi="Arial" w:cs="Arial"/>
          <w:sz w:val="20"/>
          <w:szCs w:val="20"/>
        </w:rPr>
        <w:t>N(</w:t>
      </w:r>
      <w:proofErr w:type="gramEnd"/>
      <w:r>
        <w:rPr>
          <w:rFonts w:ascii="Arial" w:hAnsi="Arial" w:cs="Arial"/>
          <w:sz w:val="20"/>
          <w:szCs w:val="20"/>
        </w:rPr>
        <w:t>0.75) = Rs 90</w:t>
      </w:r>
    </w:p>
    <w:p w:rsidR="003E7142" w:rsidRDefault="003E7142" w:rsidP="003E7142">
      <w:pPr>
        <w:rPr>
          <w:rFonts w:ascii="Arial" w:hAnsi="Arial" w:cs="Arial"/>
          <w:sz w:val="20"/>
          <w:szCs w:val="20"/>
        </w:rPr>
      </w:pPr>
      <w:proofErr w:type="gramStart"/>
      <w:r>
        <w:rPr>
          <w:rFonts w:ascii="Arial" w:hAnsi="Arial" w:cs="Arial"/>
          <w:sz w:val="20"/>
          <w:szCs w:val="20"/>
        </w:rPr>
        <w:t>N(</w:t>
      </w:r>
      <w:proofErr w:type="gramEnd"/>
      <w:r>
        <w:rPr>
          <w:rFonts w:ascii="Arial" w:hAnsi="Arial" w:cs="Arial"/>
          <w:sz w:val="20"/>
          <w:szCs w:val="20"/>
        </w:rPr>
        <w:t>1) = Rs 140</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The fund manager has converted Rs 100 to Rs 140 during 1 year, thus, the annual return on investment is (140-100)/100-1 = 40%</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However, consider two investors A and B.</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A invests at the beginning of the year (when the NAV is Rs 100); however, he withdraws after 9 months (when the NAV is Rs 90).</w:t>
      </w:r>
    </w:p>
    <w:p w:rsidR="003E7142" w:rsidRDefault="003E7142" w:rsidP="003E7142">
      <w:pPr>
        <w:rPr>
          <w:rFonts w:ascii="Arial" w:hAnsi="Arial" w:cs="Arial"/>
          <w:sz w:val="20"/>
          <w:szCs w:val="20"/>
        </w:rPr>
      </w:pPr>
      <w:r>
        <w:rPr>
          <w:rFonts w:ascii="Arial" w:hAnsi="Arial" w:cs="Arial"/>
          <w:sz w:val="20"/>
          <w:szCs w:val="20"/>
        </w:rPr>
        <w:t>B invests at the end of 9 months (when the NAV is Rs 90) and withdraws at the end of the year (when the NAV is Rs 140).</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 xml:space="preserve">Return for A = (90- 100)/100 = -10% </w:t>
      </w:r>
    </w:p>
    <w:p w:rsidR="003E7142" w:rsidRDefault="003E7142" w:rsidP="003E7142">
      <w:pPr>
        <w:rPr>
          <w:rFonts w:ascii="Arial" w:hAnsi="Arial" w:cs="Arial"/>
          <w:sz w:val="20"/>
          <w:szCs w:val="20"/>
        </w:rPr>
      </w:pPr>
      <w:r>
        <w:rPr>
          <w:rFonts w:ascii="Arial" w:hAnsi="Arial" w:cs="Arial"/>
          <w:sz w:val="20"/>
          <w:szCs w:val="20"/>
        </w:rPr>
        <w:t xml:space="preserve">Return for B = (140-90)/90 = +55.56% </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Though both A and B were invested in the same fund, investor B realized a far higher return than investor A due to better timing of investment. If both of them had invested for the entire 1-year period, they would both have realized a 40% return.</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Here we have assumed that the amount invested by both A and B is same.</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 xml:space="preserve">Let’s assume that both </w:t>
      </w:r>
      <w:proofErr w:type="gramStart"/>
      <w:r>
        <w:rPr>
          <w:rFonts w:ascii="Arial" w:hAnsi="Arial" w:cs="Arial"/>
          <w:sz w:val="20"/>
          <w:szCs w:val="20"/>
        </w:rPr>
        <w:t>A and</w:t>
      </w:r>
      <w:proofErr w:type="gramEnd"/>
      <w:r>
        <w:rPr>
          <w:rFonts w:ascii="Arial" w:hAnsi="Arial" w:cs="Arial"/>
          <w:sz w:val="20"/>
          <w:szCs w:val="20"/>
        </w:rPr>
        <w:t xml:space="preserve"> B are invested for the entire 1-year period. </w:t>
      </w:r>
    </w:p>
    <w:p w:rsidR="003E7142" w:rsidRDefault="003E7142" w:rsidP="003E7142">
      <w:pPr>
        <w:rPr>
          <w:rFonts w:ascii="Arial" w:hAnsi="Arial" w:cs="Arial"/>
          <w:sz w:val="20"/>
          <w:szCs w:val="20"/>
        </w:rPr>
      </w:pPr>
      <w:r>
        <w:rPr>
          <w:rFonts w:ascii="Arial" w:hAnsi="Arial" w:cs="Arial"/>
          <w:sz w:val="20"/>
          <w:szCs w:val="20"/>
        </w:rPr>
        <w:t xml:space="preserve">But, A buys 100 units at the start of year. He sells off 50 units at the end of 9 months. </w:t>
      </w:r>
    </w:p>
    <w:p w:rsidR="003E7142" w:rsidRDefault="003E7142" w:rsidP="003E7142">
      <w:pPr>
        <w:rPr>
          <w:rFonts w:ascii="Arial" w:hAnsi="Arial" w:cs="Arial"/>
          <w:sz w:val="20"/>
          <w:szCs w:val="20"/>
        </w:rPr>
      </w:pPr>
      <w:r>
        <w:rPr>
          <w:rFonts w:ascii="Arial" w:hAnsi="Arial" w:cs="Arial"/>
          <w:sz w:val="20"/>
          <w:szCs w:val="20"/>
        </w:rPr>
        <w:t>B buys 50 units at the start of the year and buys 50 more at the end of 9 months.</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Return for A = (50*90</w:t>
      </w:r>
      <w:proofErr w:type="gramStart"/>
      <w:r>
        <w:rPr>
          <w:rFonts w:ascii="Arial" w:hAnsi="Arial" w:cs="Arial"/>
          <w:sz w:val="20"/>
          <w:szCs w:val="20"/>
        </w:rPr>
        <w:t>)+</w:t>
      </w:r>
      <w:proofErr w:type="gramEnd"/>
      <w:r>
        <w:rPr>
          <w:rFonts w:ascii="Arial" w:hAnsi="Arial" w:cs="Arial"/>
          <w:sz w:val="20"/>
          <w:szCs w:val="20"/>
        </w:rPr>
        <w:t>(50*140)-(100*100) / (100*100) = 15%</w:t>
      </w:r>
    </w:p>
    <w:p w:rsidR="003E7142" w:rsidRDefault="003E7142" w:rsidP="003E7142">
      <w:pPr>
        <w:rPr>
          <w:rFonts w:ascii="Arial" w:hAnsi="Arial" w:cs="Arial"/>
          <w:sz w:val="20"/>
          <w:szCs w:val="20"/>
        </w:rPr>
      </w:pPr>
      <w:r>
        <w:rPr>
          <w:rFonts w:ascii="Arial" w:hAnsi="Arial" w:cs="Arial"/>
          <w:sz w:val="20"/>
          <w:szCs w:val="20"/>
        </w:rPr>
        <w:t xml:space="preserve"> Return for B = (100*140)-(50*90+50*100) / (50*90+50*100) = 47%</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The amount invested can either accentuate or moderate the effects of timing. In the above case, it has moderated the timing effect.</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 xml:space="preserve">If both </w:t>
      </w:r>
      <w:proofErr w:type="gramStart"/>
      <w:r>
        <w:rPr>
          <w:rFonts w:ascii="Arial" w:hAnsi="Arial" w:cs="Arial"/>
          <w:sz w:val="20"/>
          <w:szCs w:val="20"/>
        </w:rPr>
        <w:t>A and</w:t>
      </w:r>
      <w:proofErr w:type="gramEnd"/>
      <w:r>
        <w:rPr>
          <w:rFonts w:ascii="Arial" w:hAnsi="Arial" w:cs="Arial"/>
          <w:sz w:val="20"/>
          <w:szCs w:val="20"/>
        </w:rPr>
        <w:t xml:space="preserve"> B had invested at the beginning of the year and stayed invested thru the year, they would have realized a return of 40%, which is entirely due to the investment decisions of the investment manager. However, the investor A’s underperformance or investor B’s outperformance is due to their timing decisions. The investment manager cannot be held responsible for it because, the investment manager cannot control these cash flows.</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Two different measures are therefore necessary to separate out investment performance from investment manager performance.</w:t>
      </w:r>
    </w:p>
    <w:p w:rsidR="003E7142" w:rsidRDefault="003E7142" w:rsidP="003E7142">
      <w:pPr>
        <w:rPr>
          <w:rFonts w:ascii="Arial" w:hAnsi="Arial" w:cs="Arial"/>
          <w:sz w:val="20"/>
          <w:szCs w:val="20"/>
        </w:rPr>
      </w:pPr>
    </w:p>
    <w:p w:rsidR="003E7142" w:rsidRDefault="003E7142" w:rsidP="003E7142">
      <w:pPr>
        <w:rPr>
          <w:rFonts w:ascii="Arial" w:hAnsi="Arial" w:cs="Arial"/>
          <w:sz w:val="20"/>
          <w:szCs w:val="20"/>
        </w:rPr>
      </w:pPr>
      <w:r>
        <w:rPr>
          <w:rFonts w:ascii="Arial" w:hAnsi="Arial" w:cs="Arial"/>
          <w:sz w:val="20"/>
          <w:szCs w:val="20"/>
        </w:rPr>
        <w:t>Money-weighted return calculates investment performance, while time-weighted return calculates investment manager performance.</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Money-weighted Return</w:t>
      </w:r>
    </w:p>
    <w:p w:rsidR="003E7142" w:rsidRPr="000F465B" w:rsidRDefault="003E7142" w:rsidP="003E7142">
      <w:pPr>
        <w:rPr>
          <w:rFonts w:ascii="Arial" w:hAnsi="Arial" w:cs="Arial"/>
          <w:sz w:val="20"/>
          <w:szCs w:val="20"/>
        </w:rPr>
      </w:pPr>
      <w:r w:rsidRPr="000F465B">
        <w:rPr>
          <w:rFonts w:ascii="Arial" w:hAnsi="Arial" w:cs="Arial"/>
          <w:sz w:val="20"/>
          <w:szCs w:val="20"/>
        </w:rPr>
        <w:t>This method calculates a single rate of return for an investor, irrespective of the number of times the investor deploys / withdraws cash.</w:t>
      </w:r>
    </w:p>
    <w:p w:rsidR="003E7142" w:rsidRPr="00936708" w:rsidRDefault="003E7142" w:rsidP="003E7142">
      <w:pPr>
        <w:pStyle w:val="Heading4"/>
        <w:rPr>
          <w:b/>
          <w:sz w:val="22"/>
          <w:szCs w:val="22"/>
        </w:rPr>
      </w:pPr>
      <w:r w:rsidRPr="00936708">
        <w:rPr>
          <w:b/>
          <w:sz w:val="22"/>
          <w:szCs w:val="22"/>
        </w:rPr>
        <w:t>Internal Rate of Return</w:t>
      </w:r>
    </w:p>
    <w:p w:rsidR="003E7142" w:rsidRPr="000F465B" w:rsidRDefault="003E7142" w:rsidP="003E7142">
      <w:pPr>
        <w:rPr>
          <w:rFonts w:ascii="Arial" w:hAnsi="Arial" w:cs="Arial"/>
          <w:sz w:val="20"/>
          <w:szCs w:val="20"/>
        </w:rPr>
      </w:pPr>
      <w:r w:rsidRPr="000F465B">
        <w:rPr>
          <w:rFonts w:ascii="Arial" w:hAnsi="Arial" w:cs="Arial"/>
          <w:sz w:val="20"/>
          <w:szCs w:val="20"/>
        </w:rPr>
        <w:t>This is a single rate of return that causes the beginning market value and intermediate cash flows to grow to the ending market value.</w:t>
      </w:r>
    </w:p>
    <w:p w:rsidR="003E7142" w:rsidRPr="000F465B" w:rsidRDefault="003E7142" w:rsidP="003E7142">
      <w:pPr>
        <w:rPr>
          <w:rFonts w:ascii="Arial" w:hAnsi="Arial" w:cs="Arial"/>
          <w:sz w:val="20"/>
          <w:szCs w:val="20"/>
        </w:rPr>
      </w:pPr>
    </w:p>
    <w:p w:rsidR="003E7142" w:rsidRPr="000F465B" w:rsidRDefault="003E7142" w:rsidP="003E7142">
      <w:pPr>
        <w:rPr>
          <w:rFonts w:ascii="Arial" w:hAnsi="Arial" w:cs="Arial"/>
          <w:sz w:val="20"/>
          <w:szCs w:val="20"/>
        </w:rPr>
      </w:pPr>
      <w:r w:rsidRPr="000F465B">
        <w:rPr>
          <w:rFonts w:ascii="Arial" w:hAnsi="Arial" w:cs="Arial"/>
          <w:sz w:val="20"/>
          <w:szCs w:val="20"/>
        </w:rPr>
        <w:t>IRR will solve the following equation:</w:t>
      </w:r>
    </w:p>
    <w:p w:rsidR="003E7142" w:rsidRPr="000F465B" w:rsidRDefault="003E7142" w:rsidP="003E7142">
      <w:pPr>
        <w:rPr>
          <w:rFonts w:ascii="Arial" w:hAnsi="Arial" w:cs="Arial"/>
          <w:sz w:val="20"/>
          <w:szCs w:val="20"/>
        </w:rPr>
      </w:pPr>
    </w:p>
    <w:p w:rsidR="003E7142" w:rsidRPr="000F465B" w:rsidRDefault="003E7142" w:rsidP="003E7142">
      <w:pPr>
        <w:rPr>
          <w:rFonts w:ascii="Arial" w:hAnsi="Arial" w:cs="Arial"/>
          <w:sz w:val="20"/>
          <w:szCs w:val="20"/>
          <w:vertAlign w:val="superscript"/>
        </w:rPr>
      </w:pPr>
      <w:r w:rsidRPr="000F465B">
        <w:rPr>
          <w:rFonts w:ascii="Arial" w:hAnsi="Arial" w:cs="Arial"/>
          <w:sz w:val="20"/>
          <w:szCs w:val="20"/>
        </w:rPr>
        <w:t>MVE = MVB* (1+IRR) + CF1 * (1+IRR</w:t>
      </w:r>
      <w:proofErr w:type="gramStart"/>
      <w:r w:rsidRPr="000F465B">
        <w:rPr>
          <w:rFonts w:ascii="Arial" w:hAnsi="Arial" w:cs="Arial"/>
          <w:sz w:val="20"/>
          <w:szCs w:val="20"/>
        </w:rPr>
        <w:t>)</w:t>
      </w:r>
      <w:r w:rsidRPr="000F465B">
        <w:rPr>
          <w:rFonts w:ascii="Arial" w:hAnsi="Arial" w:cs="Arial"/>
          <w:sz w:val="20"/>
          <w:szCs w:val="20"/>
          <w:vertAlign w:val="superscript"/>
        </w:rPr>
        <w:t>P1</w:t>
      </w:r>
      <w:proofErr w:type="gramEnd"/>
      <w:r w:rsidRPr="000F465B">
        <w:rPr>
          <w:rFonts w:ascii="Arial" w:hAnsi="Arial" w:cs="Arial"/>
          <w:sz w:val="20"/>
          <w:szCs w:val="20"/>
        </w:rPr>
        <w:t xml:space="preserve"> + CF2 * (1+IRR)</w:t>
      </w:r>
      <w:r w:rsidRPr="000F465B">
        <w:rPr>
          <w:rFonts w:ascii="Arial" w:hAnsi="Arial" w:cs="Arial"/>
          <w:sz w:val="20"/>
          <w:szCs w:val="20"/>
          <w:vertAlign w:val="superscript"/>
        </w:rPr>
        <w:t>P2</w:t>
      </w:r>
      <w:r w:rsidRPr="000F465B">
        <w:rPr>
          <w:rFonts w:ascii="Arial" w:hAnsi="Arial" w:cs="Arial"/>
          <w:sz w:val="20"/>
          <w:szCs w:val="20"/>
        </w:rPr>
        <w:t xml:space="preserve"> + …… + </w:t>
      </w:r>
      <w:proofErr w:type="spellStart"/>
      <w:r w:rsidRPr="000F465B">
        <w:rPr>
          <w:rFonts w:ascii="Arial" w:hAnsi="Arial" w:cs="Arial"/>
          <w:sz w:val="20"/>
          <w:szCs w:val="20"/>
        </w:rPr>
        <w:t>CFn</w:t>
      </w:r>
      <w:proofErr w:type="spellEnd"/>
      <w:r w:rsidRPr="000F465B">
        <w:rPr>
          <w:rFonts w:ascii="Arial" w:hAnsi="Arial" w:cs="Arial"/>
          <w:sz w:val="20"/>
          <w:szCs w:val="20"/>
        </w:rPr>
        <w:t xml:space="preserve"> * (1+IRR)</w:t>
      </w:r>
      <w:proofErr w:type="spellStart"/>
      <w:r w:rsidRPr="000F465B">
        <w:rPr>
          <w:rFonts w:ascii="Arial" w:hAnsi="Arial" w:cs="Arial"/>
          <w:sz w:val="20"/>
          <w:szCs w:val="20"/>
          <w:vertAlign w:val="superscript"/>
        </w:rPr>
        <w:t>Pn</w:t>
      </w:r>
      <w:proofErr w:type="spellEnd"/>
    </w:p>
    <w:p w:rsidR="003E7142" w:rsidRPr="000F465B" w:rsidRDefault="003E7142" w:rsidP="003E7142">
      <w:pPr>
        <w:rPr>
          <w:rFonts w:ascii="Arial" w:hAnsi="Arial" w:cs="Arial"/>
          <w:sz w:val="20"/>
          <w:szCs w:val="20"/>
          <w:vertAlign w:val="superscript"/>
        </w:rPr>
      </w:pPr>
    </w:p>
    <w:p w:rsidR="003E7142" w:rsidRPr="000F465B" w:rsidRDefault="003E7142" w:rsidP="003E7142">
      <w:pPr>
        <w:rPr>
          <w:rFonts w:ascii="Arial" w:hAnsi="Arial" w:cs="Arial"/>
          <w:sz w:val="20"/>
          <w:szCs w:val="20"/>
        </w:rPr>
      </w:pPr>
      <w:r w:rsidRPr="000F465B">
        <w:rPr>
          <w:rFonts w:ascii="Arial" w:hAnsi="Arial" w:cs="Arial"/>
          <w:sz w:val="20"/>
          <w:szCs w:val="20"/>
        </w:rPr>
        <w:t>Where, P1…</w:t>
      </w:r>
      <w:proofErr w:type="spellStart"/>
      <w:r w:rsidRPr="000F465B">
        <w:rPr>
          <w:rFonts w:ascii="Arial" w:hAnsi="Arial" w:cs="Arial"/>
          <w:sz w:val="20"/>
          <w:szCs w:val="20"/>
        </w:rPr>
        <w:t>Pn</w:t>
      </w:r>
      <w:proofErr w:type="spellEnd"/>
      <w:r w:rsidRPr="000F465B">
        <w:rPr>
          <w:rFonts w:ascii="Arial" w:hAnsi="Arial" w:cs="Arial"/>
          <w:sz w:val="20"/>
          <w:szCs w:val="20"/>
        </w:rPr>
        <w:t xml:space="preserve"> are the fractional time periods for which respective cash flows have been deployed. These periods are expressed as a fraction of total duration of the investment.</w:t>
      </w:r>
    </w:p>
    <w:p w:rsidR="003E7142" w:rsidRPr="000F465B" w:rsidRDefault="003E7142" w:rsidP="003E7142">
      <w:pPr>
        <w:rPr>
          <w:rFonts w:ascii="Arial" w:hAnsi="Arial" w:cs="Arial"/>
          <w:sz w:val="20"/>
          <w:szCs w:val="20"/>
        </w:rPr>
      </w:pPr>
    </w:p>
    <w:p w:rsidR="003E7142" w:rsidRPr="000F465B" w:rsidRDefault="003E7142" w:rsidP="003E7142">
      <w:pPr>
        <w:rPr>
          <w:rFonts w:ascii="Arial" w:hAnsi="Arial" w:cs="Arial"/>
          <w:sz w:val="20"/>
          <w:szCs w:val="20"/>
        </w:rPr>
      </w:pPr>
      <w:r w:rsidRPr="000F465B">
        <w:rPr>
          <w:rFonts w:ascii="Arial" w:hAnsi="Arial" w:cs="Arial"/>
          <w:sz w:val="20"/>
          <w:szCs w:val="20"/>
        </w:rPr>
        <w:t>IRR is the accurate measure of money-weighted return. However, the limitation of IRR is the computational difficulty. IRR has to be calculated iteratively on a trail-and-error basis. In practice, this increases the computational load by orders of magnitude, as number of iterations increases and the number of return calculations increases.</w:t>
      </w:r>
    </w:p>
    <w:p w:rsidR="003E7142" w:rsidRPr="000F465B" w:rsidRDefault="003E7142" w:rsidP="003E7142">
      <w:pPr>
        <w:rPr>
          <w:rFonts w:ascii="Arial" w:hAnsi="Arial" w:cs="Arial"/>
          <w:sz w:val="20"/>
          <w:szCs w:val="20"/>
        </w:rPr>
      </w:pPr>
    </w:p>
    <w:p w:rsidR="003E7142" w:rsidRPr="000F465B" w:rsidRDefault="003E7142" w:rsidP="003E7142">
      <w:pPr>
        <w:rPr>
          <w:rFonts w:ascii="Arial" w:hAnsi="Arial" w:cs="Arial"/>
          <w:sz w:val="20"/>
          <w:szCs w:val="20"/>
        </w:rPr>
      </w:pPr>
      <w:r w:rsidRPr="000F465B">
        <w:rPr>
          <w:rFonts w:ascii="Arial" w:hAnsi="Arial" w:cs="Arial"/>
          <w:sz w:val="20"/>
          <w:szCs w:val="20"/>
        </w:rPr>
        <w:t>Therefore, an approximation of IRR is used to calculate money-weighted return. The best approximation that is used as industry standard is called ‘Modified Dietz’ method.</w:t>
      </w:r>
    </w:p>
    <w:p w:rsidR="003E7142" w:rsidRPr="00936708" w:rsidRDefault="003E7142" w:rsidP="003E7142">
      <w:pPr>
        <w:pStyle w:val="Heading4"/>
        <w:rPr>
          <w:b/>
          <w:sz w:val="22"/>
          <w:szCs w:val="22"/>
        </w:rPr>
      </w:pPr>
      <w:r w:rsidRPr="00936708">
        <w:rPr>
          <w:b/>
          <w:sz w:val="22"/>
          <w:szCs w:val="22"/>
        </w:rPr>
        <w:t>Modified Dietz Return</w:t>
      </w:r>
    </w:p>
    <w:p w:rsidR="003E7142" w:rsidRPr="009413F6" w:rsidRDefault="003E7142" w:rsidP="003E7142">
      <w:pPr>
        <w:pStyle w:val="body"/>
        <w:spacing w:before="120" w:after="120" w:line="240" w:lineRule="auto"/>
        <w:jc w:val="both"/>
        <w:rPr>
          <w:rFonts w:ascii="Arial" w:hAnsi="Arial" w:cs="Arial"/>
          <w:sz w:val="20"/>
          <w:szCs w:val="20"/>
        </w:rPr>
      </w:pPr>
      <w:r>
        <w:rPr>
          <w:rFonts w:ascii="Arial" w:hAnsi="Arial" w:cs="Arial"/>
          <w:sz w:val="20"/>
          <w:szCs w:val="20"/>
        </w:rPr>
        <w:t>This is the best approximation of money-weighted return.</w:t>
      </w:r>
      <w:r w:rsidRPr="009413F6">
        <w:rPr>
          <w:rFonts w:ascii="Arial" w:hAnsi="Arial" w:cs="Arial"/>
          <w:sz w:val="20"/>
          <w:szCs w:val="20"/>
        </w:rPr>
        <w:t xml:space="preserve"> </w:t>
      </w:r>
    </w:p>
    <w:p w:rsidR="003E7142" w:rsidRDefault="003E7142" w:rsidP="003E7142">
      <w:pPr>
        <w:pStyle w:val="body"/>
        <w:spacing w:before="120" w:after="120" w:line="240" w:lineRule="auto"/>
        <w:jc w:val="both"/>
        <w:rPr>
          <w:rFonts w:ascii="Arial" w:hAnsi="Arial" w:cs="Arial"/>
          <w:noProof/>
        </w:rPr>
      </w:pPr>
      <w:r>
        <w:rPr>
          <w:rFonts w:ascii="Arial" w:hAnsi="Arial" w:cs="Arial"/>
          <w:noProof/>
        </w:rPr>
        <w:t xml:space="preserve">                           EMV – BMV – ∑ CF</w:t>
      </w:r>
      <w:r w:rsidRPr="00C71BFC">
        <w:rPr>
          <w:rFonts w:ascii="Arial" w:hAnsi="Arial" w:cs="Arial"/>
          <w:noProof/>
          <w:vertAlign w:val="subscript"/>
        </w:rPr>
        <w:t>i</w:t>
      </w:r>
    </w:p>
    <w:p w:rsidR="003E7142" w:rsidRDefault="003E7142" w:rsidP="003E7142">
      <w:pPr>
        <w:pStyle w:val="body"/>
        <w:spacing w:before="120" w:after="120" w:line="240" w:lineRule="auto"/>
        <w:jc w:val="both"/>
        <w:rPr>
          <w:rFonts w:ascii="Arial" w:hAnsi="Arial" w:cs="Arial"/>
          <w:noProof/>
        </w:rPr>
      </w:pPr>
      <w:r>
        <w:rPr>
          <w:rFonts w:ascii="Arial" w:hAnsi="Arial" w:cs="Arial"/>
          <w:noProof/>
        </w:rPr>
        <w:t>MDR  =              ------------------------------</w:t>
      </w:r>
    </w:p>
    <w:p w:rsidR="003E7142" w:rsidRPr="009413F6" w:rsidRDefault="003E7142" w:rsidP="003E7142">
      <w:pPr>
        <w:pStyle w:val="body"/>
        <w:spacing w:before="120" w:after="120" w:line="240" w:lineRule="auto"/>
        <w:jc w:val="both"/>
        <w:rPr>
          <w:rFonts w:ascii="Arial" w:hAnsi="Arial" w:cs="Arial"/>
          <w:szCs w:val="22"/>
        </w:rPr>
      </w:pPr>
      <w:r>
        <w:rPr>
          <w:rFonts w:ascii="Arial" w:hAnsi="Arial" w:cs="Arial"/>
          <w:szCs w:val="22"/>
        </w:rPr>
        <w:t xml:space="preserve">                                BMV + </w:t>
      </w:r>
      <w:r>
        <w:rPr>
          <w:rFonts w:ascii="Arial" w:hAnsi="Arial" w:cs="Arial"/>
          <w:noProof/>
        </w:rPr>
        <w:t xml:space="preserve">∑ </w:t>
      </w:r>
      <w:proofErr w:type="spellStart"/>
      <w:r>
        <w:rPr>
          <w:rFonts w:ascii="Arial" w:hAnsi="Arial" w:cs="Arial"/>
          <w:szCs w:val="22"/>
        </w:rPr>
        <w:t>w</w:t>
      </w:r>
      <w:r w:rsidRPr="00C71BFC">
        <w:rPr>
          <w:rFonts w:ascii="Arial" w:hAnsi="Arial" w:cs="Arial"/>
          <w:szCs w:val="22"/>
          <w:vertAlign w:val="subscript"/>
        </w:rPr>
        <w:t>i</w:t>
      </w:r>
      <w:r>
        <w:rPr>
          <w:rFonts w:ascii="Arial" w:hAnsi="Arial" w:cs="Arial"/>
          <w:szCs w:val="22"/>
        </w:rPr>
        <w:t>CF</w:t>
      </w:r>
      <w:r w:rsidRPr="00C71BFC">
        <w:rPr>
          <w:rFonts w:ascii="Arial" w:hAnsi="Arial" w:cs="Arial"/>
          <w:szCs w:val="22"/>
          <w:vertAlign w:val="subscript"/>
        </w:rPr>
        <w:t>i</w:t>
      </w:r>
      <w:proofErr w:type="spellEnd"/>
    </w:p>
    <w:p w:rsidR="003E7142" w:rsidRDefault="003E7142" w:rsidP="003E7142">
      <w:pPr>
        <w:pStyle w:val="body"/>
        <w:spacing w:before="120" w:after="120" w:line="240" w:lineRule="auto"/>
        <w:jc w:val="both"/>
        <w:rPr>
          <w:rFonts w:ascii="Arial" w:hAnsi="Arial" w:cs="Arial"/>
          <w:sz w:val="20"/>
          <w:szCs w:val="20"/>
        </w:rPr>
      </w:pPr>
      <w:proofErr w:type="gramStart"/>
      <w:r w:rsidRPr="009413F6">
        <w:rPr>
          <w:rFonts w:ascii="Arial" w:hAnsi="Arial" w:cs="Arial"/>
          <w:sz w:val="20"/>
          <w:szCs w:val="20"/>
        </w:rPr>
        <w:t>where</w:t>
      </w:r>
      <w:proofErr w:type="gramEnd"/>
      <w:r w:rsidRPr="009413F6">
        <w:rPr>
          <w:rFonts w:ascii="Arial" w:hAnsi="Arial" w:cs="Arial"/>
          <w:sz w:val="20"/>
          <w:szCs w:val="20"/>
        </w:rPr>
        <w:t xml:space="preserve"> </w:t>
      </w:r>
      <w:r>
        <w:rPr>
          <w:rFonts w:ascii="Arial" w:hAnsi="Arial" w:cs="Arial"/>
          <w:sz w:val="20"/>
          <w:szCs w:val="20"/>
        </w:rPr>
        <w:t>EMV = Ending market value</w:t>
      </w:r>
    </w:p>
    <w:p w:rsidR="003E7142" w:rsidRDefault="003E7142" w:rsidP="003E7142">
      <w:pPr>
        <w:pStyle w:val="body"/>
        <w:spacing w:before="120" w:after="120" w:line="240" w:lineRule="auto"/>
        <w:jc w:val="both"/>
        <w:rPr>
          <w:rFonts w:ascii="Arial" w:hAnsi="Arial" w:cs="Arial"/>
          <w:sz w:val="20"/>
          <w:szCs w:val="20"/>
        </w:rPr>
      </w:pPr>
      <w:r>
        <w:rPr>
          <w:rFonts w:ascii="Arial" w:hAnsi="Arial" w:cs="Arial"/>
          <w:sz w:val="20"/>
          <w:szCs w:val="20"/>
        </w:rPr>
        <w:t>BMV = beginning market value</w:t>
      </w:r>
    </w:p>
    <w:p w:rsidR="003E7142" w:rsidRDefault="003E7142" w:rsidP="003E7142">
      <w:pPr>
        <w:pStyle w:val="body"/>
        <w:spacing w:before="120" w:after="120" w:line="240" w:lineRule="auto"/>
        <w:jc w:val="both"/>
        <w:rPr>
          <w:rFonts w:ascii="Arial" w:hAnsi="Arial" w:cs="Arial"/>
          <w:sz w:val="20"/>
          <w:szCs w:val="20"/>
        </w:rPr>
      </w:pPr>
      <w:proofErr w:type="spellStart"/>
      <w:r>
        <w:rPr>
          <w:rFonts w:ascii="Arial" w:hAnsi="Arial" w:cs="Arial"/>
          <w:sz w:val="20"/>
          <w:szCs w:val="20"/>
        </w:rPr>
        <w:t>CFi</w:t>
      </w:r>
      <w:proofErr w:type="spellEnd"/>
      <w:r>
        <w:rPr>
          <w:rFonts w:ascii="Arial" w:hAnsi="Arial" w:cs="Arial"/>
          <w:sz w:val="20"/>
          <w:szCs w:val="20"/>
        </w:rPr>
        <w:t xml:space="preserve"> = </w:t>
      </w:r>
      <w:proofErr w:type="spellStart"/>
      <w:r>
        <w:rPr>
          <w:rFonts w:ascii="Arial" w:hAnsi="Arial" w:cs="Arial"/>
          <w:sz w:val="20"/>
          <w:szCs w:val="20"/>
        </w:rPr>
        <w:t>ith</w:t>
      </w:r>
      <w:proofErr w:type="spellEnd"/>
      <w:r>
        <w:rPr>
          <w:rFonts w:ascii="Arial" w:hAnsi="Arial" w:cs="Arial"/>
          <w:sz w:val="20"/>
          <w:szCs w:val="20"/>
        </w:rPr>
        <w:t xml:space="preserve"> cash flow </w:t>
      </w:r>
    </w:p>
    <w:p w:rsidR="003E7142" w:rsidRDefault="003E7142" w:rsidP="003E7142">
      <w:pPr>
        <w:pStyle w:val="body"/>
        <w:spacing w:before="120" w:after="120" w:line="240" w:lineRule="auto"/>
        <w:jc w:val="both"/>
        <w:rPr>
          <w:rFonts w:ascii="Arial" w:hAnsi="Arial" w:cs="Arial"/>
          <w:sz w:val="20"/>
          <w:szCs w:val="20"/>
        </w:rPr>
      </w:pPr>
      <w:proofErr w:type="spellStart"/>
      <w:proofErr w:type="gramStart"/>
      <w:r>
        <w:rPr>
          <w:rFonts w:ascii="Arial" w:hAnsi="Arial" w:cs="Arial"/>
          <w:sz w:val="20"/>
          <w:szCs w:val="20"/>
        </w:rPr>
        <w:t>Wi</w:t>
      </w:r>
      <w:proofErr w:type="spellEnd"/>
      <w:proofErr w:type="gramEnd"/>
      <w:r>
        <w:rPr>
          <w:rFonts w:ascii="Arial" w:hAnsi="Arial" w:cs="Arial"/>
          <w:sz w:val="20"/>
          <w:szCs w:val="20"/>
        </w:rPr>
        <w:t xml:space="preserve"> = weight of the </w:t>
      </w:r>
      <w:proofErr w:type="spellStart"/>
      <w:r>
        <w:rPr>
          <w:rFonts w:ascii="Arial" w:hAnsi="Arial" w:cs="Arial"/>
          <w:sz w:val="20"/>
          <w:szCs w:val="20"/>
        </w:rPr>
        <w:t>ith</w:t>
      </w:r>
      <w:proofErr w:type="spellEnd"/>
      <w:r>
        <w:rPr>
          <w:rFonts w:ascii="Arial" w:hAnsi="Arial" w:cs="Arial"/>
          <w:sz w:val="20"/>
          <w:szCs w:val="20"/>
        </w:rPr>
        <w:t xml:space="preserve"> cash flow = (no of days of measurement period – day on which the cash flow occurred**) / no of days of measurement period</w:t>
      </w:r>
    </w:p>
    <w:p w:rsidR="003E7142" w:rsidRDefault="003E7142" w:rsidP="003E7142">
      <w:pPr>
        <w:pStyle w:val="body"/>
        <w:spacing w:before="120" w:after="120" w:line="240" w:lineRule="auto"/>
        <w:jc w:val="both"/>
        <w:rPr>
          <w:rFonts w:ascii="Arial" w:hAnsi="Arial" w:cs="Arial"/>
          <w:sz w:val="20"/>
          <w:szCs w:val="20"/>
        </w:rPr>
      </w:pPr>
      <w:r>
        <w:rPr>
          <w:rFonts w:ascii="Arial" w:hAnsi="Arial" w:cs="Arial"/>
          <w:sz w:val="20"/>
          <w:szCs w:val="20"/>
        </w:rPr>
        <w:t>**assuming that the cash flow takes place at the end of the day</w:t>
      </w:r>
    </w:p>
    <w:p w:rsidR="003E7142" w:rsidRDefault="003E7142" w:rsidP="003E7142">
      <w:pPr>
        <w:pStyle w:val="body"/>
        <w:spacing w:before="120" w:after="120" w:line="240" w:lineRule="auto"/>
        <w:jc w:val="both"/>
        <w:rPr>
          <w:rFonts w:ascii="Arial" w:hAnsi="Arial" w:cs="Arial"/>
          <w:sz w:val="20"/>
          <w:szCs w:val="20"/>
        </w:rPr>
      </w:pPr>
      <w:r>
        <w:rPr>
          <w:rFonts w:ascii="Arial" w:hAnsi="Arial" w:cs="Arial"/>
          <w:sz w:val="20"/>
          <w:szCs w:val="20"/>
        </w:rPr>
        <w:lastRenderedPageBreak/>
        <w:t>MDR = Modified Dietz Return</w:t>
      </w:r>
    </w:p>
    <w:p w:rsidR="003E7142" w:rsidRPr="00936708" w:rsidRDefault="003E7142" w:rsidP="003E7142">
      <w:pPr>
        <w:pStyle w:val="Heading4"/>
        <w:keepNext w:val="0"/>
        <w:spacing w:before="120" w:after="120" w:line="240" w:lineRule="atLeast"/>
        <w:jc w:val="both"/>
        <w:rPr>
          <w:rFonts w:cs="Arial"/>
          <w:b/>
          <w:sz w:val="22"/>
          <w:szCs w:val="22"/>
        </w:rPr>
      </w:pPr>
      <w:r w:rsidRPr="00936708">
        <w:rPr>
          <w:rFonts w:cs="Arial"/>
          <w:b/>
          <w:sz w:val="22"/>
          <w:szCs w:val="22"/>
        </w:rPr>
        <w:t>Time-weighted Return</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 xml:space="preserve">Time-weighted Return (TWR) is the rate of return that eliminates the effect of additions and withdrawals, by measuring the performance as a percent of capital at work during each interval between cash flows, and then linking them together to produce a return for a stated period. </w:t>
      </w:r>
      <w:r>
        <w:rPr>
          <w:rFonts w:ascii="Arial" w:hAnsi="Arial" w:cs="Arial"/>
          <w:sz w:val="20"/>
          <w:szCs w:val="20"/>
        </w:rPr>
        <w:t>TWR is used to measure performance of the investment manager.</w:t>
      </w:r>
    </w:p>
    <w:p w:rsidR="003E7142" w:rsidRPr="009413F6" w:rsidRDefault="003E7142" w:rsidP="003E7142">
      <w:pPr>
        <w:pStyle w:val="body"/>
        <w:spacing w:before="120" w:after="120" w:line="240" w:lineRule="auto"/>
        <w:jc w:val="both"/>
        <w:rPr>
          <w:rFonts w:ascii="Arial" w:hAnsi="Arial" w:cs="Arial"/>
          <w:sz w:val="20"/>
          <w:szCs w:val="20"/>
        </w:rPr>
      </w:pPr>
      <w:r w:rsidRPr="009413F6">
        <w:rPr>
          <w:rFonts w:ascii="Arial" w:hAnsi="Arial" w:cs="Arial"/>
          <w:sz w:val="20"/>
          <w:szCs w:val="20"/>
        </w:rPr>
        <w:t>To calculate a TWR and eliminate the cash flow affects, it is important to first identify what is meant by a cash flow. It means any time an investor adds to, or takes away from his portfolio by contributing or withdrawing cash and/or securities. Each time there is a contribution or withdrawal, an interval return is calculated. Then a final interval return is calculated from the last cash flow to the end of the period. These interval returns are then multiplied together to get the TWR.</w:t>
      </w:r>
    </w:p>
    <w:p w:rsidR="003E7142" w:rsidRPr="00A95540" w:rsidRDefault="003E7142" w:rsidP="003E7142"/>
    <w:p w:rsidR="003E7142" w:rsidRDefault="003E7142" w:rsidP="003E7142">
      <w:pPr>
        <w:jc w:val="both"/>
        <w:rPr>
          <w:rFonts w:ascii="Arial" w:hAnsi="Arial" w:cs="Arial"/>
          <w:sz w:val="20"/>
          <w:szCs w:val="20"/>
        </w:rPr>
      </w:pPr>
      <w:r>
        <w:rPr>
          <w:rFonts w:ascii="Arial" w:hAnsi="Arial" w:cs="Arial"/>
          <w:sz w:val="20"/>
          <w:szCs w:val="20"/>
        </w:rPr>
        <w:t>Let’s assume the following NAVs for a fund during August 2008.</w:t>
      </w:r>
      <w:r w:rsidRPr="007F5C8B">
        <w:rPr>
          <w:rFonts w:ascii="Arial" w:hAnsi="Arial" w:cs="Arial"/>
          <w:sz w:val="20"/>
          <w:szCs w:val="20"/>
        </w:rPr>
        <w:t xml:space="preserve"> </w:t>
      </w:r>
    </w:p>
    <w:p w:rsidR="003E7142" w:rsidRPr="007F5C8B" w:rsidRDefault="003E7142" w:rsidP="003E7142">
      <w:pPr>
        <w:jc w:val="both"/>
        <w:rPr>
          <w:rFonts w:ascii="Arial" w:hAnsi="Arial" w:cs="Arial"/>
          <w:sz w:val="20"/>
          <w:szCs w:val="20"/>
        </w:rPr>
      </w:pPr>
    </w:p>
    <w:p w:rsidR="003E7142" w:rsidRPr="007F5C8B" w:rsidRDefault="003E7142" w:rsidP="003E7142">
      <w:pPr>
        <w:jc w:val="both"/>
        <w:rPr>
          <w:rFonts w:ascii="Arial" w:hAnsi="Arial" w:cs="Arial"/>
          <w:sz w:val="20"/>
          <w:szCs w:val="20"/>
        </w:rPr>
      </w:pPr>
      <w:r w:rsidRPr="007F5C8B">
        <w:rPr>
          <w:rFonts w:ascii="Arial" w:hAnsi="Arial" w:cs="Arial"/>
          <w:sz w:val="20"/>
          <w:szCs w:val="20"/>
        </w:rPr>
        <w:t>Therefore:</w:t>
      </w:r>
    </w:p>
    <w:p w:rsidR="003E7142" w:rsidRPr="007F5C8B" w:rsidRDefault="003E7142" w:rsidP="003E7142">
      <w:pPr>
        <w:jc w:val="both"/>
        <w:rPr>
          <w:rFonts w:ascii="Arial" w:hAnsi="Arial" w:cs="Arial"/>
          <w:sz w:val="20"/>
          <w:szCs w:val="20"/>
        </w:rPr>
      </w:pPr>
      <w:r>
        <w:rPr>
          <w:rFonts w:ascii="Arial" w:hAnsi="Arial" w:cs="Arial"/>
          <w:sz w:val="20"/>
          <w:szCs w:val="20"/>
        </w:rPr>
        <w:t xml:space="preserve">01-01-2008: </w:t>
      </w:r>
      <w:r w:rsidRPr="007F5C8B">
        <w:rPr>
          <w:rFonts w:ascii="Arial" w:hAnsi="Arial" w:cs="Arial"/>
          <w:sz w:val="20"/>
          <w:szCs w:val="20"/>
        </w:rPr>
        <w:t>Rs</w:t>
      </w:r>
      <w:r>
        <w:rPr>
          <w:rFonts w:ascii="Arial" w:hAnsi="Arial" w:cs="Arial"/>
          <w:sz w:val="20"/>
          <w:szCs w:val="20"/>
        </w:rPr>
        <w:t xml:space="preserve"> </w:t>
      </w:r>
      <w:r w:rsidRPr="007F5C8B">
        <w:rPr>
          <w:rFonts w:ascii="Arial" w:hAnsi="Arial" w:cs="Arial"/>
          <w:sz w:val="20"/>
          <w:szCs w:val="20"/>
        </w:rPr>
        <w:t>100</w:t>
      </w:r>
    </w:p>
    <w:p w:rsidR="003E7142" w:rsidRPr="007F5C8B" w:rsidRDefault="003E7142" w:rsidP="003E7142">
      <w:pPr>
        <w:jc w:val="both"/>
        <w:rPr>
          <w:rFonts w:ascii="Arial" w:hAnsi="Arial" w:cs="Arial"/>
          <w:sz w:val="20"/>
          <w:szCs w:val="20"/>
        </w:rPr>
      </w:pPr>
      <w:r>
        <w:rPr>
          <w:rFonts w:ascii="Arial" w:hAnsi="Arial" w:cs="Arial"/>
          <w:sz w:val="20"/>
          <w:szCs w:val="20"/>
        </w:rPr>
        <w:t xml:space="preserve">18-01-2008: </w:t>
      </w:r>
      <w:r w:rsidRPr="007F5C8B">
        <w:rPr>
          <w:rFonts w:ascii="Arial" w:hAnsi="Arial" w:cs="Arial"/>
          <w:sz w:val="20"/>
          <w:szCs w:val="20"/>
        </w:rPr>
        <w:t>Rs</w:t>
      </w:r>
      <w:r>
        <w:rPr>
          <w:rFonts w:ascii="Arial" w:hAnsi="Arial" w:cs="Arial"/>
          <w:sz w:val="20"/>
          <w:szCs w:val="20"/>
        </w:rPr>
        <w:t xml:space="preserve"> </w:t>
      </w:r>
      <w:r w:rsidRPr="007F5C8B">
        <w:rPr>
          <w:rFonts w:ascii="Arial" w:hAnsi="Arial" w:cs="Arial"/>
          <w:sz w:val="20"/>
          <w:szCs w:val="20"/>
        </w:rPr>
        <w:t>1</w:t>
      </w:r>
      <w:r>
        <w:rPr>
          <w:rFonts w:ascii="Arial" w:hAnsi="Arial" w:cs="Arial"/>
          <w:sz w:val="20"/>
          <w:szCs w:val="20"/>
        </w:rPr>
        <w:t>1</w:t>
      </w:r>
      <w:r w:rsidRPr="007F5C8B">
        <w:rPr>
          <w:rFonts w:ascii="Arial" w:hAnsi="Arial" w:cs="Arial"/>
          <w:sz w:val="20"/>
          <w:szCs w:val="20"/>
        </w:rPr>
        <w:t>0</w:t>
      </w:r>
      <w:r>
        <w:rPr>
          <w:rFonts w:ascii="Arial" w:hAnsi="Arial" w:cs="Arial"/>
          <w:sz w:val="20"/>
          <w:szCs w:val="20"/>
        </w:rPr>
        <w:t xml:space="preserve"> </w:t>
      </w:r>
    </w:p>
    <w:p w:rsidR="003E7142" w:rsidRDefault="003E7142" w:rsidP="003E7142">
      <w:pPr>
        <w:jc w:val="both"/>
        <w:rPr>
          <w:rFonts w:ascii="Arial" w:hAnsi="Arial" w:cs="Arial"/>
          <w:sz w:val="20"/>
          <w:szCs w:val="20"/>
        </w:rPr>
      </w:pPr>
      <w:r>
        <w:rPr>
          <w:rFonts w:ascii="Arial" w:hAnsi="Arial" w:cs="Arial"/>
          <w:sz w:val="20"/>
          <w:szCs w:val="20"/>
        </w:rPr>
        <w:t xml:space="preserve">31-01-2008: </w:t>
      </w:r>
      <w:r w:rsidRPr="007F5C8B">
        <w:rPr>
          <w:rFonts w:ascii="Arial" w:hAnsi="Arial" w:cs="Arial"/>
          <w:sz w:val="20"/>
          <w:szCs w:val="20"/>
        </w:rPr>
        <w:t>Rs</w:t>
      </w:r>
      <w:r>
        <w:rPr>
          <w:rFonts w:ascii="Arial" w:hAnsi="Arial" w:cs="Arial"/>
          <w:sz w:val="20"/>
          <w:szCs w:val="20"/>
        </w:rPr>
        <w:t xml:space="preserve"> 99 </w:t>
      </w:r>
    </w:p>
    <w:p w:rsidR="003E7142" w:rsidRPr="007F5C8B"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p>
    <w:p w:rsidR="003E7142" w:rsidRPr="000F0774" w:rsidRDefault="003E7142" w:rsidP="003E7142">
      <w:pPr>
        <w:jc w:val="both"/>
        <w:rPr>
          <w:rFonts w:ascii="Arial" w:hAnsi="Arial" w:cs="Arial"/>
          <w:i/>
          <w:sz w:val="20"/>
          <w:szCs w:val="20"/>
        </w:rPr>
      </w:pPr>
      <w:r>
        <w:rPr>
          <w:rFonts w:ascii="Arial" w:hAnsi="Arial" w:cs="Arial"/>
          <w:i/>
          <w:sz w:val="20"/>
          <w:szCs w:val="20"/>
        </w:rPr>
        <w:t>Time-weighted return</w:t>
      </w:r>
    </w:p>
    <w:p w:rsidR="003E7142" w:rsidRPr="007F5C8B" w:rsidRDefault="003E7142" w:rsidP="003E7142">
      <w:pPr>
        <w:jc w:val="both"/>
        <w:rPr>
          <w:rFonts w:ascii="Arial" w:hAnsi="Arial" w:cs="Arial"/>
          <w:sz w:val="20"/>
          <w:szCs w:val="20"/>
        </w:rPr>
      </w:pPr>
    </w:p>
    <w:tbl>
      <w:tblPr>
        <w:tblW w:w="9108" w:type="dxa"/>
        <w:tblCellMar>
          <w:left w:w="0" w:type="dxa"/>
          <w:right w:w="0" w:type="dxa"/>
        </w:tblCellMar>
        <w:tblLook w:val="0000"/>
      </w:tblPr>
      <w:tblGrid>
        <w:gridCol w:w="2358"/>
        <w:gridCol w:w="2160"/>
        <w:gridCol w:w="4590"/>
      </w:tblGrid>
      <w:tr w:rsidR="003E7142" w:rsidRPr="007F5C8B" w:rsidTr="00417059">
        <w:tc>
          <w:tcPr>
            <w:tcW w:w="23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r w:rsidRPr="007F5C8B">
              <w:rPr>
                <w:rFonts w:ascii="Arial" w:hAnsi="Arial" w:cs="Arial"/>
                <w:sz w:val="20"/>
                <w:szCs w:val="20"/>
              </w:rPr>
              <w:t>Method</w:t>
            </w:r>
          </w:p>
        </w:tc>
        <w:tc>
          <w:tcPr>
            <w:tcW w:w="216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r w:rsidRPr="007F5C8B">
              <w:rPr>
                <w:rFonts w:ascii="Arial" w:hAnsi="Arial" w:cs="Arial"/>
                <w:sz w:val="20"/>
                <w:szCs w:val="20"/>
              </w:rPr>
              <w:t>Calculation</w:t>
            </w:r>
          </w:p>
        </w:tc>
        <w:tc>
          <w:tcPr>
            <w:tcW w:w="459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r w:rsidRPr="007F5C8B">
              <w:rPr>
                <w:rFonts w:ascii="Arial" w:hAnsi="Arial" w:cs="Arial"/>
                <w:sz w:val="20"/>
                <w:szCs w:val="20"/>
              </w:rPr>
              <w:t>Comments</w:t>
            </w:r>
          </w:p>
        </w:tc>
      </w:tr>
      <w:tr w:rsidR="003E7142" w:rsidRPr="007F5C8B" w:rsidTr="00417059">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r>
              <w:rPr>
                <w:rFonts w:ascii="Arial" w:hAnsi="Arial" w:cs="Arial"/>
                <w:sz w:val="20"/>
                <w:szCs w:val="20"/>
              </w:rPr>
              <w:t>Time-weighted Return</w:t>
            </w:r>
          </w:p>
        </w:tc>
        <w:tc>
          <w:tcPr>
            <w:tcW w:w="2160" w:type="dxa"/>
            <w:tcBorders>
              <w:top w:val="nil"/>
              <w:left w:val="nil"/>
              <w:bottom w:val="single" w:sz="8" w:space="0" w:color="auto"/>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r>
              <w:rPr>
                <w:rFonts w:ascii="Arial" w:hAnsi="Arial" w:cs="Arial"/>
                <w:sz w:val="20"/>
                <w:szCs w:val="20"/>
              </w:rPr>
              <w:t>Period 1 (P1 = 01 Aug to 18 Aug) = (110-100)/100 = +10%</w:t>
            </w:r>
          </w:p>
          <w:p w:rsidR="003E7142" w:rsidRDefault="003E7142" w:rsidP="00417059">
            <w:pPr>
              <w:jc w:val="both"/>
              <w:rPr>
                <w:rFonts w:ascii="Arial" w:hAnsi="Arial" w:cs="Arial"/>
                <w:sz w:val="20"/>
                <w:szCs w:val="20"/>
              </w:rPr>
            </w:pPr>
          </w:p>
          <w:p w:rsidR="003E7142" w:rsidRDefault="003E7142" w:rsidP="00417059">
            <w:pPr>
              <w:jc w:val="both"/>
              <w:rPr>
                <w:rFonts w:ascii="Arial" w:hAnsi="Arial" w:cs="Arial"/>
                <w:sz w:val="20"/>
                <w:szCs w:val="20"/>
              </w:rPr>
            </w:pPr>
            <w:r>
              <w:rPr>
                <w:rFonts w:ascii="Arial" w:hAnsi="Arial" w:cs="Arial"/>
                <w:sz w:val="20"/>
                <w:szCs w:val="20"/>
              </w:rPr>
              <w:t>Period 2 (P2 = 18 Aug to 31 Aug) = (99-110)/110 = -10%</w:t>
            </w:r>
          </w:p>
          <w:p w:rsidR="003E7142" w:rsidRDefault="003E7142" w:rsidP="00417059">
            <w:pPr>
              <w:jc w:val="both"/>
              <w:rPr>
                <w:rFonts w:ascii="Arial" w:hAnsi="Arial" w:cs="Arial"/>
                <w:sz w:val="20"/>
                <w:szCs w:val="20"/>
              </w:rPr>
            </w:pPr>
          </w:p>
          <w:p w:rsidR="003E7142" w:rsidRPr="007F5C8B" w:rsidRDefault="003E7142" w:rsidP="00417059">
            <w:pPr>
              <w:jc w:val="both"/>
              <w:rPr>
                <w:rFonts w:ascii="Arial" w:hAnsi="Arial" w:cs="Arial"/>
                <w:sz w:val="20"/>
                <w:szCs w:val="20"/>
              </w:rPr>
            </w:pPr>
            <w:r>
              <w:rPr>
                <w:rFonts w:ascii="Arial" w:hAnsi="Arial" w:cs="Arial"/>
                <w:sz w:val="20"/>
                <w:szCs w:val="20"/>
              </w:rPr>
              <w:t>Total TWR = (1+0.1)*(1-0.1) -1 =   -1%</w:t>
            </w:r>
          </w:p>
        </w:tc>
        <w:tc>
          <w:tcPr>
            <w:tcW w:w="4590" w:type="dxa"/>
            <w:tcBorders>
              <w:top w:val="nil"/>
              <w:left w:val="nil"/>
              <w:bottom w:val="single" w:sz="8" w:space="0" w:color="auto"/>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r>
              <w:rPr>
                <w:rFonts w:ascii="Arial" w:hAnsi="Arial" w:cs="Arial"/>
                <w:sz w:val="20"/>
                <w:szCs w:val="20"/>
              </w:rPr>
              <w:t xml:space="preserve">This </w:t>
            </w:r>
            <w:r w:rsidRPr="007F5C8B">
              <w:rPr>
                <w:rFonts w:ascii="Arial" w:hAnsi="Arial" w:cs="Arial"/>
                <w:sz w:val="20"/>
                <w:szCs w:val="20"/>
              </w:rPr>
              <w:t>is the simple percentage change in a portfolio’s total market value over a given period</w:t>
            </w:r>
            <w:r>
              <w:rPr>
                <w:rFonts w:ascii="Arial" w:hAnsi="Arial" w:cs="Arial"/>
                <w:sz w:val="20"/>
                <w:szCs w:val="20"/>
              </w:rPr>
              <w:t>.</w:t>
            </w:r>
          </w:p>
          <w:p w:rsidR="003E7142" w:rsidRDefault="003E7142" w:rsidP="00417059">
            <w:pPr>
              <w:jc w:val="both"/>
              <w:rPr>
                <w:rFonts w:ascii="Arial" w:hAnsi="Arial" w:cs="Arial"/>
                <w:sz w:val="20"/>
                <w:szCs w:val="20"/>
              </w:rPr>
            </w:pPr>
          </w:p>
          <w:p w:rsidR="003E7142" w:rsidRPr="007F5C8B" w:rsidRDefault="003E7142" w:rsidP="00417059">
            <w:pPr>
              <w:jc w:val="both"/>
              <w:rPr>
                <w:rFonts w:ascii="Arial" w:hAnsi="Arial" w:cs="Arial"/>
                <w:sz w:val="20"/>
                <w:szCs w:val="20"/>
              </w:rPr>
            </w:pPr>
            <w:r>
              <w:rPr>
                <w:rFonts w:ascii="Arial" w:hAnsi="Arial" w:cs="Arial"/>
                <w:sz w:val="20"/>
                <w:szCs w:val="20"/>
              </w:rPr>
              <w:t>In this case, the TWR for August 2008 is -1%</w:t>
            </w:r>
          </w:p>
        </w:tc>
      </w:tr>
    </w:tbl>
    <w:p w:rsidR="003E7142" w:rsidRPr="007F5C8B"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r>
        <w:rPr>
          <w:rFonts w:ascii="Arial" w:hAnsi="Arial" w:cs="Arial"/>
          <w:sz w:val="20"/>
          <w:szCs w:val="20"/>
        </w:rPr>
        <w:t>Let’s consider two investors:</w:t>
      </w:r>
    </w:p>
    <w:p w:rsidR="003E7142"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r>
        <w:rPr>
          <w:rFonts w:ascii="Arial" w:hAnsi="Arial" w:cs="Arial"/>
          <w:sz w:val="20"/>
          <w:szCs w:val="20"/>
        </w:rPr>
        <w:t>Investor X makes the following investments:</w:t>
      </w:r>
    </w:p>
    <w:p w:rsidR="003E7142" w:rsidRPr="007F5C8B" w:rsidRDefault="003E7142" w:rsidP="003E7142">
      <w:pPr>
        <w:jc w:val="both"/>
        <w:rPr>
          <w:rFonts w:ascii="Arial" w:hAnsi="Arial" w:cs="Arial"/>
          <w:sz w:val="20"/>
          <w:szCs w:val="20"/>
        </w:rPr>
      </w:pPr>
      <w:r>
        <w:rPr>
          <w:rFonts w:ascii="Arial" w:hAnsi="Arial" w:cs="Arial"/>
          <w:sz w:val="20"/>
          <w:szCs w:val="20"/>
        </w:rPr>
        <w:t>01-01-2008: Buy 1 unit</w:t>
      </w:r>
    </w:p>
    <w:p w:rsidR="003E7142" w:rsidRDefault="003E7142" w:rsidP="003E7142">
      <w:pPr>
        <w:jc w:val="both"/>
        <w:rPr>
          <w:rFonts w:ascii="Arial" w:hAnsi="Arial" w:cs="Arial"/>
          <w:sz w:val="20"/>
          <w:szCs w:val="20"/>
        </w:rPr>
      </w:pPr>
      <w:r>
        <w:rPr>
          <w:rFonts w:ascii="Arial" w:hAnsi="Arial" w:cs="Arial"/>
          <w:sz w:val="20"/>
          <w:szCs w:val="20"/>
        </w:rPr>
        <w:t xml:space="preserve">18-01-2008: Buy 30 units  </w:t>
      </w:r>
    </w:p>
    <w:p w:rsidR="003E7142"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r>
        <w:rPr>
          <w:rFonts w:ascii="Arial" w:hAnsi="Arial" w:cs="Arial"/>
          <w:sz w:val="20"/>
          <w:szCs w:val="20"/>
        </w:rPr>
        <w:t>Investor Y makes the following investments:</w:t>
      </w:r>
    </w:p>
    <w:p w:rsidR="003E7142" w:rsidRPr="007F5C8B" w:rsidRDefault="003E7142" w:rsidP="003E7142">
      <w:pPr>
        <w:jc w:val="both"/>
        <w:rPr>
          <w:rFonts w:ascii="Arial" w:hAnsi="Arial" w:cs="Arial"/>
          <w:sz w:val="20"/>
          <w:szCs w:val="20"/>
        </w:rPr>
      </w:pPr>
      <w:r>
        <w:rPr>
          <w:rFonts w:ascii="Arial" w:hAnsi="Arial" w:cs="Arial"/>
          <w:sz w:val="20"/>
          <w:szCs w:val="20"/>
        </w:rPr>
        <w:t>01-01-2008: Buy 30 units</w:t>
      </w:r>
    </w:p>
    <w:p w:rsidR="003E7142" w:rsidRDefault="003E7142" w:rsidP="003E7142">
      <w:pPr>
        <w:jc w:val="both"/>
        <w:rPr>
          <w:rFonts w:ascii="Arial" w:hAnsi="Arial" w:cs="Arial"/>
          <w:sz w:val="20"/>
          <w:szCs w:val="20"/>
        </w:rPr>
      </w:pPr>
      <w:r>
        <w:rPr>
          <w:rFonts w:ascii="Arial" w:hAnsi="Arial" w:cs="Arial"/>
          <w:sz w:val="20"/>
          <w:szCs w:val="20"/>
        </w:rPr>
        <w:t xml:space="preserve">18-01-2008: Buy 1 unit  </w:t>
      </w:r>
    </w:p>
    <w:p w:rsidR="003E7142" w:rsidRPr="007F5C8B"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p>
    <w:p w:rsidR="003E7142" w:rsidRDefault="003E7142" w:rsidP="003E7142">
      <w:pPr>
        <w:jc w:val="both"/>
        <w:rPr>
          <w:rFonts w:ascii="Arial" w:hAnsi="Arial" w:cs="Arial"/>
          <w:i/>
          <w:sz w:val="20"/>
          <w:szCs w:val="20"/>
        </w:rPr>
      </w:pPr>
      <w:r w:rsidRPr="006322B0">
        <w:rPr>
          <w:rFonts w:ascii="Arial" w:hAnsi="Arial" w:cs="Arial"/>
          <w:i/>
          <w:sz w:val="20"/>
          <w:szCs w:val="20"/>
        </w:rPr>
        <w:t>Money-Weighted Return</w:t>
      </w:r>
      <w:r>
        <w:rPr>
          <w:rFonts w:ascii="Arial" w:hAnsi="Arial" w:cs="Arial"/>
          <w:i/>
          <w:sz w:val="20"/>
          <w:szCs w:val="20"/>
        </w:rPr>
        <w:t xml:space="preserve"> (modified Dietz)</w:t>
      </w:r>
    </w:p>
    <w:p w:rsidR="003E7142"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r>
        <w:rPr>
          <w:rFonts w:ascii="Arial" w:hAnsi="Arial" w:cs="Arial"/>
          <w:sz w:val="20"/>
          <w:szCs w:val="20"/>
        </w:rPr>
        <w:lastRenderedPageBreak/>
        <w:t>For investor X:</w:t>
      </w:r>
    </w:p>
    <w:p w:rsidR="003E7142"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r>
        <w:rPr>
          <w:rFonts w:ascii="Arial" w:hAnsi="Arial" w:cs="Arial"/>
          <w:sz w:val="20"/>
          <w:szCs w:val="20"/>
        </w:rPr>
        <w:t>EMV = Rs 2799</w:t>
      </w:r>
    </w:p>
    <w:p w:rsidR="003E7142" w:rsidRDefault="003E7142" w:rsidP="003E7142">
      <w:pPr>
        <w:jc w:val="both"/>
        <w:rPr>
          <w:rFonts w:ascii="Arial" w:hAnsi="Arial" w:cs="Arial"/>
          <w:sz w:val="20"/>
          <w:szCs w:val="20"/>
        </w:rPr>
      </w:pPr>
      <w:r>
        <w:rPr>
          <w:rFonts w:ascii="Arial" w:hAnsi="Arial" w:cs="Arial"/>
          <w:sz w:val="20"/>
          <w:szCs w:val="20"/>
        </w:rPr>
        <w:t>BMV = Rs 100</w:t>
      </w:r>
    </w:p>
    <w:p w:rsidR="003E7142" w:rsidRDefault="003E7142" w:rsidP="003E7142">
      <w:pPr>
        <w:jc w:val="both"/>
        <w:rPr>
          <w:rFonts w:ascii="Arial" w:hAnsi="Arial" w:cs="Arial"/>
          <w:sz w:val="20"/>
          <w:szCs w:val="20"/>
        </w:rPr>
      </w:pPr>
      <w:r>
        <w:rPr>
          <w:rFonts w:ascii="Arial" w:hAnsi="Arial" w:cs="Arial"/>
          <w:sz w:val="20"/>
          <w:szCs w:val="20"/>
        </w:rPr>
        <w:t>CF = Rs 3000</w:t>
      </w:r>
    </w:p>
    <w:p w:rsidR="003E7142" w:rsidRPr="00C71BFC" w:rsidRDefault="003E7142" w:rsidP="003E7142">
      <w:pPr>
        <w:jc w:val="both"/>
        <w:rPr>
          <w:rFonts w:ascii="Arial" w:hAnsi="Arial" w:cs="Arial"/>
          <w:sz w:val="20"/>
          <w:szCs w:val="20"/>
        </w:rPr>
      </w:pPr>
      <w:r>
        <w:rPr>
          <w:rFonts w:ascii="Arial" w:hAnsi="Arial" w:cs="Arial"/>
          <w:sz w:val="20"/>
          <w:szCs w:val="20"/>
        </w:rPr>
        <w:t>w = (31-18)/31 = 13/31 = 0.419</w:t>
      </w:r>
    </w:p>
    <w:p w:rsidR="003E7142"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r>
        <w:rPr>
          <w:rFonts w:ascii="Arial" w:hAnsi="Arial" w:cs="Arial"/>
          <w:sz w:val="20"/>
          <w:szCs w:val="20"/>
        </w:rPr>
        <w:t>For investor Y:</w:t>
      </w:r>
    </w:p>
    <w:p w:rsidR="003E7142" w:rsidRDefault="003E7142" w:rsidP="003E7142">
      <w:pPr>
        <w:jc w:val="both"/>
        <w:rPr>
          <w:rFonts w:ascii="Arial" w:hAnsi="Arial" w:cs="Arial"/>
          <w:sz w:val="20"/>
          <w:szCs w:val="20"/>
        </w:rPr>
      </w:pPr>
    </w:p>
    <w:p w:rsidR="003E7142" w:rsidRDefault="003E7142" w:rsidP="003E7142">
      <w:pPr>
        <w:jc w:val="both"/>
        <w:rPr>
          <w:rFonts w:ascii="Arial" w:hAnsi="Arial" w:cs="Arial"/>
          <w:sz w:val="20"/>
          <w:szCs w:val="20"/>
        </w:rPr>
      </w:pPr>
      <w:r>
        <w:rPr>
          <w:rFonts w:ascii="Arial" w:hAnsi="Arial" w:cs="Arial"/>
          <w:sz w:val="20"/>
          <w:szCs w:val="20"/>
        </w:rPr>
        <w:t>EMV = Rs 3060</w:t>
      </w:r>
    </w:p>
    <w:p w:rsidR="003E7142" w:rsidRDefault="003E7142" w:rsidP="003E7142">
      <w:pPr>
        <w:jc w:val="both"/>
        <w:rPr>
          <w:rFonts w:ascii="Arial" w:hAnsi="Arial" w:cs="Arial"/>
          <w:sz w:val="20"/>
          <w:szCs w:val="20"/>
        </w:rPr>
      </w:pPr>
      <w:r>
        <w:rPr>
          <w:rFonts w:ascii="Arial" w:hAnsi="Arial" w:cs="Arial"/>
          <w:sz w:val="20"/>
          <w:szCs w:val="20"/>
        </w:rPr>
        <w:t>BMV = Rs 3000</w:t>
      </w:r>
    </w:p>
    <w:p w:rsidR="003E7142" w:rsidRDefault="003E7142" w:rsidP="003E7142">
      <w:pPr>
        <w:jc w:val="both"/>
        <w:rPr>
          <w:rFonts w:ascii="Arial" w:hAnsi="Arial" w:cs="Arial"/>
          <w:sz w:val="20"/>
          <w:szCs w:val="20"/>
        </w:rPr>
      </w:pPr>
      <w:r>
        <w:rPr>
          <w:rFonts w:ascii="Arial" w:hAnsi="Arial" w:cs="Arial"/>
          <w:sz w:val="20"/>
          <w:szCs w:val="20"/>
        </w:rPr>
        <w:t>CF = Rs 100</w:t>
      </w:r>
    </w:p>
    <w:p w:rsidR="003E7142" w:rsidRPr="00C71BFC" w:rsidRDefault="003E7142" w:rsidP="003E7142">
      <w:pPr>
        <w:jc w:val="both"/>
        <w:rPr>
          <w:rFonts w:ascii="Arial" w:hAnsi="Arial" w:cs="Arial"/>
          <w:sz w:val="20"/>
          <w:szCs w:val="20"/>
        </w:rPr>
      </w:pPr>
      <w:r>
        <w:rPr>
          <w:rFonts w:ascii="Arial" w:hAnsi="Arial" w:cs="Arial"/>
          <w:sz w:val="20"/>
          <w:szCs w:val="20"/>
        </w:rPr>
        <w:t>w = (31-18)/31 = 13/31 = 0.419</w:t>
      </w:r>
    </w:p>
    <w:p w:rsidR="003E7142" w:rsidRDefault="003E7142" w:rsidP="003E7142">
      <w:pPr>
        <w:jc w:val="both"/>
        <w:rPr>
          <w:rFonts w:ascii="Arial" w:hAnsi="Arial" w:cs="Arial"/>
          <w:sz w:val="20"/>
          <w:szCs w:val="20"/>
        </w:rPr>
      </w:pPr>
    </w:p>
    <w:p w:rsidR="003E7142" w:rsidRPr="007F5C8B" w:rsidRDefault="003E7142" w:rsidP="003E7142">
      <w:pPr>
        <w:jc w:val="both"/>
        <w:rPr>
          <w:rFonts w:ascii="Arial" w:hAnsi="Arial" w:cs="Arial"/>
          <w:sz w:val="20"/>
          <w:szCs w:val="20"/>
        </w:rPr>
      </w:pPr>
    </w:p>
    <w:tbl>
      <w:tblPr>
        <w:tblW w:w="9108" w:type="dxa"/>
        <w:tblCellMar>
          <w:left w:w="0" w:type="dxa"/>
          <w:right w:w="0" w:type="dxa"/>
        </w:tblCellMar>
        <w:tblLook w:val="0000"/>
      </w:tblPr>
      <w:tblGrid>
        <w:gridCol w:w="2358"/>
        <w:gridCol w:w="2160"/>
        <w:gridCol w:w="4590"/>
      </w:tblGrid>
      <w:tr w:rsidR="003E7142" w:rsidRPr="007F5C8B" w:rsidTr="00417059">
        <w:tc>
          <w:tcPr>
            <w:tcW w:w="23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r w:rsidRPr="007F5C8B">
              <w:rPr>
                <w:rFonts w:ascii="Arial" w:hAnsi="Arial" w:cs="Arial"/>
                <w:sz w:val="20"/>
                <w:szCs w:val="20"/>
              </w:rPr>
              <w:t>Method</w:t>
            </w:r>
          </w:p>
        </w:tc>
        <w:tc>
          <w:tcPr>
            <w:tcW w:w="216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r w:rsidRPr="007F5C8B">
              <w:rPr>
                <w:rFonts w:ascii="Arial" w:hAnsi="Arial" w:cs="Arial"/>
                <w:sz w:val="20"/>
                <w:szCs w:val="20"/>
              </w:rPr>
              <w:t>Calculation</w:t>
            </w:r>
          </w:p>
        </w:tc>
        <w:tc>
          <w:tcPr>
            <w:tcW w:w="459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r w:rsidRPr="007F5C8B">
              <w:rPr>
                <w:rFonts w:ascii="Arial" w:hAnsi="Arial" w:cs="Arial"/>
                <w:sz w:val="20"/>
                <w:szCs w:val="20"/>
              </w:rPr>
              <w:t>Comments</w:t>
            </w:r>
          </w:p>
        </w:tc>
      </w:tr>
      <w:tr w:rsidR="003E7142" w:rsidRPr="007F5C8B" w:rsidTr="00417059">
        <w:tc>
          <w:tcPr>
            <w:tcW w:w="2358" w:type="dxa"/>
            <w:tcBorders>
              <w:top w:val="nil"/>
              <w:left w:val="single" w:sz="8" w:space="0" w:color="auto"/>
              <w:bottom w:val="nil"/>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r>
              <w:rPr>
                <w:rFonts w:ascii="Arial" w:hAnsi="Arial" w:cs="Arial"/>
                <w:sz w:val="20"/>
                <w:szCs w:val="20"/>
              </w:rPr>
              <w:t>Money-W</w:t>
            </w:r>
            <w:r w:rsidRPr="007F5C8B">
              <w:rPr>
                <w:rFonts w:ascii="Arial" w:hAnsi="Arial" w:cs="Arial"/>
                <w:sz w:val="20"/>
                <w:szCs w:val="20"/>
              </w:rPr>
              <w:t>eighted Return</w:t>
            </w:r>
            <w:r>
              <w:rPr>
                <w:rFonts w:ascii="Arial" w:hAnsi="Arial" w:cs="Arial"/>
                <w:sz w:val="20"/>
                <w:szCs w:val="20"/>
              </w:rPr>
              <w:t xml:space="preserve"> (modified Dietz)</w:t>
            </w:r>
          </w:p>
          <w:p w:rsidR="003E7142" w:rsidRPr="007F5C8B" w:rsidRDefault="003E7142" w:rsidP="00417059">
            <w:pPr>
              <w:jc w:val="both"/>
              <w:rPr>
                <w:rFonts w:ascii="Arial" w:hAnsi="Arial" w:cs="Arial"/>
                <w:sz w:val="20"/>
                <w:szCs w:val="20"/>
              </w:rPr>
            </w:pPr>
            <w:r>
              <w:rPr>
                <w:rFonts w:ascii="Arial" w:hAnsi="Arial" w:cs="Arial"/>
                <w:sz w:val="20"/>
                <w:szCs w:val="20"/>
              </w:rPr>
              <w:t>For X</w:t>
            </w:r>
          </w:p>
        </w:tc>
        <w:tc>
          <w:tcPr>
            <w:tcW w:w="2160" w:type="dxa"/>
            <w:tcBorders>
              <w:top w:val="nil"/>
              <w:left w:val="nil"/>
              <w:bottom w:val="nil"/>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r>
              <w:rPr>
                <w:rFonts w:ascii="Arial" w:hAnsi="Arial" w:cs="Arial"/>
                <w:sz w:val="20"/>
                <w:szCs w:val="20"/>
              </w:rPr>
              <w:t>= (EMV – BMV – CF) / (BMV + w*CF)</w:t>
            </w:r>
          </w:p>
          <w:p w:rsidR="003E7142" w:rsidRPr="007F5C8B" w:rsidRDefault="003E7142" w:rsidP="00417059">
            <w:pPr>
              <w:jc w:val="both"/>
              <w:rPr>
                <w:rFonts w:ascii="Arial" w:hAnsi="Arial" w:cs="Arial"/>
                <w:sz w:val="20"/>
                <w:szCs w:val="20"/>
              </w:rPr>
            </w:pPr>
            <w:r>
              <w:rPr>
                <w:rFonts w:ascii="Arial" w:hAnsi="Arial" w:cs="Arial"/>
                <w:sz w:val="20"/>
                <w:szCs w:val="20"/>
              </w:rPr>
              <w:t>= (2799 – 100 – 3000) / (100+ 0.419* 3000)</w:t>
            </w:r>
          </w:p>
          <w:p w:rsidR="003E7142" w:rsidRPr="007F5C8B" w:rsidRDefault="003E7142" w:rsidP="00417059">
            <w:pPr>
              <w:jc w:val="both"/>
              <w:rPr>
                <w:rFonts w:ascii="Arial" w:hAnsi="Arial" w:cs="Arial"/>
                <w:sz w:val="20"/>
                <w:szCs w:val="20"/>
              </w:rPr>
            </w:pPr>
          </w:p>
          <w:p w:rsidR="003E7142" w:rsidRPr="007F5C8B" w:rsidRDefault="003E7142" w:rsidP="00417059">
            <w:pPr>
              <w:jc w:val="both"/>
              <w:rPr>
                <w:rFonts w:ascii="Arial" w:hAnsi="Arial" w:cs="Arial"/>
                <w:sz w:val="20"/>
                <w:szCs w:val="20"/>
              </w:rPr>
            </w:pPr>
            <w:r w:rsidRPr="007F5C8B">
              <w:rPr>
                <w:rFonts w:ascii="Arial" w:hAnsi="Arial" w:cs="Arial"/>
                <w:sz w:val="20"/>
                <w:szCs w:val="20"/>
              </w:rPr>
              <w:t xml:space="preserve">= </w:t>
            </w:r>
            <w:r>
              <w:rPr>
                <w:rFonts w:ascii="Arial" w:hAnsi="Arial" w:cs="Arial"/>
                <w:sz w:val="20"/>
                <w:szCs w:val="20"/>
              </w:rPr>
              <w:t xml:space="preserve">-22.16 </w:t>
            </w:r>
            <w:r w:rsidRPr="007F5C8B">
              <w:rPr>
                <w:rFonts w:ascii="Arial" w:hAnsi="Arial" w:cs="Arial"/>
                <w:sz w:val="20"/>
                <w:szCs w:val="20"/>
              </w:rPr>
              <w:t>%</w:t>
            </w:r>
          </w:p>
        </w:tc>
        <w:tc>
          <w:tcPr>
            <w:tcW w:w="4590" w:type="dxa"/>
            <w:tcBorders>
              <w:top w:val="nil"/>
              <w:left w:val="nil"/>
              <w:bottom w:val="nil"/>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r>
              <w:rPr>
                <w:rFonts w:ascii="Arial" w:hAnsi="Arial" w:cs="Arial"/>
                <w:sz w:val="20"/>
                <w:szCs w:val="20"/>
              </w:rPr>
              <w:t>For investor X, the MWR is -22.16%, while for investor Y, the MWR is -1.31%.</w:t>
            </w:r>
          </w:p>
          <w:p w:rsidR="003E7142" w:rsidRDefault="003E7142" w:rsidP="00417059">
            <w:pPr>
              <w:jc w:val="both"/>
              <w:rPr>
                <w:rFonts w:ascii="Arial" w:hAnsi="Arial" w:cs="Arial"/>
                <w:sz w:val="20"/>
                <w:szCs w:val="20"/>
              </w:rPr>
            </w:pPr>
          </w:p>
          <w:p w:rsidR="003E7142" w:rsidRPr="007F5C8B" w:rsidRDefault="003E7142" w:rsidP="00417059">
            <w:pPr>
              <w:jc w:val="both"/>
              <w:rPr>
                <w:rFonts w:ascii="Arial" w:hAnsi="Arial" w:cs="Arial"/>
                <w:sz w:val="20"/>
                <w:szCs w:val="20"/>
              </w:rPr>
            </w:pPr>
            <w:r>
              <w:rPr>
                <w:rFonts w:ascii="Arial" w:hAnsi="Arial" w:cs="Arial"/>
                <w:sz w:val="20"/>
                <w:szCs w:val="20"/>
              </w:rPr>
              <w:t>MWR is an approximation of TWR if there are not large cash flows during the period. In case of investor Y, Rs 3000 are invested for the whole month. The cash flow of Rs 100 is not that significant. Therefore, MWR of investor Y is approximately equal to TWR.</w:t>
            </w:r>
          </w:p>
        </w:tc>
      </w:tr>
      <w:tr w:rsidR="003E7142" w:rsidRPr="007F5C8B" w:rsidTr="00417059">
        <w:tc>
          <w:tcPr>
            <w:tcW w:w="2358" w:type="dxa"/>
            <w:tcBorders>
              <w:top w:val="nil"/>
              <w:left w:val="single" w:sz="8" w:space="0" w:color="auto"/>
              <w:bottom w:val="nil"/>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p>
        </w:tc>
        <w:tc>
          <w:tcPr>
            <w:tcW w:w="2160" w:type="dxa"/>
            <w:tcBorders>
              <w:top w:val="nil"/>
              <w:left w:val="nil"/>
              <w:bottom w:val="nil"/>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p>
        </w:tc>
        <w:tc>
          <w:tcPr>
            <w:tcW w:w="4590" w:type="dxa"/>
            <w:tcBorders>
              <w:top w:val="nil"/>
              <w:left w:val="nil"/>
              <w:bottom w:val="nil"/>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p>
        </w:tc>
      </w:tr>
      <w:tr w:rsidR="003E7142" w:rsidRPr="007F5C8B" w:rsidTr="00417059">
        <w:tc>
          <w:tcPr>
            <w:tcW w:w="235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r>
              <w:rPr>
                <w:rFonts w:ascii="Arial" w:hAnsi="Arial" w:cs="Arial"/>
                <w:sz w:val="20"/>
                <w:szCs w:val="20"/>
              </w:rPr>
              <w:t>Money-W</w:t>
            </w:r>
            <w:r w:rsidRPr="007F5C8B">
              <w:rPr>
                <w:rFonts w:ascii="Arial" w:hAnsi="Arial" w:cs="Arial"/>
                <w:sz w:val="20"/>
                <w:szCs w:val="20"/>
              </w:rPr>
              <w:t>eighted Return</w:t>
            </w:r>
            <w:r>
              <w:rPr>
                <w:rFonts w:ascii="Arial" w:hAnsi="Arial" w:cs="Arial"/>
                <w:sz w:val="20"/>
                <w:szCs w:val="20"/>
              </w:rPr>
              <w:t xml:space="preserve"> (modified Dietz)</w:t>
            </w:r>
          </w:p>
          <w:p w:rsidR="003E7142" w:rsidRDefault="003E7142" w:rsidP="00417059">
            <w:pPr>
              <w:jc w:val="both"/>
              <w:rPr>
                <w:rFonts w:ascii="Arial" w:hAnsi="Arial" w:cs="Arial"/>
                <w:sz w:val="20"/>
                <w:szCs w:val="20"/>
              </w:rPr>
            </w:pPr>
            <w:r>
              <w:rPr>
                <w:rFonts w:ascii="Arial" w:hAnsi="Arial" w:cs="Arial"/>
                <w:sz w:val="20"/>
                <w:szCs w:val="20"/>
              </w:rPr>
              <w:t>For Y</w:t>
            </w:r>
          </w:p>
        </w:tc>
        <w:tc>
          <w:tcPr>
            <w:tcW w:w="2160" w:type="dxa"/>
            <w:tcBorders>
              <w:top w:val="nil"/>
              <w:left w:val="nil"/>
              <w:bottom w:val="single" w:sz="8" w:space="0" w:color="auto"/>
              <w:right w:val="single" w:sz="8" w:space="0" w:color="auto"/>
            </w:tcBorders>
            <w:tcMar>
              <w:top w:w="0" w:type="dxa"/>
              <w:left w:w="108" w:type="dxa"/>
              <w:bottom w:w="0" w:type="dxa"/>
              <w:right w:w="108" w:type="dxa"/>
            </w:tcMar>
          </w:tcPr>
          <w:p w:rsidR="003E7142" w:rsidRDefault="003E7142" w:rsidP="00417059">
            <w:pPr>
              <w:jc w:val="both"/>
              <w:rPr>
                <w:rFonts w:ascii="Arial" w:hAnsi="Arial" w:cs="Arial"/>
                <w:sz w:val="20"/>
                <w:szCs w:val="20"/>
              </w:rPr>
            </w:pPr>
            <w:r>
              <w:rPr>
                <w:rFonts w:ascii="Arial" w:hAnsi="Arial" w:cs="Arial"/>
                <w:sz w:val="20"/>
                <w:szCs w:val="20"/>
              </w:rPr>
              <w:t>= (EMV – BMV – CF) / (BMV + w*CF)</w:t>
            </w:r>
          </w:p>
          <w:p w:rsidR="003E7142" w:rsidRPr="007F5C8B" w:rsidRDefault="003E7142" w:rsidP="00417059">
            <w:pPr>
              <w:jc w:val="both"/>
              <w:rPr>
                <w:rFonts w:ascii="Arial" w:hAnsi="Arial" w:cs="Arial"/>
                <w:sz w:val="20"/>
                <w:szCs w:val="20"/>
              </w:rPr>
            </w:pPr>
            <w:r>
              <w:rPr>
                <w:rFonts w:ascii="Arial" w:hAnsi="Arial" w:cs="Arial"/>
                <w:sz w:val="20"/>
                <w:szCs w:val="20"/>
              </w:rPr>
              <w:t>= (3060 – 3000 – 100) / (3000+ 0.419* 100)</w:t>
            </w:r>
          </w:p>
          <w:p w:rsidR="003E7142" w:rsidRPr="007F5C8B" w:rsidRDefault="003E7142" w:rsidP="00417059">
            <w:pPr>
              <w:jc w:val="both"/>
              <w:rPr>
                <w:rFonts w:ascii="Arial" w:hAnsi="Arial" w:cs="Arial"/>
                <w:sz w:val="20"/>
                <w:szCs w:val="20"/>
              </w:rPr>
            </w:pPr>
          </w:p>
          <w:p w:rsidR="003E7142" w:rsidRDefault="003E7142" w:rsidP="00417059">
            <w:pPr>
              <w:jc w:val="both"/>
              <w:rPr>
                <w:rFonts w:ascii="Arial" w:hAnsi="Arial" w:cs="Arial"/>
                <w:sz w:val="20"/>
                <w:szCs w:val="20"/>
              </w:rPr>
            </w:pPr>
            <w:r w:rsidRPr="007F5C8B">
              <w:rPr>
                <w:rFonts w:ascii="Arial" w:hAnsi="Arial" w:cs="Arial"/>
                <w:sz w:val="20"/>
                <w:szCs w:val="20"/>
              </w:rPr>
              <w:t xml:space="preserve">= </w:t>
            </w:r>
            <w:r>
              <w:rPr>
                <w:rFonts w:ascii="Arial" w:hAnsi="Arial" w:cs="Arial"/>
                <w:sz w:val="20"/>
                <w:szCs w:val="20"/>
              </w:rPr>
              <w:t xml:space="preserve">-1.31 </w:t>
            </w:r>
            <w:r w:rsidRPr="007F5C8B">
              <w:rPr>
                <w:rFonts w:ascii="Arial" w:hAnsi="Arial" w:cs="Arial"/>
                <w:sz w:val="20"/>
                <w:szCs w:val="20"/>
              </w:rPr>
              <w:t>%</w:t>
            </w:r>
          </w:p>
        </w:tc>
        <w:tc>
          <w:tcPr>
            <w:tcW w:w="4590" w:type="dxa"/>
            <w:tcBorders>
              <w:top w:val="nil"/>
              <w:left w:val="nil"/>
              <w:bottom w:val="single" w:sz="8" w:space="0" w:color="auto"/>
              <w:right w:val="single" w:sz="8" w:space="0" w:color="auto"/>
            </w:tcBorders>
            <w:tcMar>
              <w:top w:w="0" w:type="dxa"/>
              <w:left w:w="108" w:type="dxa"/>
              <w:bottom w:w="0" w:type="dxa"/>
              <w:right w:w="108" w:type="dxa"/>
            </w:tcMar>
          </w:tcPr>
          <w:p w:rsidR="003E7142" w:rsidRPr="007F5C8B" w:rsidRDefault="003E7142" w:rsidP="00417059">
            <w:pPr>
              <w:jc w:val="both"/>
              <w:rPr>
                <w:rFonts w:ascii="Arial" w:hAnsi="Arial" w:cs="Arial"/>
                <w:sz w:val="20"/>
                <w:szCs w:val="20"/>
              </w:rPr>
            </w:pPr>
            <w:r>
              <w:rPr>
                <w:rFonts w:ascii="Arial" w:hAnsi="Arial" w:cs="Arial"/>
                <w:sz w:val="20"/>
                <w:szCs w:val="20"/>
              </w:rPr>
              <w:t xml:space="preserve">In case of investor X, however, there is a huge cash flow of Rs 3000, which results in his returns being significantly different from the TWR. In such cases, TWR is not a good indicator of investment performance. </w:t>
            </w:r>
          </w:p>
        </w:tc>
      </w:tr>
    </w:tbl>
    <w:p w:rsidR="003E7142" w:rsidRPr="009413F6" w:rsidRDefault="003E7142" w:rsidP="003E7142">
      <w:pPr>
        <w:pStyle w:val="body"/>
        <w:spacing w:before="120" w:after="120" w:line="240" w:lineRule="auto"/>
        <w:jc w:val="both"/>
      </w:pPr>
    </w:p>
    <w:p w:rsidR="004A31D3" w:rsidRPr="009413F6" w:rsidRDefault="004A31D3" w:rsidP="003E3FB6">
      <w:pPr>
        <w:pStyle w:val="Heading2"/>
        <w:keepNext w:val="0"/>
        <w:spacing w:before="120" w:after="120" w:line="240" w:lineRule="atLeast"/>
        <w:ind w:left="0" w:firstLine="0"/>
        <w:jc w:val="both"/>
      </w:pPr>
      <w:bookmarkStart w:id="111" w:name="_Toc226530534"/>
      <w:r w:rsidRPr="009413F6">
        <w:t>Transaction Reporting and Compliance</w:t>
      </w:r>
      <w:bookmarkEnd w:id="108"/>
      <w:bookmarkEnd w:id="109"/>
      <w:bookmarkEnd w:id="111"/>
    </w:p>
    <w:p w:rsidR="004A31D3" w:rsidRPr="009413F6" w:rsidRDefault="00752D46" w:rsidP="00FA2CC8">
      <w:pPr>
        <w:pStyle w:val="body"/>
        <w:spacing w:before="120" w:after="120" w:line="240" w:lineRule="auto"/>
        <w:jc w:val="both"/>
        <w:rPr>
          <w:rFonts w:ascii="Arial" w:hAnsi="Arial" w:cs="Arial"/>
          <w:sz w:val="20"/>
          <w:szCs w:val="20"/>
        </w:rPr>
      </w:pPr>
      <w:r>
        <w:rPr>
          <w:rFonts w:ascii="Arial" w:hAnsi="Arial" w:cs="Arial"/>
          <w:sz w:val="20"/>
          <w:szCs w:val="20"/>
        </w:rPr>
        <w:t>R</w:t>
      </w:r>
      <w:r w:rsidR="004A31D3" w:rsidRPr="009413F6">
        <w:rPr>
          <w:rFonts w:ascii="Arial" w:hAnsi="Arial" w:cs="Arial"/>
          <w:sz w:val="20"/>
          <w:szCs w:val="20"/>
        </w:rPr>
        <w:t>egulatory environment exists in order to ensure that the market operates in a fair and orderly manner. The regulator is the rule-setter and ‘umpire’ of the game. This encompasses a number of facets of operation relating to stock exchange / market members such as:</w:t>
      </w:r>
    </w:p>
    <w:p w:rsidR="004A31D3" w:rsidRPr="009413F6" w:rsidRDefault="004A31D3" w:rsidP="00FA2CC8">
      <w:pPr>
        <w:pStyle w:val="BodyText-Bullets1"/>
        <w:numPr>
          <w:ilvl w:val="0"/>
          <w:numId w:val="31"/>
        </w:numPr>
        <w:spacing w:before="120" w:line="240" w:lineRule="auto"/>
        <w:rPr>
          <w:rFonts w:cs="Arial"/>
          <w:szCs w:val="20"/>
        </w:rPr>
      </w:pPr>
      <w:r w:rsidRPr="009413F6">
        <w:rPr>
          <w:rFonts w:cs="Arial"/>
          <w:szCs w:val="20"/>
        </w:rPr>
        <w:t>Transaction reporting</w:t>
      </w:r>
    </w:p>
    <w:p w:rsidR="004A31D3" w:rsidRPr="009413F6" w:rsidRDefault="004A31D3" w:rsidP="00FA2CC8">
      <w:pPr>
        <w:pStyle w:val="BodyText-Bullets1"/>
        <w:numPr>
          <w:ilvl w:val="0"/>
          <w:numId w:val="31"/>
        </w:numPr>
        <w:spacing w:before="120" w:line="240" w:lineRule="auto"/>
        <w:rPr>
          <w:rFonts w:cs="Arial"/>
          <w:szCs w:val="20"/>
        </w:rPr>
      </w:pPr>
      <w:r w:rsidRPr="009413F6">
        <w:rPr>
          <w:rFonts w:cs="Arial"/>
          <w:szCs w:val="20"/>
        </w:rPr>
        <w:t>Trading rule breaches</w:t>
      </w:r>
    </w:p>
    <w:p w:rsidR="004A31D3" w:rsidRPr="009413F6" w:rsidRDefault="004A31D3" w:rsidP="00FA2CC8">
      <w:pPr>
        <w:pStyle w:val="BodyText-Bullets1"/>
        <w:numPr>
          <w:ilvl w:val="0"/>
          <w:numId w:val="31"/>
        </w:numPr>
        <w:spacing w:before="120" w:line="240" w:lineRule="auto"/>
        <w:rPr>
          <w:rFonts w:cs="Arial"/>
          <w:szCs w:val="20"/>
        </w:rPr>
      </w:pPr>
      <w:r w:rsidRPr="009413F6">
        <w:rPr>
          <w:rFonts w:cs="Arial"/>
          <w:szCs w:val="20"/>
        </w:rPr>
        <w:t>Taking position that is disproportionate to the member’s financial position</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Closely associated with reporting is compliance. Compliance refers to knowing and operating in accordance with laws and rules existing in the country where the trade is taking place.</w:t>
      </w:r>
    </w:p>
    <w:p w:rsidR="004A31D3" w:rsidRPr="009413F6" w:rsidRDefault="004A31D3" w:rsidP="006D5183">
      <w:pPr>
        <w:pStyle w:val="Heading3"/>
        <w:keepNext w:val="0"/>
        <w:tabs>
          <w:tab w:val="clear" w:pos="6444"/>
          <w:tab w:val="num" w:pos="540"/>
        </w:tabs>
        <w:spacing w:before="120" w:after="120" w:line="240" w:lineRule="atLeast"/>
        <w:ind w:left="0" w:firstLine="0"/>
        <w:jc w:val="both"/>
      </w:pPr>
      <w:bookmarkStart w:id="112" w:name="_Toc134366501"/>
      <w:r w:rsidRPr="009413F6">
        <w:t>Transaction Reporting</w:t>
      </w:r>
      <w:bookmarkEnd w:id="112"/>
    </w:p>
    <w:p w:rsidR="004A31D3" w:rsidRPr="009413F6" w:rsidRDefault="00025B7B" w:rsidP="003E3FB6">
      <w:pPr>
        <w:pStyle w:val="Heading4"/>
        <w:keepNext w:val="0"/>
        <w:spacing w:before="120" w:after="120" w:line="240" w:lineRule="atLeast"/>
        <w:jc w:val="both"/>
        <w:rPr>
          <w:rFonts w:cs="Arial"/>
        </w:rPr>
      </w:pPr>
      <w:r>
        <w:rPr>
          <w:rFonts w:cs="Arial"/>
        </w:rPr>
        <w:lastRenderedPageBreak/>
        <w:t>P</w:t>
      </w:r>
      <w:r w:rsidR="004A31D3" w:rsidRPr="009413F6">
        <w:rPr>
          <w:rFonts w:cs="Arial"/>
        </w:rPr>
        <w:t>urpose of Transaction Reporting</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Following execution of a trade, stock exch</w:t>
      </w:r>
      <w:r w:rsidR="00B840BE" w:rsidRPr="009413F6">
        <w:rPr>
          <w:rFonts w:ascii="Arial" w:hAnsi="Arial" w:cs="Arial"/>
          <w:sz w:val="20"/>
          <w:szCs w:val="20"/>
        </w:rPr>
        <w:t>ange</w:t>
      </w:r>
      <w:r w:rsidRPr="009413F6">
        <w:rPr>
          <w:rFonts w:ascii="Arial" w:hAnsi="Arial" w:cs="Arial"/>
          <w:sz w:val="20"/>
          <w:szCs w:val="20"/>
        </w:rPr>
        <w:t>/ market members are normally required to report to the appropriate regulator the details of each transaction undertaken, within a pre-stated period of time after the trade is executed. This information allows the regulator to assess and supervise the transactions by individuals within the marketplace. This activity is commonly referred to as supervision or surveillance within the regulatory environment</w:t>
      </w:r>
    </w:p>
    <w:p w:rsidR="004A31D3" w:rsidRPr="009413F6" w:rsidRDefault="004A31D3" w:rsidP="003E3FB6">
      <w:pPr>
        <w:pStyle w:val="Heading4"/>
        <w:keepNext w:val="0"/>
        <w:spacing w:before="120" w:after="120" w:line="240" w:lineRule="atLeast"/>
        <w:jc w:val="both"/>
        <w:rPr>
          <w:rFonts w:cs="Arial"/>
        </w:rPr>
      </w:pPr>
      <w:r w:rsidRPr="009413F6">
        <w:rPr>
          <w:rFonts w:cs="Arial"/>
        </w:rPr>
        <w:t>Transaction Reporting Methods</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Various methods exist for transaction reporting, depending on how the regulator requires transaction reporting to be effected by the members of the stock exchange / market. For instance transaction reporting can be achieved by:</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 xml:space="preserve">Automatic forwarding of trade details to the regulator by a computerized exchange on behalf of the broker-dealer. There is no need for transmission of the message by the member itself. An example of this is SETS in the </w:t>
      </w:r>
      <w:smartTag w:uri="urn:schemas-microsoft-com:office:smarttags" w:element="place">
        <w:smartTag w:uri="urn:schemas-microsoft-com:office:smarttags" w:element="country-region">
          <w:r w:rsidRPr="009413F6">
            <w:rPr>
              <w:rFonts w:cs="Arial"/>
              <w:szCs w:val="20"/>
            </w:rPr>
            <w:t>UK</w:t>
          </w:r>
        </w:smartTag>
      </w:smartTag>
      <w:r w:rsidRPr="009413F6">
        <w:rPr>
          <w:rFonts w:cs="Arial"/>
          <w:szCs w:val="20"/>
        </w:rPr>
        <w:t>.</w:t>
      </w:r>
    </w:p>
    <w:p w:rsidR="00893D5E" w:rsidRPr="007C1FDB" w:rsidRDefault="004A31D3" w:rsidP="00FA2CC8">
      <w:pPr>
        <w:pStyle w:val="BodyText-Bullets1"/>
        <w:numPr>
          <w:ilvl w:val="0"/>
          <w:numId w:val="30"/>
        </w:numPr>
        <w:spacing w:before="120" w:line="240" w:lineRule="auto"/>
        <w:rPr>
          <w:rFonts w:cs="Arial"/>
          <w:szCs w:val="20"/>
        </w:rPr>
      </w:pPr>
      <w:r w:rsidRPr="009413F6">
        <w:rPr>
          <w:rFonts w:cs="Arial"/>
        </w:rPr>
        <w:t xml:space="preserve">Transmission of a specific message, which is originated by the stock exchange member. A part of the message is used for transaction reporting. An example of this is CREST in the </w:t>
      </w:r>
      <w:smartTag w:uri="urn:schemas-microsoft-com:office:smarttags" w:element="place">
        <w:smartTag w:uri="urn:schemas-microsoft-com:office:smarttags" w:element="country-region">
          <w:r w:rsidRPr="009413F6">
            <w:rPr>
              <w:rFonts w:cs="Arial"/>
            </w:rPr>
            <w:t>UK</w:t>
          </w:r>
        </w:smartTag>
      </w:smartTag>
      <w:r w:rsidRPr="009413F6">
        <w:rPr>
          <w:rFonts w:cs="Arial"/>
        </w:rPr>
        <w:t>. This involves transmission of a settlement instruction to an NCSD that then forwards the necessary information to the regulator.</w:t>
      </w:r>
      <w:r w:rsidR="003443FC" w:rsidRPr="009413F6">
        <w:rPr>
          <w:rFonts w:cs="Arial"/>
        </w:rPr>
        <w:t xml:space="preserve"> </w:t>
      </w:r>
    </w:p>
    <w:p w:rsidR="007C1FDB" w:rsidRPr="009413F6" w:rsidRDefault="007C1FDB" w:rsidP="007C1FDB">
      <w:pPr>
        <w:pStyle w:val="BodyText-Bullets1"/>
        <w:numPr>
          <w:ilvl w:val="0"/>
          <w:numId w:val="0"/>
        </w:numPr>
        <w:spacing w:before="120" w:line="240" w:lineRule="atLeast"/>
        <w:rPr>
          <w:rFonts w:cs="Arial"/>
          <w:szCs w:val="20"/>
        </w:rPr>
      </w:pPr>
    </w:p>
    <w:p w:rsidR="004A31D3" w:rsidRPr="009413F6" w:rsidRDefault="004A31D3" w:rsidP="003E3FB6">
      <w:pPr>
        <w:pStyle w:val="Heading4"/>
        <w:keepNext w:val="0"/>
        <w:spacing w:before="120" w:after="120" w:line="240" w:lineRule="atLeast"/>
        <w:jc w:val="both"/>
        <w:rPr>
          <w:rFonts w:cs="Arial"/>
        </w:rPr>
      </w:pPr>
      <w:r w:rsidRPr="009413F6">
        <w:rPr>
          <w:rFonts w:cs="Arial"/>
        </w:rPr>
        <w:t>Components of the Transaction Information</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t>The usual trade information requiring submission to the regulator is:</w:t>
      </w:r>
    </w:p>
    <w:p w:rsidR="008B32DD" w:rsidRDefault="008B32DD" w:rsidP="00FA2CC8">
      <w:pPr>
        <w:pStyle w:val="BodyText-Bullets1"/>
        <w:numPr>
          <w:ilvl w:val="0"/>
          <w:numId w:val="30"/>
        </w:numPr>
        <w:spacing w:before="120" w:line="240" w:lineRule="auto"/>
        <w:rPr>
          <w:rFonts w:cs="Arial"/>
          <w:szCs w:val="20"/>
        </w:rPr>
        <w:sectPr w:rsidR="008B32DD" w:rsidSect="00E672D2">
          <w:type w:val="continuous"/>
          <w:pgSz w:w="12240" w:h="15840"/>
          <w:pgMar w:top="1440" w:right="1800" w:bottom="1440" w:left="1800" w:header="720" w:footer="720" w:gutter="0"/>
          <w:cols w:space="720"/>
          <w:titlePg/>
          <w:docGrid w:linePitch="360"/>
        </w:sectPr>
      </w:pP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lastRenderedPageBreak/>
        <w:t xml:space="preserve">Capacity e.g. </w:t>
      </w:r>
      <w:r w:rsidR="00F849A2">
        <w:rPr>
          <w:rFonts w:cs="Arial"/>
          <w:szCs w:val="20"/>
        </w:rPr>
        <w:t>P</w:t>
      </w:r>
      <w:r w:rsidRPr="009413F6">
        <w:rPr>
          <w:rFonts w:cs="Arial"/>
          <w:szCs w:val="20"/>
        </w:rPr>
        <w:t xml:space="preserve">rincipal, </w:t>
      </w:r>
      <w:r w:rsidR="00F849A2">
        <w:rPr>
          <w:rFonts w:cs="Arial"/>
          <w:szCs w:val="20"/>
        </w:rPr>
        <w:t>A</w:t>
      </w:r>
      <w:r w:rsidRPr="009413F6">
        <w:rPr>
          <w:rFonts w:cs="Arial"/>
          <w:szCs w:val="20"/>
        </w:rPr>
        <w:t>gent etc.</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Trade date</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Trade time</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Value date</w:t>
      </w:r>
    </w:p>
    <w:p w:rsidR="004A31D3" w:rsidRPr="009413F6" w:rsidRDefault="0010314E" w:rsidP="00FA2CC8">
      <w:pPr>
        <w:pStyle w:val="BodyText-Bullets1"/>
        <w:numPr>
          <w:ilvl w:val="0"/>
          <w:numId w:val="30"/>
        </w:numPr>
        <w:spacing w:before="120" w:line="240" w:lineRule="auto"/>
        <w:rPr>
          <w:rFonts w:cs="Arial"/>
          <w:szCs w:val="20"/>
        </w:rPr>
      </w:pPr>
      <w:r>
        <w:rPr>
          <w:rFonts w:cs="Arial"/>
          <w:szCs w:val="20"/>
        </w:rPr>
        <w:t>B</w:t>
      </w:r>
      <w:r w:rsidR="004A31D3" w:rsidRPr="009413F6">
        <w:rPr>
          <w:rFonts w:cs="Arial"/>
          <w:szCs w:val="20"/>
        </w:rPr>
        <w:t xml:space="preserve">uy or </w:t>
      </w:r>
      <w:r>
        <w:rPr>
          <w:rFonts w:cs="Arial"/>
          <w:szCs w:val="20"/>
        </w:rPr>
        <w:t>S</w:t>
      </w:r>
      <w:r w:rsidR="004A31D3" w:rsidRPr="009413F6">
        <w:rPr>
          <w:rFonts w:cs="Arial"/>
          <w:szCs w:val="20"/>
        </w:rPr>
        <w:t>ell</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lastRenderedPageBreak/>
        <w:t>Quantity</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Security</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 xml:space="preserve">Price </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Counterparty</w:t>
      </w:r>
    </w:p>
    <w:p w:rsidR="008B32DD" w:rsidRDefault="008B32DD" w:rsidP="00FA2CC8">
      <w:pPr>
        <w:pStyle w:val="body"/>
        <w:spacing w:before="120" w:after="120" w:line="240" w:lineRule="auto"/>
        <w:jc w:val="both"/>
        <w:rPr>
          <w:rFonts w:ascii="Arial" w:hAnsi="Arial" w:cs="Arial"/>
          <w:sz w:val="20"/>
          <w:szCs w:val="20"/>
        </w:rPr>
        <w:sectPr w:rsidR="008B32DD" w:rsidSect="00E672D2">
          <w:type w:val="continuous"/>
          <w:pgSz w:w="12240" w:h="15840"/>
          <w:pgMar w:top="1440" w:right="1800" w:bottom="1440" w:left="1800" w:header="720" w:footer="720" w:gutter="0"/>
          <w:cols w:num="2" w:space="720"/>
          <w:titlePg/>
          <w:docGrid w:linePitch="360"/>
        </w:sectPr>
      </w:pP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lastRenderedPageBreak/>
        <w:t>Upon receipt of such information, the regulator analyses the transaction detail and attempts to identify unusual patterns of trading which could have been caused by:</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Market manipulation</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Insider trading</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Significant errors by any of the involved parties</w:t>
      </w:r>
    </w:p>
    <w:p w:rsidR="004A31D3" w:rsidRPr="009413F6" w:rsidRDefault="004A31D3" w:rsidP="00FA2CC8">
      <w:pPr>
        <w:pStyle w:val="BodyText-Bullets1"/>
        <w:numPr>
          <w:ilvl w:val="0"/>
          <w:numId w:val="0"/>
        </w:numPr>
        <w:spacing w:before="120" w:line="240" w:lineRule="auto"/>
        <w:rPr>
          <w:rFonts w:cs="Arial"/>
          <w:szCs w:val="20"/>
        </w:rPr>
      </w:pPr>
      <w:r w:rsidRPr="009413F6">
        <w:rPr>
          <w:rFonts w:cs="Arial"/>
          <w:szCs w:val="20"/>
        </w:rPr>
        <w:t>The objectives of such surveillance are:</w:t>
      </w:r>
    </w:p>
    <w:p w:rsidR="004A31D3" w:rsidRPr="009413F6" w:rsidRDefault="00824FAF" w:rsidP="00FA2CC8">
      <w:pPr>
        <w:pStyle w:val="BodyText-Bullets1"/>
        <w:numPr>
          <w:ilvl w:val="0"/>
          <w:numId w:val="30"/>
        </w:numPr>
        <w:spacing w:before="120" w:line="240" w:lineRule="auto"/>
        <w:rPr>
          <w:rFonts w:cs="Arial"/>
          <w:szCs w:val="20"/>
        </w:rPr>
      </w:pPr>
      <w:r>
        <w:rPr>
          <w:rFonts w:cs="Arial"/>
          <w:szCs w:val="20"/>
        </w:rPr>
        <w:t>I</w:t>
      </w:r>
      <w:r w:rsidR="004A31D3" w:rsidRPr="009413F6">
        <w:rPr>
          <w:rFonts w:cs="Arial"/>
          <w:szCs w:val="20"/>
        </w:rPr>
        <w:t>dentify trading activities that fall outside the usual patterns that can be observed by monitoring the price fluctuation of any given security.</w:t>
      </w:r>
    </w:p>
    <w:p w:rsidR="004A31D3" w:rsidRPr="009413F6" w:rsidRDefault="004A31D3" w:rsidP="00FA2CC8">
      <w:pPr>
        <w:pStyle w:val="BodyText-Bullets1"/>
        <w:numPr>
          <w:ilvl w:val="0"/>
          <w:numId w:val="30"/>
        </w:numPr>
        <w:spacing w:before="120" w:line="240" w:lineRule="auto"/>
        <w:rPr>
          <w:rFonts w:cs="Arial"/>
          <w:szCs w:val="20"/>
        </w:rPr>
      </w:pPr>
      <w:r w:rsidRPr="009413F6">
        <w:rPr>
          <w:rFonts w:cs="Arial"/>
          <w:szCs w:val="20"/>
        </w:rPr>
        <w:t>Identification of trading rules violations.</w:t>
      </w:r>
    </w:p>
    <w:p w:rsidR="004A31D3" w:rsidRPr="009413F6" w:rsidRDefault="004A31D3" w:rsidP="00FA2CC8">
      <w:pPr>
        <w:pStyle w:val="BodyText-Bullets1"/>
        <w:numPr>
          <w:ilvl w:val="0"/>
          <w:numId w:val="30"/>
        </w:numPr>
        <w:spacing w:before="120" w:line="240" w:lineRule="auto"/>
      </w:pPr>
      <w:r w:rsidRPr="009413F6">
        <w:rPr>
          <w:rFonts w:cs="Arial"/>
          <w:szCs w:val="20"/>
        </w:rPr>
        <w:t xml:space="preserve">Identification of insider trading. Insider trading happens when someone obtains that information about a company which has not been made public but which can affect the company’s share price, and then trades in that company’s shares. </w:t>
      </w:r>
    </w:p>
    <w:p w:rsidR="004A31D3" w:rsidRPr="009413F6" w:rsidRDefault="004A31D3" w:rsidP="00FA2CC8">
      <w:pPr>
        <w:pStyle w:val="body"/>
        <w:spacing w:before="120" w:after="120" w:line="240" w:lineRule="auto"/>
        <w:jc w:val="both"/>
        <w:rPr>
          <w:rFonts w:ascii="Arial" w:hAnsi="Arial" w:cs="Arial"/>
          <w:sz w:val="20"/>
          <w:szCs w:val="20"/>
        </w:rPr>
      </w:pPr>
      <w:r w:rsidRPr="009413F6">
        <w:rPr>
          <w:rFonts w:ascii="Arial" w:hAnsi="Arial" w:cs="Arial"/>
          <w:sz w:val="20"/>
          <w:szCs w:val="20"/>
        </w:rPr>
        <w:lastRenderedPageBreak/>
        <w:t xml:space="preserve">In some markets, automated systems are used for such </w:t>
      </w:r>
      <w:r w:rsidR="000C018E">
        <w:rPr>
          <w:rFonts w:ascii="Arial" w:hAnsi="Arial" w:cs="Arial"/>
          <w:sz w:val="20"/>
          <w:szCs w:val="20"/>
        </w:rPr>
        <w:t xml:space="preserve">deviation patterns </w:t>
      </w:r>
      <w:r w:rsidRPr="009413F6">
        <w:rPr>
          <w:rFonts w:ascii="Arial" w:hAnsi="Arial" w:cs="Arial"/>
          <w:sz w:val="20"/>
          <w:szCs w:val="20"/>
        </w:rPr>
        <w:t>analysis</w:t>
      </w:r>
      <w:r w:rsidR="000C018E">
        <w:rPr>
          <w:rFonts w:ascii="Arial" w:hAnsi="Arial" w:cs="Arial"/>
          <w:sz w:val="20"/>
          <w:szCs w:val="20"/>
        </w:rPr>
        <w:t xml:space="preserve"> or abnormal behavior</w:t>
      </w:r>
      <w:r w:rsidRPr="009413F6">
        <w:rPr>
          <w:rFonts w:ascii="Arial" w:hAnsi="Arial" w:cs="Arial"/>
          <w:sz w:val="20"/>
          <w:szCs w:val="20"/>
        </w:rPr>
        <w:t xml:space="preserve">. For instance, the NYSE uses a system called </w:t>
      </w:r>
      <w:r w:rsidR="00FA2CC8" w:rsidRPr="009413F6">
        <w:rPr>
          <w:rFonts w:ascii="Arial" w:hAnsi="Arial" w:cs="Arial"/>
          <w:sz w:val="20"/>
          <w:szCs w:val="20"/>
        </w:rPr>
        <w:t>Stock Watch</w:t>
      </w:r>
      <w:r w:rsidRPr="009413F6">
        <w:rPr>
          <w:rFonts w:ascii="Arial" w:hAnsi="Arial" w:cs="Arial"/>
          <w:sz w:val="20"/>
          <w:szCs w:val="20"/>
        </w:rPr>
        <w:t xml:space="preserve"> to identify abnormal trading. The Australian Stock Exchange, a system called SOMA is set up with limits representing normal market activity. Any transaction falling outside the limits are identified automatically as abnormal activities.</w:t>
      </w:r>
    </w:p>
    <w:p w:rsidR="00C60484" w:rsidRDefault="004A31D3" w:rsidP="00A703A1">
      <w:pPr>
        <w:pStyle w:val="Heading3"/>
        <w:keepNext w:val="0"/>
        <w:tabs>
          <w:tab w:val="clear" w:pos="6444"/>
          <w:tab w:val="num" w:pos="540"/>
        </w:tabs>
        <w:spacing w:before="120" w:after="120" w:line="240" w:lineRule="atLeast"/>
        <w:ind w:left="0" w:firstLine="0"/>
        <w:jc w:val="both"/>
      </w:pPr>
      <w:bookmarkStart w:id="113" w:name="_Toc134366502"/>
      <w:r w:rsidRPr="009413F6">
        <w:t>Compliance</w:t>
      </w:r>
      <w:bookmarkEnd w:id="113"/>
    </w:p>
    <w:p w:rsidR="00C60484" w:rsidRDefault="00C60484" w:rsidP="00C60484"/>
    <w:p w:rsidR="002C24F0" w:rsidRPr="002C24F0" w:rsidRDefault="002C24F0" w:rsidP="002C24F0">
      <w:pPr>
        <w:pStyle w:val="Heading4"/>
        <w:rPr>
          <w:rFonts w:cs="Arial"/>
        </w:rPr>
      </w:pPr>
      <w:r w:rsidRPr="002C24F0">
        <w:rPr>
          <w:rFonts w:cs="Arial"/>
        </w:rPr>
        <w:t>Key Compliance Areas</w:t>
      </w:r>
    </w:p>
    <w:p w:rsidR="002C24F0" w:rsidRPr="002C24F0" w:rsidRDefault="002C24F0" w:rsidP="00FA2CC8">
      <w:pPr>
        <w:pStyle w:val="Heading4"/>
        <w:numPr>
          <w:ilvl w:val="0"/>
          <w:numId w:val="48"/>
        </w:numPr>
        <w:jc w:val="both"/>
        <w:rPr>
          <w:rFonts w:cs="Arial"/>
          <w:bCs w:val="0"/>
          <w:color w:val="000000"/>
          <w:sz w:val="20"/>
          <w:szCs w:val="20"/>
        </w:rPr>
      </w:pPr>
      <w:r w:rsidRPr="002C24F0">
        <w:rPr>
          <w:rFonts w:cs="Arial"/>
          <w:bCs w:val="0"/>
          <w:color w:val="000000"/>
          <w:sz w:val="20"/>
          <w:szCs w:val="20"/>
        </w:rPr>
        <w:t>Account Set-up &amp; Maintenance</w:t>
      </w:r>
    </w:p>
    <w:p w:rsidR="002C24F0" w:rsidRPr="002C24F0" w:rsidRDefault="002C24F0" w:rsidP="00FA2CC8">
      <w:pPr>
        <w:pStyle w:val="Heading4"/>
        <w:numPr>
          <w:ilvl w:val="1"/>
          <w:numId w:val="48"/>
        </w:numPr>
        <w:jc w:val="both"/>
        <w:rPr>
          <w:rFonts w:cs="Arial"/>
          <w:bCs w:val="0"/>
          <w:color w:val="000000"/>
          <w:sz w:val="20"/>
          <w:szCs w:val="20"/>
        </w:rPr>
      </w:pPr>
      <w:r w:rsidRPr="002C24F0">
        <w:rPr>
          <w:rFonts w:cs="Arial"/>
          <w:bCs w:val="0"/>
          <w:color w:val="000000"/>
          <w:sz w:val="20"/>
          <w:szCs w:val="20"/>
        </w:rPr>
        <w:t>KYC</w:t>
      </w:r>
      <w:r w:rsidR="00B47FE6">
        <w:rPr>
          <w:rFonts w:cs="Arial"/>
          <w:bCs w:val="0"/>
          <w:color w:val="000000"/>
          <w:sz w:val="20"/>
          <w:szCs w:val="20"/>
        </w:rPr>
        <w:t xml:space="preserve">: </w:t>
      </w:r>
      <w:r w:rsidR="00441A14" w:rsidRPr="00B14E8E">
        <w:rPr>
          <w:rFonts w:cs="Arial"/>
          <w:color w:val="000000"/>
          <w:sz w:val="20"/>
          <w:szCs w:val="20"/>
        </w:rPr>
        <w:t xml:space="preserve">Know your customer (KYC) is the </w:t>
      </w:r>
      <w:hyperlink r:id="rId86" w:tooltip="Due diligence" w:history="1">
        <w:r w:rsidR="00441A14" w:rsidRPr="00B14E8E">
          <w:rPr>
            <w:rFonts w:cs="Arial"/>
            <w:color w:val="000000"/>
            <w:sz w:val="20"/>
            <w:szCs w:val="20"/>
          </w:rPr>
          <w:t>due diligence</w:t>
        </w:r>
      </w:hyperlink>
      <w:r w:rsidR="00441A14" w:rsidRPr="00B14E8E">
        <w:rPr>
          <w:rFonts w:cs="Arial"/>
          <w:color w:val="000000"/>
          <w:sz w:val="20"/>
          <w:szCs w:val="20"/>
        </w:rPr>
        <w:t xml:space="preserve"> and </w:t>
      </w:r>
      <w:hyperlink r:id="rId87" w:tooltip="Bank regulation" w:history="1">
        <w:r w:rsidR="00441A14" w:rsidRPr="00B14E8E">
          <w:rPr>
            <w:rFonts w:cs="Arial"/>
            <w:color w:val="000000"/>
            <w:sz w:val="20"/>
            <w:szCs w:val="20"/>
          </w:rPr>
          <w:t>bank regulation</w:t>
        </w:r>
      </w:hyperlink>
      <w:r w:rsidR="00441A14" w:rsidRPr="00B14E8E">
        <w:rPr>
          <w:rFonts w:cs="Arial"/>
          <w:color w:val="000000"/>
          <w:sz w:val="20"/>
          <w:szCs w:val="20"/>
        </w:rPr>
        <w:t xml:space="preserve"> </w:t>
      </w:r>
      <w:hyperlink r:id="rId88" w:tooltip="Financial institutions" w:history="1">
        <w:r w:rsidR="00441A14" w:rsidRPr="00B14E8E">
          <w:rPr>
            <w:rFonts w:cs="Arial"/>
            <w:color w:val="000000"/>
            <w:sz w:val="20"/>
            <w:szCs w:val="20"/>
          </w:rPr>
          <w:t>financial institutions</w:t>
        </w:r>
      </w:hyperlink>
      <w:r w:rsidR="00441A14" w:rsidRPr="00B14E8E">
        <w:rPr>
          <w:rFonts w:cs="Arial"/>
          <w:color w:val="000000"/>
          <w:sz w:val="20"/>
          <w:szCs w:val="20"/>
        </w:rPr>
        <w:t xml:space="preserve"> and other regulated </w:t>
      </w:r>
      <w:hyperlink r:id="rId89" w:tooltip="Company (law)" w:history="1">
        <w:r w:rsidR="00441A14" w:rsidRPr="00B14E8E">
          <w:rPr>
            <w:rFonts w:cs="Arial"/>
            <w:color w:val="000000"/>
            <w:sz w:val="20"/>
            <w:szCs w:val="20"/>
          </w:rPr>
          <w:t>companies</w:t>
        </w:r>
      </w:hyperlink>
      <w:r w:rsidR="00441A14" w:rsidRPr="00B14E8E">
        <w:rPr>
          <w:rFonts w:cs="Arial"/>
          <w:color w:val="000000"/>
          <w:sz w:val="20"/>
          <w:szCs w:val="20"/>
        </w:rPr>
        <w:t xml:space="preserve"> must perform to identify their clients and ascertain relevant information pertinent to doing financial business with them. In the </w:t>
      </w:r>
      <w:smartTag w:uri="urn:schemas-microsoft-com:office:smarttags" w:element="place">
        <w:smartTag w:uri="urn:schemas-microsoft-com:office:smarttags" w:element="country-region">
          <w:r w:rsidR="00441A14" w:rsidRPr="00B14E8E">
            <w:rPr>
              <w:rFonts w:cs="Arial"/>
              <w:color w:val="000000"/>
              <w:sz w:val="20"/>
              <w:szCs w:val="20"/>
            </w:rPr>
            <w:t>USA</w:t>
          </w:r>
        </w:smartTag>
      </w:smartTag>
      <w:r w:rsidR="00441A14" w:rsidRPr="00B14E8E">
        <w:rPr>
          <w:rFonts w:cs="Arial"/>
          <w:color w:val="000000"/>
          <w:sz w:val="20"/>
          <w:szCs w:val="20"/>
        </w:rPr>
        <w:t xml:space="preserve">, KYC is typically a policy implemented to conform to a </w:t>
      </w:r>
      <w:hyperlink r:id="rId90" w:tooltip="Customer Identification Program" w:history="1">
        <w:r w:rsidR="00441A14" w:rsidRPr="00B14E8E">
          <w:rPr>
            <w:rFonts w:cs="Arial"/>
            <w:color w:val="000000"/>
            <w:sz w:val="20"/>
            <w:szCs w:val="20"/>
          </w:rPr>
          <w:t>customer identification program</w:t>
        </w:r>
      </w:hyperlink>
      <w:r w:rsidR="00441A14" w:rsidRPr="00B14E8E">
        <w:rPr>
          <w:rFonts w:cs="Arial"/>
          <w:color w:val="000000"/>
          <w:sz w:val="20"/>
          <w:szCs w:val="20"/>
        </w:rPr>
        <w:t xml:space="preserve"> mandated under the </w:t>
      </w:r>
      <w:hyperlink r:id="rId91" w:tooltip="Bank Secrecy Act" w:history="1">
        <w:r w:rsidR="00441A14" w:rsidRPr="00B14E8E">
          <w:rPr>
            <w:rFonts w:cs="Arial"/>
            <w:color w:val="000000"/>
            <w:sz w:val="20"/>
            <w:szCs w:val="20"/>
          </w:rPr>
          <w:t>Bank Secrecy Act</w:t>
        </w:r>
      </w:hyperlink>
      <w:r w:rsidR="00441A14" w:rsidRPr="00B14E8E">
        <w:rPr>
          <w:rFonts w:cs="Arial"/>
          <w:color w:val="000000"/>
          <w:sz w:val="20"/>
          <w:szCs w:val="20"/>
        </w:rPr>
        <w:t xml:space="preserve"> and </w:t>
      </w:r>
      <w:hyperlink r:id="rId92" w:tooltip="USA PATRIOT Act" w:history="1">
        <w:r w:rsidR="00441A14" w:rsidRPr="00B14E8E">
          <w:rPr>
            <w:rFonts w:cs="Arial"/>
            <w:color w:val="000000"/>
            <w:sz w:val="20"/>
            <w:szCs w:val="20"/>
          </w:rPr>
          <w:t>USA PATRIOT Act</w:t>
        </w:r>
      </w:hyperlink>
      <w:r w:rsidR="00441A14" w:rsidRPr="00B14E8E">
        <w:rPr>
          <w:rFonts w:cs="Arial"/>
          <w:color w:val="000000"/>
          <w:sz w:val="20"/>
          <w:szCs w:val="20"/>
        </w:rPr>
        <w:t>.</w:t>
      </w:r>
    </w:p>
    <w:p w:rsidR="002C24F0" w:rsidRPr="002C24F0" w:rsidRDefault="002C24F0" w:rsidP="00FA2CC8">
      <w:pPr>
        <w:pStyle w:val="Heading4"/>
        <w:numPr>
          <w:ilvl w:val="1"/>
          <w:numId w:val="48"/>
        </w:numPr>
        <w:jc w:val="both"/>
        <w:rPr>
          <w:rFonts w:cs="Arial"/>
          <w:bCs w:val="0"/>
          <w:color w:val="000000"/>
          <w:sz w:val="20"/>
          <w:szCs w:val="20"/>
        </w:rPr>
      </w:pPr>
      <w:r w:rsidRPr="002C24F0">
        <w:rPr>
          <w:rFonts w:cs="Arial"/>
          <w:bCs w:val="0"/>
          <w:color w:val="000000"/>
          <w:sz w:val="20"/>
          <w:szCs w:val="20"/>
        </w:rPr>
        <w:t>Data Privacy</w:t>
      </w:r>
      <w:r w:rsidR="00B47FE6">
        <w:rPr>
          <w:rFonts w:cs="Arial"/>
          <w:bCs w:val="0"/>
          <w:color w:val="000000"/>
          <w:sz w:val="20"/>
          <w:szCs w:val="20"/>
        </w:rPr>
        <w:t xml:space="preserve">: </w:t>
      </w:r>
      <w:r w:rsidR="002E28F9">
        <w:rPr>
          <w:rFonts w:cs="Arial"/>
          <w:bCs w:val="0"/>
          <w:color w:val="000000"/>
          <w:sz w:val="20"/>
          <w:szCs w:val="20"/>
        </w:rPr>
        <w:t xml:space="preserve">This deals with relationship between collection and dissemination of data, technology, </w:t>
      </w:r>
      <w:proofErr w:type="gramStart"/>
      <w:r w:rsidR="002E28F9">
        <w:rPr>
          <w:rFonts w:cs="Arial"/>
          <w:bCs w:val="0"/>
          <w:color w:val="000000"/>
          <w:sz w:val="20"/>
          <w:szCs w:val="20"/>
        </w:rPr>
        <w:t>public</w:t>
      </w:r>
      <w:proofErr w:type="gramEnd"/>
      <w:r w:rsidR="002E28F9">
        <w:rPr>
          <w:rFonts w:cs="Arial"/>
          <w:bCs w:val="0"/>
          <w:color w:val="000000"/>
          <w:sz w:val="20"/>
          <w:szCs w:val="20"/>
        </w:rPr>
        <w:t xml:space="preserve"> expectation of privacy and legal issues</w:t>
      </w:r>
      <w:r w:rsidR="00B20B99">
        <w:rPr>
          <w:rFonts w:cs="Arial"/>
          <w:bCs w:val="0"/>
          <w:color w:val="000000"/>
          <w:sz w:val="20"/>
          <w:szCs w:val="20"/>
        </w:rPr>
        <w:t>.</w:t>
      </w:r>
      <w:r w:rsidR="001847B3">
        <w:rPr>
          <w:rFonts w:cs="Arial"/>
          <w:bCs w:val="0"/>
          <w:color w:val="000000"/>
          <w:sz w:val="20"/>
          <w:szCs w:val="20"/>
        </w:rPr>
        <w:t xml:space="preserve"> Once customer data is stored electronically, the enterprise should ensure that there is improper usage of the same.</w:t>
      </w:r>
    </w:p>
    <w:p w:rsidR="002C24F0" w:rsidRPr="002C24F0" w:rsidRDefault="00014A4E" w:rsidP="00FA2CC8">
      <w:pPr>
        <w:pStyle w:val="Heading4"/>
        <w:numPr>
          <w:ilvl w:val="1"/>
          <w:numId w:val="48"/>
        </w:numPr>
        <w:jc w:val="both"/>
        <w:rPr>
          <w:rFonts w:cs="Arial"/>
          <w:bCs w:val="0"/>
          <w:color w:val="000000"/>
          <w:sz w:val="20"/>
          <w:szCs w:val="20"/>
        </w:rPr>
      </w:pPr>
      <w:r>
        <w:rPr>
          <w:rFonts w:cs="Arial"/>
          <w:bCs w:val="0"/>
          <w:color w:val="000000"/>
          <w:sz w:val="20"/>
          <w:szCs w:val="20"/>
        </w:rPr>
        <w:t>Documentation and R</w:t>
      </w:r>
      <w:r w:rsidR="002C24F0" w:rsidRPr="002C24F0">
        <w:rPr>
          <w:rFonts w:cs="Arial"/>
          <w:bCs w:val="0"/>
          <w:color w:val="000000"/>
          <w:sz w:val="20"/>
          <w:szCs w:val="20"/>
        </w:rPr>
        <w:t>ecords</w:t>
      </w:r>
      <w:r w:rsidR="00A768C6">
        <w:rPr>
          <w:rFonts w:cs="Arial"/>
          <w:bCs w:val="0"/>
          <w:color w:val="000000"/>
          <w:sz w:val="20"/>
          <w:szCs w:val="20"/>
        </w:rPr>
        <w:t xml:space="preserve">: </w:t>
      </w:r>
      <w:r w:rsidR="001847B3">
        <w:rPr>
          <w:rFonts w:cs="Arial"/>
          <w:bCs w:val="0"/>
          <w:color w:val="000000"/>
          <w:sz w:val="20"/>
          <w:szCs w:val="20"/>
        </w:rPr>
        <w:t xml:space="preserve"> All data pertaining to a customer should be kept in such a way that </w:t>
      </w:r>
      <w:r w:rsidR="00FA2CC8">
        <w:rPr>
          <w:rFonts w:cs="Arial"/>
          <w:bCs w:val="0"/>
          <w:color w:val="000000"/>
          <w:sz w:val="20"/>
          <w:szCs w:val="20"/>
        </w:rPr>
        <w:t>it’s</w:t>
      </w:r>
      <w:r w:rsidR="001847B3">
        <w:rPr>
          <w:rFonts w:cs="Arial"/>
          <w:bCs w:val="0"/>
          <w:color w:val="000000"/>
          <w:sz w:val="20"/>
          <w:szCs w:val="20"/>
        </w:rPr>
        <w:t xml:space="preserve"> easy to retrieve and report in </w:t>
      </w:r>
      <w:r w:rsidR="009F35FC">
        <w:rPr>
          <w:rFonts w:cs="Arial"/>
          <w:bCs w:val="0"/>
          <w:color w:val="000000"/>
          <w:sz w:val="20"/>
          <w:szCs w:val="20"/>
        </w:rPr>
        <w:t>case needed. Normally the records are stored in either image format.</w:t>
      </w:r>
    </w:p>
    <w:p w:rsidR="002C24F0" w:rsidRPr="002C24F0" w:rsidRDefault="002C24F0" w:rsidP="00FA2CC8">
      <w:pPr>
        <w:pStyle w:val="Heading4"/>
        <w:numPr>
          <w:ilvl w:val="0"/>
          <w:numId w:val="48"/>
        </w:numPr>
        <w:jc w:val="both"/>
        <w:rPr>
          <w:rFonts w:cs="Arial"/>
          <w:bCs w:val="0"/>
          <w:color w:val="000000"/>
          <w:sz w:val="20"/>
          <w:szCs w:val="20"/>
        </w:rPr>
      </w:pPr>
      <w:r w:rsidRPr="002C24F0">
        <w:rPr>
          <w:rFonts w:cs="Arial"/>
          <w:bCs w:val="0"/>
          <w:color w:val="000000"/>
          <w:sz w:val="20"/>
          <w:szCs w:val="20"/>
        </w:rPr>
        <w:t>Pre-Trade and Post-Trade Compliance</w:t>
      </w:r>
    </w:p>
    <w:p w:rsidR="002C24F0" w:rsidRPr="002C24F0" w:rsidRDefault="00014A4E" w:rsidP="00FA2CC8">
      <w:pPr>
        <w:pStyle w:val="Heading4"/>
        <w:numPr>
          <w:ilvl w:val="1"/>
          <w:numId w:val="48"/>
        </w:numPr>
        <w:jc w:val="both"/>
        <w:rPr>
          <w:rFonts w:cs="Arial"/>
          <w:bCs w:val="0"/>
          <w:color w:val="000000"/>
          <w:sz w:val="20"/>
          <w:szCs w:val="20"/>
        </w:rPr>
      </w:pPr>
      <w:r>
        <w:rPr>
          <w:rFonts w:cs="Arial"/>
          <w:bCs w:val="0"/>
          <w:color w:val="000000"/>
          <w:sz w:val="20"/>
          <w:szCs w:val="20"/>
        </w:rPr>
        <w:t>Account R</w:t>
      </w:r>
      <w:r w:rsidR="002C24F0" w:rsidRPr="002C24F0">
        <w:rPr>
          <w:rFonts w:cs="Arial"/>
          <w:bCs w:val="0"/>
          <w:color w:val="000000"/>
          <w:sz w:val="20"/>
          <w:szCs w:val="20"/>
        </w:rPr>
        <w:t>estrictions</w:t>
      </w:r>
      <w:r w:rsidR="00A768C6">
        <w:rPr>
          <w:rFonts w:cs="Arial"/>
          <w:bCs w:val="0"/>
          <w:color w:val="000000"/>
          <w:sz w:val="20"/>
          <w:szCs w:val="20"/>
        </w:rPr>
        <w:t xml:space="preserve">: </w:t>
      </w:r>
      <w:r w:rsidR="00AF03E9">
        <w:rPr>
          <w:rFonts w:cs="Arial"/>
          <w:bCs w:val="0"/>
          <w:color w:val="000000"/>
          <w:sz w:val="20"/>
          <w:szCs w:val="20"/>
        </w:rPr>
        <w:t>Pre Trade account restriction deals with compliance status for an account or group of accounts at time of order creation.</w:t>
      </w:r>
    </w:p>
    <w:p w:rsidR="002C24F0" w:rsidRPr="002C24F0" w:rsidRDefault="00014A4E" w:rsidP="00FA2CC8">
      <w:pPr>
        <w:pStyle w:val="Heading4"/>
        <w:numPr>
          <w:ilvl w:val="1"/>
          <w:numId w:val="48"/>
        </w:numPr>
        <w:jc w:val="both"/>
        <w:rPr>
          <w:rFonts w:cs="Arial"/>
          <w:bCs w:val="0"/>
          <w:color w:val="000000"/>
          <w:sz w:val="20"/>
          <w:szCs w:val="20"/>
        </w:rPr>
      </w:pPr>
      <w:r>
        <w:rPr>
          <w:rFonts w:cs="Arial"/>
          <w:bCs w:val="0"/>
          <w:color w:val="000000"/>
          <w:sz w:val="20"/>
          <w:szCs w:val="20"/>
        </w:rPr>
        <w:t>Limit and Exposure C</w:t>
      </w:r>
      <w:r w:rsidR="002C24F0" w:rsidRPr="002C24F0">
        <w:rPr>
          <w:rFonts w:cs="Arial"/>
          <w:bCs w:val="0"/>
          <w:color w:val="000000"/>
          <w:sz w:val="20"/>
          <w:szCs w:val="20"/>
        </w:rPr>
        <w:t>hecks</w:t>
      </w:r>
      <w:r w:rsidR="00A768C6">
        <w:rPr>
          <w:rFonts w:cs="Arial"/>
          <w:bCs w:val="0"/>
          <w:color w:val="000000"/>
          <w:sz w:val="20"/>
          <w:szCs w:val="20"/>
        </w:rPr>
        <w:t xml:space="preserve">: </w:t>
      </w:r>
      <w:r w:rsidR="00AF03E9">
        <w:rPr>
          <w:rFonts w:cs="Arial"/>
          <w:bCs w:val="0"/>
          <w:color w:val="000000"/>
          <w:sz w:val="20"/>
          <w:szCs w:val="20"/>
        </w:rPr>
        <w:t xml:space="preserve">While </w:t>
      </w:r>
      <w:r w:rsidR="009E49E7">
        <w:rPr>
          <w:rFonts w:cs="Arial"/>
          <w:bCs w:val="0"/>
          <w:color w:val="000000"/>
          <w:sz w:val="20"/>
          <w:szCs w:val="20"/>
        </w:rPr>
        <w:t>an</w:t>
      </w:r>
      <w:r w:rsidR="00AF03E9">
        <w:rPr>
          <w:rFonts w:cs="Arial"/>
          <w:bCs w:val="0"/>
          <w:color w:val="000000"/>
          <w:sz w:val="20"/>
          <w:szCs w:val="20"/>
        </w:rPr>
        <w:t xml:space="preserve"> order is being created, there are pre defined limits and exposure defined in the system which would restrict the execution of the order. These limits and exposure checks help in reducing set levels as per the organization wide default standards.</w:t>
      </w:r>
    </w:p>
    <w:p w:rsidR="002C24F0" w:rsidRPr="002C24F0" w:rsidRDefault="00014A4E" w:rsidP="00FA2CC8">
      <w:pPr>
        <w:pStyle w:val="Heading4"/>
        <w:numPr>
          <w:ilvl w:val="1"/>
          <w:numId w:val="48"/>
        </w:numPr>
        <w:jc w:val="both"/>
        <w:rPr>
          <w:rFonts w:cs="Arial"/>
          <w:bCs w:val="0"/>
          <w:color w:val="000000"/>
          <w:sz w:val="20"/>
          <w:szCs w:val="20"/>
        </w:rPr>
      </w:pPr>
      <w:r>
        <w:rPr>
          <w:rFonts w:cs="Arial"/>
          <w:bCs w:val="0"/>
          <w:color w:val="000000"/>
          <w:sz w:val="20"/>
          <w:szCs w:val="20"/>
        </w:rPr>
        <w:t>AML C</w:t>
      </w:r>
      <w:r w:rsidR="002C24F0" w:rsidRPr="002C24F0">
        <w:rPr>
          <w:rFonts w:cs="Arial"/>
          <w:bCs w:val="0"/>
          <w:color w:val="000000"/>
          <w:sz w:val="20"/>
          <w:szCs w:val="20"/>
        </w:rPr>
        <w:t>hecks</w:t>
      </w:r>
      <w:r w:rsidR="00513392">
        <w:rPr>
          <w:rFonts w:cs="Arial"/>
          <w:bCs w:val="0"/>
          <w:color w:val="000000"/>
          <w:sz w:val="20"/>
          <w:szCs w:val="20"/>
        </w:rPr>
        <w:t xml:space="preserve">: </w:t>
      </w:r>
      <w:r w:rsidR="009E49E7">
        <w:rPr>
          <w:rFonts w:cs="Arial"/>
          <w:bCs w:val="0"/>
          <w:color w:val="000000"/>
          <w:sz w:val="20"/>
          <w:szCs w:val="20"/>
        </w:rPr>
        <w:t>AML checks make sure that financial proceedings from illegal sources of revenue are not entering into the financial system.</w:t>
      </w:r>
    </w:p>
    <w:p w:rsidR="002C24F0" w:rsidRPr="002C24F0" w:rsidRDefault="005053D0" w:rsidP="00FA2CC8">
      <w:pPr>
        <w:pStyle w:val="Heading4"/>
        <w:numPr>
          <w:ilvl w:val="1"/>
          <w:numId w:val="48"/>
        </w:numPr>
        <w:jc w:val="both"/>
        <w:rPr>
          <w:rFonts w:cs="Arial"/>
          <w:bCs w:val="0"/>
          <w:color w:val="000000"/>
          <w:sz w:val="20"/>
          <w:szCs w:val="20"/>
        </w:rPr>
      </w:pPr>
      <w:r>
        <w:rPr>
          <w:rFonts w:cs="Arial"/>
          <w:bCs w:val="0"/>
          <w:color w:val="000000"/>
          <w:sz w:val="20"/>
          <w:szCs w:val="20"/>
        </w:rPr>
        <w:t>Market T</w:t>
      </w:r>
      <w:r w:rsidR="002C24F0">
        <w:rPr>
          <w:rFonts w:cs="Arial"/>
          <w:bCs w:val="0"/>
          <w:color w:val="000000"/>
          <w:sz w:val="20"/>
          <w:szCs w:val="20"/>
        </w:rPr>
        <w:t>iming, churning</w:t>
      </w:r>
      <w:r w:rsidR="00C03BF6">
        <w:rPr>
          <w:rFonts w:cs="Arial"/>
          <w:bCs w:val="0"/>
          <w:color w:val="000000"/>
          <w:sz w:val="20"/>
          <w:szCs w:val="20"/>
        </w:rPr>
        <w:t xml:space="preserve">: </w:t>
      </w:r>
      <w:r w:rsidR="005E45FC">
        <w:rPr>
          <w:rFonts w:cs="Arial"/>
          <w:bCs w:val="0"/>
          <w:color w:val="000000"/>
          <w:sz w:val="20"/>
          <w:szCs w:val="20"/>
        </w:rPr>
        <w:t xml:space="preserve">This is a strategy in which investments are made by predicting future prices of assets without any proper background research. In other words this is gambling. Ideally this type of </w:t>
      </w:r>
      <w:r w:rsidR="003E5596">
        <w:rPr>
          <w:rFonts w:cs="Arial"/>
          <w:bCs w:val="0"/>
          <w:color w:val="000000"/>
          <w:sz w:val="20"/>
          <w:szCs w:val="20"/>
        </w:rPr>
        <w:t>behavior</w:t>
      </w:r>
      <w:r w:rsidR="005E45FC">
        <w:rPr>
          <w:rFonts w:cs="Arial"/>
          <w:bCs w:val="0"/>
          <w:color w:val="000000"/>
          <w:sz w:val="20"/>
          <w:szCs w:val="20"/>
        </w:rPr>
        <w:t xml:space="preserve"> should be discouraged for better investor protection</w:t>
      </w:r>
      <w:r w:rsidR="003E5596">
        <w:rPr>
          <w:rFonts w:cs="Arial"/>
          <w:bCs w:val="0"/>
          <w:color w:val="000000"/>
          <w:sz w:val="20"/>
          <w:szCs w:val="20"/>
        </w:rPr>
        <w:t xml:space="preserve"> as this is based on pure chance</w:t>
      </w:r>
      <w:r w:rsidR="005E45FC">
        <w:rPr>
          <w:rFonts w:cs="Arial"/>
          <w:bCs w:val="0"/>
          <w:color w:val="000000"/>
          <w:sz w:val="20"/>
          <w:szCs w:val="20"/>
        </w:rPr>
        <w:t>.</w:t>
      </w:r>
    </w:p>
    <w:p w:rsidR="002C24F0" w:rsidRPr="002C24F0" w:rsidRDefault="005053D0" w:rsidP="00FA2CC8">
      <w:pPr>
        <w:pStyle w:val="Heading4"/>
        <w:numPr>
          <w:ilvl w:val="1"/>
          <w:numId w:val="48"/>
        </w:numPr>
        <w:jc w:val="both"/>
        <w:rPr>
          <w:rFonts w:cs="Arial"/>
          <w:bCs w:val="0"/>
          <w:color w:val="000000"/>
          <w:sz w:val="20"/>
          <w:szCs w:val="20"/>
        </w:rPr>
      </w:pPr>
      <w:r>
        <w:rPr>
          <w:rFonts w:cs="Arial"/>
          <w:bCs w:val="0"/>
          <w:color w:val="000000"/>
          <w:sz w:val="20"/>
          <w:szCs w:val="20"/>
        </w:rPr>
        <w:t>Product P</w:t>
      </w:r>
      <w:r w:rsidR="002C24F0" w:rsidRPr="002C24F0">
        <w:rPr>
          <w:rFonts w:cs="Arial"/>
          <w:bCs w:val="0"/>
          <w:color w:val="000000"/>
          <w:sz w:val="20"/>
          <w:szCs w:val="20"/>
        </w:rPr>
        <w:t>olicies</w:t>
      </w:r>
      <w:r w:rsidR="00331BE0">
        <w:rPr>
          <w:rFonts w:cs="Arial"/>
          <w:bCs w:val="0"/>
          <w:color w:val="000000"/>
          <w:sz w:val="20"/>
          <w:szCs w:val="20"/>
        </w:rPr>
        <w:t xml:space="preserve">: </w:t>
      </w:r>
      <w:r w:rsidR="00760403">
        <w:rPr>
          <w:rFonts w:cs="Arial"/>
          <w:bCs w:val="0"/>
          <w:color w:val="000000"/>
          <w:sz w:val="20"/>
          <w:szCs w:val="20"/>
        </w:rPr>
        <w:t>These policies correspond to compliance rules specific to the product being traded with.</w:t>
      </w:r>
    </w:p>
    <w:p w:rsidR="002C24F0" w:rsidRPr="002C24F0" w:rsidRDefault="002A3554" w:rsidP="00FA2CC8">
      <w:pPr>
        <w:pStyle w:val="Heading4"/>
        <w:numPr>
          <w:ilvl w:val="1"/>
          <w:numId w:val="48"/>
        </w:numPr>
        <w:jc w:val="both"/>
        <w:rPr>
          <w:rFonts w:cs="Arial"/>
          <w:bCs w:val="0"/>
          <w:color w:val="000000"/>
          <w:sz w:val="20"/>
          <w:szCs w:val="20"/>
        </w:rPr>
      </w:pPr>
      <w:r>
        <w:rPr>
          <w:rFonts w:cs="Arial"/>
          <w:bCs w:val="0"/>
          <w:color w:val="000000"/>
          <w:sz w:val="20"/>
          <w:szCs w:val="20"/>
        </w:rPr>
        <w:t>Employee T</w:t>
      </w:r>
      <w:r w:rsidR="00DA2D63">
        <w:rPr>
          <w:rFonts w:cs="Arial"/>
          <w:bCs w:val="0"/>
          <w:color w:val="000000"/>
          <w:sz w:val="20"/>
          <w:szCs w:val="20"/>
        </w:rPr>
        <w:t>rade M</w:t>
      </w:r>
      <w:r w:rsidR="002C24F0" w:rsidRPr="002C24F0">
        <w:rPr>
          <w:rFonts w:cs="Arial"/>
          <w:bCs w:val="0"/>
          <w:color w:val="000000"/>
          <w:sz w:val="20"/>
          <w:szCs w:val="20"/>
        </w:rPr>
        <w:t>onitoring</w:t>
      </w:r>
      <w:r w:rsidR="00EB2880">
        <w:rPr>
          <w:rFonts w:cs="Arial"/>
          <w:bCs w:val="0"/>
          <w:color w:val="000000"/>
          <w:sz w:val="20"/>
          <w:szCs w:val="20"/>
        </w:rPr>
        <w:t>:</w:t>
      </w:r>
      <w:r w:rsidR="00465BC6">
        <w:rPr>
          <w:rFonts w:cs="Arial"/>
          <w:bCs w:val="0"/>
          <w:color w:val="000000"/>
          <w:sz w:val="20"/>
          <w:szCs w:val="20"/>
        </w:rPr>
        <w:t xml:space="preserve"> Internally to an organization, as employees do have information around the performance of the company, there are periods in which </w:t>
      </w:r>
      <w:r w:rsidR="00465BC6">
        <w:rPr>
          <w:rFonts w:cs="Arial"/>
          <w:bCs w:val="0"/>
          <w:color w:val="000000"/>
          <w:sz w:val="20"/>
          <w:szCs w:val="20"/>
        </w:rPr>
        <w:lastRenderedPageBreak/>
        <w:t xml:space="preserve">employees are advised not to do trades. This is meant to ensure that there is an even playing </w:t>
      </w:r>
      <w:proofErr w:type="spellStart"/>
      <w:r w:rsidR="00465BC6">
        <w:rPr>
          <w:rFonts w:cs="Arial"/>
          <w:bCs w:val="0"/>
          <w:color w:val="000000"/>
          <w:sz w:val="20"/>
          <w:szCs w:val="20"/>
        </w:rPr>
        <w:t>filed</w:t>
      </w:r>
      <w:proofErr w:type="spellEnd"/>
      <w:r w:rsidR="00465BC6">
        <w:rPr>
          <w:rFonts w:cs="Arial"/>
          <w:bCs w:val="0"/>
          <w:color w:val="000000"/>
          <w:sz w:val="20"/>
          <w:szCs w:val="20"/>
        </w:rPr>
        <w:t xml:space="preserve"> for parties interested.</w:t>
      </w:r>
    </w:p>
    <w:p w:rsidR="002C24F0" w:rsidRPr="002C24F0" w:rsidRDefault="00863839" w:rsidP="00FA2CC8">
      <w:pPr>
        <w:pStyle w:val="Heading4"/>
        <w:numPr>
          <w:ilvl w:val="1"/>
          <w:numId w:val="48"/>
        </w:numPr>
        <w:jc w:val="both"/>
        <w:rPr>
          <w:rFonts w:cs="Arial"/>
          <w:bCs w:val="0"/>
          <w:color w:val="000000"/>
          <w:sz w:val="20"/>
          <w:szCs w:val="20"/>
        </w:rPr>
      </w:pPr>
      <w:r>
        <w:rPr>
          <w:rFonts w:cs="Arial"/>
          <w:bCs w:val="0"/>
          <w:color w:val="000000"/>
          <w:sz w:val="20"/>
          <w:szCs w:val="20"/>
        </w:rPr>
        <w:t>Firm P</w:t>
      </w:r>
      <w:r w:rsidR="002C24F0" w:rsidRPr="002C24F0">
        <w:rPr>
          <w:rFonts w:cs="Arial"/>
          <w:bCs w:val="0"/>
          <w:color w:val="000000"/>
          <w:sz w:val="20"/>
          <w:szCs w:val="20"/>
        </w:rPr>
        <w:t>olicies</w:t>
      </w:r>
      <w:r w:rsidR="00C45328">
        <w:rPr>
          <w:rFonts w:cs="Arial"/>
          <w:bCs w:val="0"/>
          <w:color w:val="000000"/>
          <w:sz w:val="20"/>
          <w:szCs w:val="20"/>
        </w:rPr>
        <w:t xml:space="preserve">: </w:t>
      </w:r>
      <w:r w:rsidR="00F80875">
        <w:rPr>
          <w:rFonts w:cs="Arial"/>
          <w:bCs w:val="0"/>
          <w:color w:val="000000"/>
          <w:sz w:val="20"/>
          <w:szCs w:val="20"/>
        </w:rPr>
        <w:t>These policies correspond to compliance rules specific to the firm which is engaged in the process.</w:t>
      </w:r>
    </w:p>
    <w:p w:rsidR="002C24F0" w:rsidRPr="002C24F0" w:rsidRDefault="00335459" w:rsidP="00FA2CC8">
      <w:pPr>
        <w:pStyle w:val="Heading4"/>
        <w:numPr>
          <w:ilvl w:val="0"/>
          <w:numId w:val="48"/>
        </w:numPr>
        <w:jc w:val="both"/>
        <w:rPr>
          <w:rFonts w:cs="Arial"/>
          <w:bCs w:val="0"/>
          <w:color w:val="000000"/>
          <w:sz w:val="20"/>
          <w:szCs w:val="20"/>
        </w:rPr>
      </w:pPr>
      <w:r>
        <w:rPr>
          <w:rFonts w:cs="Arial"/>
          <w:bCs w:val="0"/>
          <w:color w:val="000000"/>
          <w:sz w:val="20"/>
          <w:szCs w:val="20"/>
        </w:rPr>
        <w:t>Field (A</w:t>
      </w:r>
      <w:r w:rsidR="002C24F0" w:rsidRPr="002C24F0">
        <w:rPr>
          <w:rFonts w:cs="Arial"/>
          <w:bCs w:val="0"/>
          <w:color w:val="000000"/>
          <w:sz w:val="20"/>
          <w:szCs w:val="20"/>
        </w:rPr>
        <w:t>dvisor) Supervision</w:t>
      </w:r>
    </w:p>
    <w:p w:rsidR="002C24F0" w:rsidRPr="002C24F0" w:rsidRDefault="00421E8A" w:rsidP="00FA2CC8">
      <w:pPr>
        <w:pStyle w:val="Heading4"/>
        <w:numPr>
          <w:ilvl w:val="1"/>
          <w:numId w:val="48"/>
        </w:numPr>
        <w:jc w:val="both"/>
        <w:rPr>
          <w:rFonts w:cs="Arial"/>
          <w:bCs w:val="0"/>
          <w:color w:val="000000"/>
          <w:sz w:val="20"/>
          <w:szCs w:val="20"/>
        </w:rPr>
      </w:pPr>
      <w:r>
        <w:rPr>
          <w:rFonts w:cs="Arial"/>
          <w:bCs w:val="0"/>
          <w:color w:val="000000"/>
          <w:sz w:val="20"/>
          <w:szCs w:val="20"/>
        </w:rPr>
        <w:t>Recommendations (S</w:t>
      </w:r>
      <w:r w:rsidR="002C24F0" w:rsidRPr="002C24F0">
        <w:rPr>
          <w:rFonts w:cs="Arial"/>
          <w:bCs w:val="0"/>
          <w:color w:val="000000"/>
          <w:sz w:val="20"/>
          <w:szCs w:val="20"/>
        </w:rPr>
        <w:t>uitability)</w:t>
      </w:r>
      <w:r w:rsidR="008A0FEF">
        <w:rPr>
          <w:rFonts w:cs="Arial"/>
          <w:bCs w:val="0"/>
          <w:color w:val="000000"/>
          <w:sz w:val="20"/>
          <w:szCs w:val="20"/>
        </w:rPr>
        <w:t xml:space="preserve">: </w:t>
      </w:r>
      <w:r w:rsidR="006A52D8">
        <w:rPr>
          <w:rFonts w:cs="Arial"/>
          <w:bCs w:val="0"/>
          <w:color w:val="000000"/>
          <w:sz w:val="20"/>
          <w:szCs w:val="20"/>
        </w:rPr>
        <w:t xml:space="preserve">This is to ensure that recommendation by advisors for clients is adhering to compliance norms and regulations. </w:t>
      </w:r>
    </w:p>
    <w:p w:rsidR="002C24F0" w:rsidRPr="002C24F0" w:rsidRDefault="002C24F0" w:rsidP="00FA2CC8">
      <w:pPr>
        <w:pStyle w:val="Heading4"/>
        <w:numPr>
          <w:ilvl w:val="1"/>
          <w:numId w:val="48"/>
        </w:numPr>
        <w:jc w:val="both"/>
        <w:rPr>
          <w:rFonts w:cs="Arial"/>
          <w:bCs w:val="0"/>
          <w:color w:val="000000"/>
          <w:sz w:val="20"/>
          <w:szCs w:val="20"/>
        </w:rPr>
      </w:pPr>
      <w:r w:rsidRPr="002C24F0">
        <w:rPr>
          <w:rFonts w:cs="Arial"/>
          <w:bCs w:val="0"/>
          <w:color w:val="000000"/>
          <w:sz w:val="20"/>
          <w:szCs w:val="20"/>
        </w:rPr>
        <w:t>Loads charged on products (</w:t>
      </w:r>
      <w:r w:rsidR="00421E8A">
        <w:rPr>
          <w:rFonts w:cs="Arial"/>
          <w:bCs w:val="0"/>
          <w:color w:val="000000"/>
          <w:sz w:val="20"/>
          <w:szCs w:val="20"/>
        </w:rPr>
        <w:t>D</w:t>
      </w:r>
      <w:r w:rsidRPr="002C24F0">
        <w:rPr>
          <w:rFonts w:cs="Arial"/>
          <w:bCs w:val="0"/>
          <w:color w:val="000000"/>
          <w:sz w:val="20"/>
          <w:szCs w:val="20"/>
        </w:rPr>
        <w:t>istribution)</w:t>
      </w:r>
      <w:r w:rsidR="001907B9">
        <w:rPr>
          <w:rFonts w:cs="Arial"/>
          <w:bCs w:val="0"/>
          <w:color w:val="000000"/>
          <w:sz w:val="20"/>
          <w:szCs w:val="20"/>
        </w:rPr>
        <w:t>:</w:t>
      </w:r>
      <w:r w:rsidR="0005022B">
        <w:rPr>
          <w:rFonts w:cs="Arial"/>
          <w:bCs w:val="0"/>
          <w:color w:val="000000"/>
          <w:sz w:val="20"/>
          <w:szCs w:val="20"/>
        </w:rPr>
        <w:t xml:space="preserve"> </w:t>
      </w:r>
      <w:r w:rsidR="006A52D8">
        <w:rPr>
          <w:rFonts w:cs="Arial"/>
          <w:bCs w:val="0"/>
          <w:color w:val="000000"/>
          <w:sz w:val="20"/>
          <w:szCs w:val="20"/>
        </w:rPr>
        <w:t>There are specified limits on charges that can be charged to the end clients. These rules make sure that the client does not pay excess.</w:t>
      </w:r>
    </w:p>
    <w:p w:rsidR="00037042" w:rsidRPr="00037042" w:rsidRDefault="002C24F0" w:rsidP="00FA2CC8">
      <w:pPr>
        <w:pStyle w:val="Heading4"/>
        <w:jc w:val="both"/>
        <w:rPr>
          <w:rFonts w:ascii="Times New Roman" w:hAnsi="Times New Roman"/>
          <w:szCs w:val="24"/>
        </w:rPr>
      </w:pPr>
      <w:r w:rsidRPr="002C24F0">
        <w:rPr>
          <w:rFonts w:cs="Arial"/>
          <w:bCs w:val="0"/>
          <w:color w:val="000000"/>
          <w:sz w:val="20"/>
          <w:szCs w:val="20"/>
        </w:rPr>
        <w:t>Disclosures and Reporting</w:t>
      </w:r>
      <w:r w:rsidR="000B3DA4">
        <w:rPr>
          <w:rFonts w:cs="Arial"/>
          <w:bCs w:val="0"/>
          <w:color w:val="000000"/>
          <w:sz w:val="20"/>
          <w:szCs w:val="20"/>
        </w:rPr>
        <w:t xml:space="preserve">: </w:t>
      </w:r>
      <w:r w:rsidR="00713AC4">
        <w:rPr>
          <w:rFonts w:cs="Arial"/>
          <w:bCs w:val="0"/>
          <w:color w:val="000000"/>
          <w:sz w:val="20"/>
          <w:szCs w:val="20"/>
        </w:rPr>
        <w:t>These compliance rules correspond</w:t>
      </w:r>
      <w:r w:rsidR="007E570A">
        <w:rPr>
          <w:rFonts w:cs="Arial"/>
          <w:bCs w:val="0"/>
          <w:color w:val="000000"/>
          <w:sz w:val="20"/>
          <w:szCs w:val="20"/>
        </w:rPr>
        <w:t xml:space="preserve"> to external disclosures and reporting norms as prescribed by</w:t>
      </w:r>
      <w:r w:rsidR="00041A0E">
        <w:rPr>
          <w:rFonts w:cs="Arial"/>
          <w:bCs w:val="0"/>
          <w:color w:val="000000"/>
          <w:sz w:val="20"/>
          <w:szCs w:val="20"/>
        </w:rPr>
        <w:t xml:space="preserve"> the regulatory authorities under which the firm operates</w:t>
      </w:r>
      <w:r w:rsidR="00713AC4">
        <w:rPr>
          <w:rFonts w:cs="Arial"/>
          <w:bCs w:val="0"/>
          <w:color w:val="000000"/>
          <w:sz w:val="20"/>
          <w:szCs w:val="20"/>
        </w:rPr>
        <w:t>.</w:t>
      </w:r>
    </w:p>
    <w:p w:rsidR="00000056" w:rsidRPr="00000056" w:rsidRDefault="00000056" w:rsidP="00000056">
      <w:pPr>
        <w:pStyle w:val="Heading2"/>
        <w:keepNext w:val="0"/>
        <w:spacing w:before="120" w:after="120" w:line="240" w:lineRule="atLeast"/>
        <w:ind w:left="0" w:firstLine="0"/>
        <w:jc w:val="both"/>
      </w:pPr>
      <w:bookmarkStart w:id="114" w:name="_Toc202158987"/>
      <w:bookmarkStart w:id="115" w:name="_Toc202158988"/>
      <w:bookmarkStart w:id="116" w:name="_Toc134366503"/>
      <w:bookmarkStart w:id="117" w:name="_Toc226530535"/>
      <w:bookmarkEnd w:id="114"/>
      <w:bookmarkEnd w:id="115"/>
      <w:r>
        <w:t>Reference Data Management</w:t>
      </w:r>
      <w:bookmarkEnd w:id="116"/>
      <w:bookmarkEnd w:id="117"/>
    </w:p>
    <w:p w:rsidR="00AA22F9" w:rsidRDefault="00AA22F9" w:rsidP="00550DB5">
      <w:pPr>
        <w:pStyle w:val="Heading2"/>
        <w:keepNext w:val="0"/>
        <w:numPr>
          <w:ilvl w:val="0"/>
          <w:numId w:val="0"/>
        </w:numPr>
        <w:spacing w:before="120" w:after="120" w:line="240" w:lineRule="atLeast"/>
        <w:jc w:val="both"/>
        <w:rPr>
          <w:sz w:val="20"/>
          <w:szCs w:val="20"/>
        </w:rPr>
      </w:pPr>
    </w:p>
    <w:p w:rsidR="00AA22F9" w:rsidRDefault="00AA22F9" w:rsidP="006D5183">
      <w:pPr>
        <w:pStyle w:val="Heading3"/>
        <w:keepNext w:val="0"/>
        <w:tabs>
          <w:tab w:val="clear" w:pos="6444"/>
          <w:tab w:val="num" w:pos="540"/>
        </w:tabs>
        <w:spacing w:before="120" w:after="120" w:line="240" w:lineRule="atLeast"/>
        <w:ind w:left="0" w:firstLine="0"/>
        <w:jc w:val="both"/>
      </w:pPr>
      <w:bookmarkStart w:id="118" w:name="_Toc126746923"/>
      <w:r>
        <w:t>What is Reference Data?</w:t>
      </w:r>
      <w:bookmarkEnd w:id="118"/>
    </w:p>
    <w:p w:rsidR="00935E0C" w:rsidRPr="00620A96" w:rsidRDefault="00935E0C" w:rsidP="00FA2CC8">
      <w:pPr>
        <w:spacing w:before="120" w:after="120"/>
        <w:jc w:val="both"/>
        <w:rPr>
          <w:rFonts w:ascii="Arial" w:hAnsi="Arial" w:cs="Arial"/>
          <w:bCs/>
          <w:sz w:val="20"/>
          <w:szCs w:val="20"/>
        </w:rPr>
      </w:pPr>
      <w:r w:rsidRPr="00620A96">
        <w:rPr>
          <w:rFonts w:ascii="Arial" w:hAnsi="Arial" w:cs="Arial"/>
          <w:bCs/>
          <w:sz w:val="20"/>
          <w:szCs w:val="20"/>
        </w:rPr>
        <w:t>Reference data is the fundamental data defining the securities, customer, Counterparty, workflow rules etc.  Reference data is pre-requisite for processing any transactions in the trade matching system.  Reference data for trade matching system can be broadly classified as common reference data and specific reference data where, common reference data is general reference data required for trade matching system irrespective of the client,   I.e., it will not change for each client whereas specific reference data will vary from client to client.  Various types of reference data required for trade matching system is listed below;</w:t>
      </w:r>
    </w:p>
    <w:p w:rsidR="00935E0C" w:rsidRPr="00935E0C" w:rsidRDefault="00935E0C" w:rsidP="00FA2CC8">
      <w:pPr>
        <w:widowControl w:val="0"/>
        <w:numPr>
          <w:ilvl w:val="0"/>
          <w:numId w:val="52"/>
        </w:numPr>
        <w:spacing w:before="26" w:after="240"/>
        <w:ind w:right="115"/>
        <w:jc w:val="both"/>
        <w:rPr>
          <w:rFonts w:ascii="Arial" w:hAnsi="Arial" w:cs="Arial"/>
          <w:sz w:val="20"/>
          <w:szCs w:val="20"/>
        </w:rPr>
      </w:pPr>
      <w:r w:rsidRPr="00935E0C">
        <w:rPr>
          <w:rFonts w:ascii="Arial" w:hAnsi="Arial" w:cs="Arial"/>
          <w:sz w:val="20"/>
          <w:szCs w:val="20"/>
        </w:rPr>
        <w:t>Common Reference Data</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Security Data</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Counterparty Data</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Currency Detail</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Market Detail</w:t>
      </w:r>
    </w:p>
    <w:p w:rsidR="00935E0C" w:rsidRPr="00935E0C" w:rsidRDefault="00935E0C" w:rsidP="00FA2CC8">
      <w:pPr>
        <w:widowControl w:val="0"/>
        <w:numPr>
          <w:ilvl w:val="0"/>
          <w:numId w:val="52"/>
        </w:numPr>
        <w:spacing w:before="26" w:after="240"/>
        <w:ind w:right="115"/>
        <w:jc w:val="both"/>
        <w:rPr>
          <w:rFonts w:ascii="Arial" w:hAnsi="Arial" w:cs="Arial"/>
          <w:sz w:val="20"/>
          <w:szCs w:val="20"/>
        </w:rPr>
      </w:pPr>
      <w:r w:rsidRPr="00935E0C">
        <w:rPr>
          <w:rFonts w:ascii="Arial" w:hAnsi="Arial" w:cs="Arial"/>
          <w:sz w:val="20"/>
          <w:szCs w:val="20"/>
        </w:rPr>
        <w:t>Specific Reference Data</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Client Data</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Routing rules</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Matching Rules</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Settlement Details</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Trade Enrichment Data</w:t>
      </w:r>
    </w:p>
    <w:p w:rsidR="00935E0C" w:rsidRPr="00935E0C" w:rsidRDefault="00935E0C" w:rsidP="00FA2CC8">
      <w:pPr>
        <w:spacing w:before="120" w:after="120"/>
        <w:jc w:val="both"/>
        <w:rPr>
          <w:rFonts w:ascii="Arial" w:hAnsi="Arial" w:cs="Arial"/>
          <w:sz w:val="20"/>
          <w:szCs w:val="20"/>
        </w:rPr>
      </w:pPr>
      <w:r w:rsidRPr="00935E0C">
        <w:rPr>
          <w:rFonts w:ascii="Arial" w:hAnsi="Arial" w:cs="Arial"/>
          <w:sz w:val="20"/>
          <w:szCs w:val="20"/>
        </w:rPr>
        <w:t>Reference data management involves the following activities;</w:t>
      </w:r>
    </w:p>
    <w:p w:rsidR="00935E0C" w:rsidRPr="00935E0C" w:rsidRDefault="00935E0C" w:rsidP="00FA2CC8">
      <w:pPr>
        <w:widowControl w:val="0"/>
        <w:numPr>
          <w:ilvl w:val="0"/>
          <w:numId w:val="52"/>
        </w:numPr>
        <w:spacing w:before="26" w:after="240"/>
        <w:ind w:right="115"/>
        <w:jc w:val="both"/>
        <w:rPr>
          <w:rFonts w:ascii="Arial" w:hAnsi="Arial" w:cs="Arial"/>
          <w:sz w:val="20"/>
          <w:szCs w:val="20"/>
        </w:rPr>
      </w:pPr>
      <w:r w:rsidRPr="00935E0C">
        <w:rPr>
          <w:rFonts w:ascii="Arial" w:hAnsi="Arial" w:cs="Arial"/>
          <w:sz w:val="20"/>
          <w:szCs w:val="20"/>
        </w:rPr>
        <w:t>Setup Reference Data</w:t>
      </w:r>
    </w:p>
    <w:p w:rsidR="00935E0C" w:rsidRPr="00935E0C" w:rsidRDefault="00935E0C" w:rsidP="00FA2CC8">
      <w:pPr>
        <w:widowControl w:val="0"/>
        <w:numPr>
          <w:ilvl w:val="0"/>
          <w:numId w:val="52"/>
        </w:numPr>
        <w:spacing w:before="26" w:after="240"/>
        <w:ind w:right="115"/>
        <w:jc w:val="both"/>
        <w:rPr>
          <w:rFonts w:ascii="Arial" w:hAnsi="Arial" w:cs="Arial"/>
          <w:sz w:val="20"/>
          <w:szCs w:val="20"/>
        </w:rPr>
      </w:pPr>
      <w:r w:rsidRPr="00935E0C">
        <w:rPr>
          <w:rFonts w:ascii="Arial" w:hAnsi="Arial" w:cs="Arial"/>
          <w:sz w:val="20"/>
          <w:szCs w:val="20"/>
        </w:rPr>
        <w:t>Maintain Reference Data</w:t>
      </w:r>
    </w:p>
    <w:p w:rsidR="00935E0C" w:rsidRPr="00935E0C" w:rsidRDefault="00935E0C" w:rsidP="00FA2CC8">
      <w:pPr>
        <w:spacing w:before="120" w:after="120"/>
        <w:jc w:val="both"/>
        <w:rPr>
          <w:rFonts w:ascii="Arial" w:hAnsi="Arial" w:cs="Arial"/>
          <w:sz w:val="20"/>
          <w:szCs w:val="20"/>
        </w:rPr>
      </w:pPr>
      <w:r w:rsidRPr="00620A96">
        <w:rPr>
          <w:rFonts w:ascii="Arial" w:hAnsi="Arial" w:cs="Arial"/>
          <w:sz w:val="20"/>
          <w:szCs w:val="20"/>
        </w:rPr>
        <w:lastRenderedPageBreak/>
        <w:t>Reference Data Setup and Maintenance</w:t>
      </w:r>
      <w:r w:rsidR="00620A96" w:rsidRPr="00620A96">
        <w:rPr>
          <w:rFonts w:ascii="Arial" w:hAnsi="Arial" w:cs="Arial"/>
          <w:sz w:val="20"/>
          <w:szCs w:val="20"/>
        </w:rPr>
        <w:t xml:space="preserve">: </w:t>
      </w:r>
      <w:r w:rsidRPr="00935E0C">
        <w:rPr>
          <w:rFonts w:ascii="Arial" w:hAnsi="Arial" w:cs="Arial"/>
          <w:sz w:val="20"/>
          <w:szCs w:val="20"/>
        </w:rPr>
        <w:t xml:space="preserve">Reference Data Setup: Reference data setup is the process of creating the pre-requisite data required for effective functioning of the trade matching system.  This will be done initially when trade matching process is taken over from an investment manager and </w:t>
      </w:r>
      <w:proofErr w:type="spellStart"/>
      <w:r w:rsidRPr="00935E0C">
        <w:rPr>
          <w:rFonts w:ascii="Arial" w:hAnsi="Arial" w:cs="Arial"/>
          <w:sz w:val="20"/>
          <w:szCs w:val="20"/>
        </w:rPr>
        <w:t>when ever</w:t>
      </w:r>
      <w:proofErr w:type="spellEnd"/>
      <w:r w:rsidRPr="00935E0C">
        <w:rPr>
          <w:rFonts w:ascii="Arial" w:hAnsi="Arial" w:cs="Arial"/>
          <w:sz w:val="20"/>
          <w:szCs w:val="20"/>
        </w:rPr>
        <w:t xml:space="preserve"> a new data is to be added on account of the following;</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A new instrument being traded by investment manager</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Trading is to be performed in a new currency</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A new counterparty is identified by the investment manager</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Changes required in routing policies</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New place of settlement</w:t>
      </w:r>
    </w:p>
    <w:p w:rsidR="00935E0C" w:rsidRPr="00935E0C" w:rsidRDefault="00935E0C" w:rsidP="00FA2CC8">
      <w:pPr>
        <w:spacing w:before="120" w:after="120"/>
        <w:jc w:val="both"/>
        <w:rPr>
          <w:rFonts w:ascii="Arial" w:hAnsi="Arial" w:cs="Arial"/>
          <w:sz w:val="20"/>
          <w:szCs w:val="20"/>
        </w:rPr>
      </w:pPr>
      <w:r w:rsidRPr="00935E0C">
        <w:rPr>
          <w:rFonts w:ascii="Arial" w:hAnsi="Arial" w:cs="Arial"/>
          <w:sz w:val="20"/>
          <w:szCs w:val="20"/>
        </w:rPr>
        <w:t>Reference Data Maintenance: Reference data maintenance process involves changing the reference data already available for the following reasons;</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IM decision to change routing rules, messaging address</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Change in the currency name</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Change in matching requirements</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IM decision to opt for more service (From messaging only to matching and messaging)</w:t>
      </w:r>
    </w:p>
    <w:p w:rsidR="00935E0C" w:rsidRPr="00935E0C" w:rsidRDefault="00935E0C" w:rsidP="00FA2CC8">
      <w:pPr>
        <w:widowControl w:val="0"/>
        <w:numPr>
          <w:ilvl w:val="0"/>
          <w:numId w:val="51"/>
        </w:numPr>
        <w:spacing w:before="26" w:after="120"/>
        <w:ind w:right="115"/>
        <w:jc w:val="both"/>
        <w:rPr>
          <w:rFonts w:ascii="Arial" w:hAnsi="Arial" w:cs="Arial"/>
          <w:sz w:val="20"/>
          <w:szCs w:val="20"/>
        </w:rPr>
      </w:pPr>
      <w:r w:rsidRPr="00935E0C">
        <w:rPr>
          <w:rFonts w:ascii="Arial" w:hAnsi="Arial" w:cs="Arial"/>
          <w:sz w:val="20"/>
          <w:szCs w:val="20"/>
        </w:rPr>
        <w:t>Change in custodian deadline details</w:t>
      </w:r>
    </w:p>
    <w:p w:rsidR="00AA22F9" w:rsidRPr="001301EE" w:rsidRDefault="00AA22F9" w:rsidP="00FA2CC8">
      <w:pPr>
        <w:spacing w:before="120" w:after="120"/>
        <w:jc w:val="both"/>
        <w:rPr>
          <w:rFonts w:ascii="Arial" w:hAnsi="Arial" w:cs="Arial"/>
          <w:sz w:val="20"/>
          <w:szCs w:val="20"/>
        </w:rPr>
      </w:pPr>
      <w:r w:rsidRPr="001301EE">
        <w:rPr>
          <w:rFonts w:ascii="Arial" w:hAnsi="Arial" w:cs="Arial"/>
          <w:sz w:val="20"/>
          <w:szCs w:val="20"/>
        </w:rPr>
        <w:t>Reference data is the static information that describes Clients, Securities, Products, FX Rates, Closing Prices, Corporate Action Details, Factors, etc. to support the various operational processes in the investment management firm such as Middle Office, Front Office, Back Office, Billing, etc.  These are the fundamental data based on which the various operations execute their activities.</w:t>
      </w:r>
    </w:p>
    <w:p w:rsidR="001301EE" w:rsidRPr="001301EE" w:rsidRDefault="00AA22F9" w:rsidP="00FA2CC8">
      <w:pPr>
        <w:spacing w:before="120" w:after="120"/>
        <w:jc w:val="both"/>
        <w:rPr>
          <w:rFonts w:ascii="Arial" w:hAnsi="Arial" w:cs="Arial"/>
          <w:sz w:val="20"/>
          <w:szCs w:val="20"/>
        </w:rPr>
      </w:pPr>
      <w:r w:rsidRPr="001301EE">
        <w:rPr>
          <w:rFonts w:ascii="Arial" w:hAnsi="Arial" w:cs="Arial"/>
          <w:sz w:val="20"/>
          <w:szCs w:val="20"/>
        </w:rPr>
        <w:t xml:space="preserve">Reference data is typically sourced from multiple vendor sources like Bloomberg, Reuters, </w:t>
      </w:r>
      <w:r w:rsidR="00FA2CC8" w:rsidRPr="001301EE">
        <w:rPr>
          <w:rFonts w:ascii="Arial" w:hAnsi="Arial" w:cs="Arial"/>
          <w:sz w:val="20"/>
          <w:szCs w:val="20"/>
        </w:rPr>
        <w:t>and IDC</w:t>
      </w:r>
      <w:r w:rsidRPr="001301EE">
        <w:rPr>
          <w:rFonts w:ascii="Arial" w:hAnsi="Arial" w:cs="Arial"/>
          <w:sz w:val="20"/>
          <w:szCs w:val="20"/>
        </w:rPr>
        <w:t xml:space="preserve"> or from internally systems. Many of the Investment Management firms have multiple systems for each of their operations and the reference data is independently sourced by these systems. This leads to redundancy of the same reference data being maintained in different systems.</w:t>
      </w:r>
      <w:r w:rsidR="00480637">
        <w:rPr>
          <w:rFonts w:ascii="Arial" w:hAnsi="Arial" w:cs="Arial"/>
          <w:sz w:val="20"/>
          <w:szCs w:val="20"/>
        </w:rPr>
        <w:t xml:space="preserve"> </w:t>
      </w:r>
      <w:r w:rsidR="001301EE" w:rsidRPr="001301EE">
        <w:rPr>
          <w:rFonts w:ascii="Arial" w:hAnsi="Arial" w:cs="Arial"/>
          <w:sz w:val="20"/>
          <w:szCs w:val="20"/>
        </w:rPr>
        <w:t>Maintaining the reference data in multiple places leads to the following issues or problems</w:t>
      </w:r>
    </w:p>
    <w:p w:rsidR="008B32DD" w:rsidRDefault="008B32DD" w:rsidP="00FA2CC8">
      <w:pPr>
        <w:numPr>
          <w:ilvl w:val="0"/>
          <w:numId w:val="47"/>
        </w:numPr>
        <w:spacing w:before="120" w:after="120"/>
        <w:jc w:val="both"/>
        <w:rPr>
          <w:rFonts w:ascii="Arial" w:hAnsi="Arial" w:cs="Arial"/>
          <w:sz w:val="20"/>
          <w:szCs w:val="20"/>
        </w:rPr>
        <w:sectPr w:rsidR="008B32DD" w:rsidSect="00E672D2">
          <w:type w:val="continuous"/>
          <w:pgSz w:w="12240" w:h="15840"/>
          <w:pgMar w:top="1440" w:right="1800" w:bottom="1440" w:left="1800" w:header="720" w:footer="720" w:gutter="0"/>
          <w:cols w:space="720"/>
          <w:titlePg/>
          <w:docGrid w:linePitch="360"/>
        </w:sectPr>
      </w:pPr>
    </w:p>
    <w:p w:rsidR="001301EE" w:rsidRPr="001301EE" w:rsidRDefault="001301EE" w:rsidP="00FA2CC8">
      <w:pPr>
        <w:numPr>
          <w:ilvl w:val="0"/>
          <w:numId w:val="47"/>
        </w:numPr>
        <w:spacing w:before="120" w:after="120"/>
        <w:jc w:val="both"/>
        <w:rPr>
          <w:rFonts w:ascii="Arial" w:hAnsi="Arial" w:cs="Arial"/>
          <w:sz w:val="20"/>
          <w:szCs w:val="20"/>
        </w:rPr>
      </w:pPr>
      <w:r w:rsidRPr="001301EE">
        <w:rPr>
          <w:rFonts w:ascii="Arial" w:hAnsi="Arial" w:cs="Arial"/>
          <w:sz w:val="20"/>
          <w:szCs w:val="20"/>
        </w:rPr>
        <w:lastRenderedPageBreak/>
        <w:t xml:space="preserve">Data redundancy </w:t>
      </w:r>
    </w:p>
    <w:p w:rsidR="001301EE" w:rsidRPr="001301EE" w:rsidRDefault="001301EE" w:rsidP="00FA2CC8">
      <w:pPr>
        <w:numPr>
          <w:ilvl w:val="0"/>
          <w:numId w:val="47"/>
        </w:numPr>
        <w:spacing w:before="120" w:after="120"/>
        <w:jc w:val="both"/>
        <w:rPr>
          <w:rFonts w:ascii="Arial" w:hAnsi="Arial" w:cs="Arial"/>
          <w:sz w:val="20"/>
          <w:szCs w:val="20"/>
        </w:rPr>
      </w:pPr>
      <w:r w:rsidRPr="001301EE">
        <w:rPr>
          <w:rFonts w:ascii="Arial" w:hAnsi="Arial" w:cs="Arial"/>
          <w:sz w:val="20"/>
          <w:szCs w:val="20"/>
        </w:rPr>
        <w:t>Data discrepancy</w:t>
      </w:r>
    </w:p>
    <w:p w:rsidR="001301EE" w:rsidRPr="001301EE" w:rsidRDefault="001301EE" w:rsidP="00FA2CC8">
      <w:pPr>
        <w:numPr>
          <w:ilvl w:val="0"/>
          <w:numId w:val="47"/>
        </w:numPr>
        <w:spacing w:before="120" w:after="120"/>
        <w:jc w:val="both"/>
        <w:rPr>
          <w:rFonts w:ascii="Arial" w:hAnsi="Arial" w:cs="Arial"/>
          <w:sz w:val="20"/>
          <w:szCs w:val="20"/>
        </w:rPr>
      </w:pPr>
      <w:r w:rsidRPr="001301EE">
        <w:rPr>
          <w:rFonts w:ascii="Arial" w:hAnsi="Arial" w:cs="Arial"/>
          <w:sz w:val="20"/>
          <w:szCs w:val="20"/>
        </w:rPr>
        <w:t>Data quality</w:t>
      </w:r>
    </w:p>
    <w:p w:rsidR="001301EE" w:rsidRPr="001301EE" w:rsidRDefault="001301EE" w:rsidP="00FA2CC8">
      <w:pPr>
        <w:numPr>
          <w:ilvl w:val="0"/>
          <w:numId w:val="47"/>
        </w:numPr>
        <w:spacing w:before="120" w:after="120"/>
        <w:jc w:val="both"/>
        <w:rPr>
          <w:rFonts w:ascii="Arial" w:hAnsi="Arial" w:cs="Arial"/>
          <w:sz w:val="20"/>
          <w:szCs w:val="20"/>
        </w:rPr>
      </w:pPr>
      <w:r w:rsidRPr="001301EE">
        <w:rPr>
          <w:rFonts w:ascii="Arial" w:hAnsi="Arial" w:cs="Arial"/>
          <w:sz w:val="20"/>
          <w:szCs w:val="20"/>
        </w:rPr>
        <w:t>Inefficient consolidation &amp; client reporting</w:t>
      </w:r>
    </w:p>
    <w:p w:rsidR="001301EE" w:rsidRPr="001301EE" w:rsidRDefault="001301EE" w:rsidP="00FA2CC8">
      <w:pPr>
        <w:numPr>
          <w:ilvl w:val="0"/>
          <w:numId w:val="47"/>
        </w:numPr>
        <w:spacing w:before="120" w:after="120"/>
        <w:jc w:val="both"/>
        <w:rPr>
          <w:rFonts w:ascii="Arial" w:hAnsi="Arial" w:cs="Arial"/>
          <w:sz w:val="20"/>
          <w:szCs w:val="20"/>
        </w:rPr>
      </w:pPr>
      <w:r w:rsidRPr="001301EE">
        <w:rPr>
          <w:rFonts w:ascii="Arial" w:hAnsi="Arial" w:cs="Arial"/>
          <w:sz w:val="20"/>
          <w:szCs w:val="20"/>
        </w:rPr>
        <w:lastRenderedPageBreak/>
        <w:t>Increased operational risk</w:t>
      </w:r>
    </w:p>
    <w:p w:rsidR="001301EE" w:rsidRPr="001301EE" w:rsidRDefault="001301EE" w:rsidP="00FA2CC8">
      <w:pPr>
        <w:numPr>
          <w:ilvl w:val="0"/>
          <w:numId w:val="47"/>
        </w:numPr>
        <w:spacing w:before="120" w:after="120"/>
        <w:jc w:val="both"/>
        <w:rPr>
          <w:rFonts w:ascii="Arial" w:hAnsi="Arial" w:cs="Arial"/>
          <w:sz w:val="20"/>
          <w:szCs w:val="20"/>
        </w:rPr>
      </w:pPr>
      <w:r w:rsidRPr="001301EE">
        <w:rPr>
          <w:rFonts w:ascii="Arial" w:hAnsi="Arial" w:cs="Arial"/>
          <w:sz w:val="20"/>
          <w:szCs w:val="20"/>
        </w:rPr>
        <w:t>Excessive cost</w:t>
      </w:r>
    </w:p>
    <w:p w:rsidR="001301EE" w:rsidRPr="001301EE" w:rsidRDefault="001301EE" w:rsidP="00FA2CC8">
      <w:pPr>
        <w:numPr>
          <w:ilvl w:val="0"/>
          <w:numId w:val="47"/>
        </w:numPr>
        <w:spacing w:before="120" w:after="120"/>
        <w:jc w:val="both"/>
        <w:rPr>
          <w:rFonts w:ascii="Arial" w:hAnsi="Arial" w:cs="Arial"/>
          <w:sz w:val="20"/>
          <w:szCs w:val="20"/>
        </w:rPr>
      </w:pPr>
      <w:r w:rsidRPr="001301EE">
        <w:rPr>
          <w:rFonts w:ascii="Arial" w:hAnsi="Arial" w:cs="Arial"/>
          <w:sz w:val="20"/>
          <w:szCs w:val="20"/>
        </w:rPr>
        <w:t>Loss of reputation &amp; client trust</w:t>
      </w:r>
    </w:p>
    <w:p w:rsidR="008B32DD" w:rsidRDefault="008B32DD" w:rsidP="00FA2CC8">
      <w:pPr>
        <w:spacing w:before="120" w:after="120"/>
        <w:jc w:val="both"/>
        <w:rPr>
          <w:rFonts w:ascii="Arial" w:hAnsi="Arial" w:cs="Arial"/>
          <w:sz w:val="20"/>
          <w:szCs w:val="20"/>
        </w:rPr>
        <w:sectPr w:rsidR="008B32DD" w:rsidSect="00E672D2">
          <w:type w:val="continuous"/>
          <w:pgSz w:w="12240" w:h="15840"/>
          <w:pgMar w:top="1440" w:right="1800" w:bottom="1440" w:left="1800" w:header="720" w:footer="720" w:gutter="0"/>
          <w:cols w:num="2" w:space="720"/>
          <w:titlePg/>
          <w:docGrid w:linePitch="360"/>
        </w:sectPr>
      </w:pPr>
    </w:p>
    <w:p w:rsidR="001301EE" w:rsidRPr="001301EE" w:rsidRDefault="001301EE" w:rsidP="00FA2CC8">
      <w:pPr>
        <w:spacing w:before="120" w:after="120"/>
        <w:jc w:val="both"/>
        <w:rPr>
          <w:rFonts w:ascii="Arial" w:hAnsi="Arial" w:cs="Arial"/>
          <w:sz w:val="20"/>
          <w:szCs w:val="20"/>
        </w:rPr>
      </w:pPr>
      <w:r w:rsidRPr="001301EE">
        <w:rPr>
          <w:rFonts w:ascii="Arial" w:hAnsi="Arial" w:cs="Arial"/>
          <w:sz w:val="20"/>
          <w:szCs w:val="20"/>
        </w:rPr>
        <w:lastRenderedPageBreak/>
        <w:t xml:space="preserve">The above problems call for a proper Reference Data Management process that will ensure that a quality and reliable reference data is made available for all the operations. </w:t>
      </w:r>
    </w:p>
    <w:p w:rsidR="00AA22F9" w:rsidRDefault="00AA22F9" w:rsidP="006D5183">
      <w:pPr>
        <w:pStyle w:val="Heading3"/>
        <w:keepNext w:val="0"/>
        <w:tabs>
          <w:tab w:val="clear" w:pos="6444"/>
          <w:tab w:val="num" w:pos="540"/>
        </w:tabs>
        <w:spacing w:before="120" w:after="120" w:line="240" w:lineRule="atLeast"/>
        <w:ind w:left="0" w:firstLine="0"/>
        <w:jc w:val="both"/>
      </w:pPr>
      <w:bookmarkStart w:id="119" w:name="_Toc126746926"/>
      <w:r>
        <w:t>Centralized Reference Data</w:t>
      </w:r>
      <w:bookmarkEnd w:id="119"/>
    </w:p>
    <w:p w:rsidR="009B543C" w:rsidRPr="001301EE" w:rsidRDefault="00AA22F9" w:rsidP="009B543C">
      <w:pPr>
        <w:spacing w:before="120" w:after="120"/>
        <w:jc w:val="both"/>
        <w:rPr>
          <w:rFonts w:ascii="Arial" w:hAnsi="Arial" w:cs="Arial"/>
          <w:sz w:val="20"/>
          <w:szCs w:val="20"/>
        </w:rPr>
      </w:pPr>
      <w:r w:rsidRPr="001301EE">
        <w:rPr>
          <w:rFonts w:ascii="Arial" w:hAnsi="Arial" w:cs="Arial"/>
          <w:sz w:val="20"/>
          <w:szCs w:val="20"/>
        </w:rPr>
        <w:t xml:space="preserve">The reference data required by each of the processes are mostly common. For e.g. Clients, Securities, Countries, Currencies, etc. </w:t>
      </w:r>
      <w:r w:rsidR="00C94E1D">
        <w:rPr>
          <w:rFonts w:ascii="Arial" w:hAnsi="Arial" w:cs="Arial"/>
          <w:sz w:val="20"/>
          <w:szCs w:val="20"/>
        </w:rPr>
        <w:t>In addition, most asset management firms use common infrastructure to also manage some non-static data such as market data, research feeds, news feeds, positions, trades, performance data, etc. Following is a depiction of the data management needs of an asset management firm:</w:t>
      </w:r>
    </w:p>
    <w:p w:rsidR="00AA22F9" w:rsidRDefault="009B543C" w:rsidP="00FA2CC8">
      <w:pPr>
        <w:spacing w:before="120" w:after="120"/>
        <w:jc w:val="both"/>
        <w:rPr>
          <w:rFonts w:ascii="Arial" w:hAnsi="Arial" w:cs="Arial"/>
          <w:sz w:val="20"/>
          <w:szCs w:val="20"/>
        </w:rPr>
      </w:pPr>
      <w:r w:rsidRPr="009B543C">
        <w:rPr>
          <w:rFonts w:ascii="Arial" w:hAnsi="Arial" w:cs="Arial"/>
          <w:noProof/>
          <w:sz w:val="20"/>
          <w:szCs w:val="20"/>
        </w:rPr>
        <w:lastRenderedPageBreak/>
        <w:drawing>
          <wp:inline distT="0" distB="0" distL="0" distR="0">
            <wp:extent cx="5486400" cy="3235608"/>
            <wp:effectExtent l="19050" t="0" r="0" b="0"/>
            <wp:docPr id="15" name="Picture 1" descr="cid:image001.png@01C9B3A2.9CEAB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9B3A2.9CEAB0B0"/>
                    <pic:cNvPicPr>
                      <a:picLocks noChangeAspect="1" noChangeArrowheads="1"/>
                    </pic:cNvPicPr>
                  </pic:nvPicPr>
                  <pic:blipFill>
                    <a:blip r:embed="rId93" r:link="rId94" cstate="print"/>
                    <a:srcRect/>
                    <a:stretch>
                      <a:fillRect/>
                    </a:stretch>
                  </pic:blipFill>
                  <pic:spPr bwMode="auto">
                    <a:xfrm>
                      <a:off x="0" y="0"/>
                      <a:ext cx="5486400" cy="3235608"/>
                    </a:xfrm>
                    <a:prstGeom prst="rect">
                      <a:avLst/>
                    </a:prstGeom>
                    <a:noFill/>
                    <a:ln w="9525">
                      <a:noFill/>
                      <a:miter lim="800000"/>
                      <a:headEnd/>
                      <a:tailEnd/>
                    </a:ln>
                  </pic:spPr>
                </pic:pic>
              </a:graphicData>
            </a:graphic>
          </wp:inline>
        </w:drawing>
      </w:r>
    </w:p>
    <w:p w:rsidR="009B543C" w:rsidRDefault="009B543C" w:rsidP="00FA2CC8">
      <w:pPr>
        <w:spacing w:before="120" w:after="120"/>
        <w:jc w:val="both"/>
        <w:rPr>
          <w:rFonts w:ascii="Arial" w:hAnsi="Arial" w:cs="Arial"/>
          <w:sz w:val="20"/>
          <w:szCs w:val="20"/>
        </w:rPr>
      </w:pPr>
    </w:p>
    <w:p w:rsidR="009B543C" w:rsidRPr="00936708" w:rsidRDefault="009B543C" w:rsidP="009B543C">
      <w:pPr>
        <w:pStyle w:val="Caption"/>
        <w:jc w:val="center"/>
        <w:rPr>
          <w:rFonts w:ascii="Arial" w:hAnsi="Arial" w:cs="Arial"/>
        </w:rPr>
      </w:pPr>
      <w:r>
        <w:tab/>
      </w:r>
      <w:bookmarkStart w:id="120" w:name="_Toc207007216"/>
      <w:r w:rsidRPr="00936708">
        <w:rPr>
          <w:rFonts w:ascii="Arial" w:hAnsi="Arial" w:cs="Arial"/>
        </w:rPr>
        <w:t xml:space="preserve">Figure </w:t>
      </w:r>
      <w:r w:rsidR="00FC0435" w:rsidRPr="00936708">
        <w:rPr>
          <w:rFonts w:ascii="Arial" w:hAnsi="Arial" w:cs="Arial"/>
        </w:rPr>
        <w:fldChar w:fldCharType="begin"/>
      </w:r>
      <w:r w:rsidR="00027265" w:rsidRPr="00936708">
        <w:rPr>
          <w:rFonts w:ascii="Arial" w:hAnsi="Arial" w:cs="Arial"/>
        </w:rPr>
        <w:instrText xml:space="preserve"> STYLEREF 1 \s </w:instrText>
      </w:r>
      <w:r w:rsidR="00FC0435" w:rsidRPr="00936708">
        <w:rPr>
          <w:rFonts w:ascii="Arial" w:hAnsi="Arial" w:cs="Arial"/>
        </w:rPr>
        <w:fldChar w:fldCharType="separate"/>
      </w:r>
      <w:r w:rsidRPr="00936708">
        <w:rPr>
          <w:rFonts w:ascii="Arial" w:hAnsi="Arial" w:cs="Arial"/>
          <w:noProof/>
        </w:rPr>
        <w:t>6</w:t>
      </w:r>
      <w:r w:rsidR="00FC0435" w:rsidRPr="00936708">
        <w:rPr>
          <w:rFonts w:ascii="Arial" w:hAnsi="Arial" w:cs="Arial"/>
        </w:rPr>
        <w:fldChar w:fldCharType="end"/>
      </w:r>
      <w:r w:rsidRPr="00936708">
        <w:rPr>
          <w:rFonts w:ascii="Arial" w:hAnsi="Arial" w:cs="Arial"/>
        </w:rPr>
        <w:noBreakHyphen/>
      </w:r>
      <w:r w:rsidR="00FC0435" w:rsidRPr="00936708">
        <w:rPr>
          <w:rFonts w:ascii="Arial" w:hAnsi="Arial" w:cs="Arial"/>
        </w:rPr>
        <w:fldChar w:fldCharType="begin"/>
      </w:r>
      <w:r w:rsidR="00027265" w:rsidRPr="00936708">
        <w:rPr>
          <w:rFonts w:ascii="Arial" w:hAnsi="Arial" w:cs="Arial"/>
        </w:rPr>
        <w:instrText xml:space="preserve"> SEQ Figure \* ARABIC \s 1 </w:instrText>
      </w:r>
      <w:r w:rsidR="00FC0435" w:rsidRPr="00936708">
        <w:rPr>
          <w:rFonts w:ascii="Arial" w:hAnsi="Arial" w:cs="Arial"/>
        </w:rPr>
        <w:fldChar w:fldCharType="separate"/>
      </w:r>
      <w:r w:rsidRPr="00936708">
        <w:rPr>
          <w:rFonts w:ascii="Arial" w:hAnsi="Arial" w:cs="Arial"/>
          <w:noProof/>
        </w:rPr>
        <w:t>3</w:t>
      </w:r>
      <w:r w:rsidR="00FC0435" w:rsidRPr="00936708">
        <w:rPr>
          <w:rFonts w:ascii="Arial" w:hAnsi="Arial" w:cs="Arial"/>
        </w:rPr>
        <w:fldChar w:fldCharType="end"/>
      </w:r>
      <w:r w:rsidRPr="00936708">
        <w:rPr>
          <w:rFonts w:ascii="Arial" w:hAnsi="Arial" w:cs="Arial"/>
        </w:rPr>
        <w:t xml:space="preserve">: Reference Data </w:t>
      </w:r>
      <w:bookmarkEnd w:id="120"/>
      <w:r w:rsidR="00C94E1D">
        <w:rPr>
          <w:rFonts w:ascii="Arial" w:hAnsi="Arial" w:cs="Arial"/>
        </w:rPr>
        <w:t>needs of an Asset Management Firm</w:t>
      </w:r>
    </w:p>
    <w:p w:rsidR="00AA22F9" w:rsidRPr="001301EE" w:rsidRDefault="00AA22F9" w:rsidP="00FA2CC8">
      <w:pPr>
        <w:spacing w:before="120" w:after="120"/>
        <w:jc w:val="both"/>
        <w:rPr>
          <w:rFonts w:ascii="Arial" w:hAnsi="Arial" w:cs="Arial"/>
          <w:sz w:val="20"/>
          <w:szCs w:val="20"/>
        </w:rPr>
      </w:pPr>
      <w:r w:rsidRPr="001301EE">
        <w:rPr>
          <w:rFonts w:ascii="Arial" w:hAnsi="Arial" w:cs="Arial"/>
          <w:sz w:val="20"/>
          <w:szCs w:val="20"/>
        </w:rPr>
        <w:t>As most of the reference data is common to all the operational processes, a Centralized Reference Data would benefit an Investment Management firm.</w:t>
      </w:r>
    </w:p>
    <w:p w:rsidR="00AA22F9" w:rsidRPr="001301EE" w:rsidRDefault="00AA22F9" w:rsidP="00FA2CC8">
      <w:pPr>
        <w:spacing w:before="120" w:after="120"/>
        <w:jc w:val="both"/>
        <w:rPr>
          <w:rFonts w:ascii="Arial" w:hAnsi="Arial" w:cs="Arial"/>
          <w:sz w:val="20"/>
          <w:szCs w:val="20"/>
        </w:rPr>
      </w:pPr>
      <w:r w:rsidRPr="001301EE">
        <w:rPr>
          <w:rFonts w:ascii="Arial" w:hAnsi="Arial" w:cs="Arial"/>
          <w:sz w:val="20"/>
          <w:szCs w:val="20"/>
        </w:rPr>
        <w:t>A Centralized Reference Data offers lots of advantages with the main ones being</w:t>
      </w:r>
    </w:p>
    <w:p w:rsidR="00AA22F9" w:rsidRPr="001301EE" w:rsidRDefault="00AA22F9" w:rsidP="00FA2CC8">
      <w:pPr>
        <w:numPr>
          <w:ilvl w:val="0"/>
          <w:numId w:val="18"/>
        </w:numPr>
        <w:spacing w:before="120" w:after="120"/>
        <w:jc w:val="both"/>
        <w:rPr>
          <w:rFonts w:ascii="Arial" w:hAnsi="Arial" w:cs="Arial"/>
          <w:sz w:val="20"/>
          <w:szCs w:val="20"/>
        </w:rPr>
      </w:pPr>
      <w:r w:rsidRPr="001301EE">
        <w:rPr>
          <w:rFonts w:ascii="Arial" w:hAnsi="Arial" w:cs="Arial"/>
          <w:sz w:val="20"/>
          <w:szCs w:val="20"/>
        </w:rPr>
        <w:t xml:space="preserve">Cost Savings – Reference data received from vendor sources have to be paid for. The firm ends up paying for the same reference data multiple times when each of the processes, source the data independently. </w:t>
      </w:r>
    </w:p>
    <w:p w:rsidR="00AA22F9" w:rsidRPr="001301EE" w:rsidRDefault="00AA22F9" w:rsidP="00FA2CC8">
      <w:pPr>
        <w:numPr>
          <w:ilvl w:val="0"/>
          <w:numId w:val="18"/>
        </w:numPr>
        <w:spacing w:before="120" w:after="120"/>
        <w:jc w:val="both"/>
        <w:rPr>
          <w:rFonts w:ascii="Arial" w:hAnsi="Arial" w:cs="Arial"/>
          <w:sz w:val="20"/>
          <w:szCs w:val="20"/>
        </w:rPr>
      </w:pPr>
      <w:r w:rsidRPr="001301EE">
        <w:rPr>
          <w:rFonts w:ascii="Arial" w:hAnsi="Arial" w:cs="Arial"/>
          <w:sz w:val="20"/>
          <w:szCs w:val="20"/>
        </w:rPr>
        <w:t>Reduces Operational Risk – Operational risk is one of the most serious issues which, needs to be addressed as it involves not only cost, but also reputation of the firm. With a Centralized Reference Data, the operational risk is greatly reduced as the quality and reliability of data is pretty high thus reducing the chances of errors.</w:t>
      </w:r>
    </w:p>
    <w:p w:rsidR="00AA22F9" w:rsidRPr="001301EE" w:rsidRDefault="00AA22F9" w:rsidP="00FA2CC8">
      <w:pPr>
        <w:numPr>
          <w:ilvl w:val="0"/>
          <w:numId w:val="18"/>
        </w:numPr>
        <w:spacing w:before="120" w:after="120"/>
        <w:jc w:val="both"/>
        <w:rPr>
          <w:rFonts w:ascii="Arial" w:hAnsi="Arial" w:cs="Arial"/>
          <w:sz w:val="20"/>
          <w:szCs w:val="20"/>
        </w:rPr>
      </w:pPr>
      <w:r w:rsidRPr="001301EE">
        <w:rPr>
          <w:rFonts w:ascii="Arial" w:hAnsi="Arial" w:cs="Arial"/>
          <w:sz w:val="20"/>
          <w:szCs w:val="20"/>
        </w:rPr>
        <w:t xml:space="preserve">More Efficient Client Servicing – Availability of a high quality and reliable reference data improves the operations efficiency by reducing the errors and time taken to complete the process. This will ultimately result in better Client Servicing.  </w:t>
      </w:r>
    </w:p>
    <w:p w:rsidR="00AA22F9" w:rsidRDefault="00AA22F9" w:rsidP="00FA2CC8">
      <w:pPr>
        <w:spacing w:before="120" w:after="120"/>
        <w:jc w:val="both"/>
        <w:rPr>
          <w:rFonts w:ascii="Arial" w:hAnsi="Arial" w:cs="Arial"/>
          <w:sz w:val="20"/>
          <w:szCs w:val="20"/>
        </w:rPr>
      </w:pPr>
      <w:r w:rsidRPr="001301EE">
        <w:rPr>
          <w:rFonts w:ascii="Arial" w:hAnsi="Arial" w:cs="Arial"/>
          <w:sz w:val="20"/>
          <w:szCs w:val="20"/>
        </w:rPr>
        <w:t xml:space="preserve">A Centralized Reference Data repository enables all the operational processes to look at a single source for their reference data. This greatly reduces interaction and improves the efficiency. </w:t>
      </w:r>
    </w:p>
    <w:p w:rsidR="00C94E1D" w:rsidRDefault="00C94E1D" w:rsidP="00FA2CC8">
      <w:pPr>
        <w:spacing w:before="120" w:after="120"/>
        <w:jc w:val="both"/>
        <w:rPr>
          <w:rFonts w:ascii="Arial" w:hAnsi="Arial" w:cs="Arial"/>
          <w:sz w:val="20"/>
          <w:szCs w:val="20"/>
        </w:rPr>
      </w:pPr>
      <w:r>
        <w:rPr>
          <w:rFonts w:ascii="Arial" w:hAnsi="Arial" w:cs="Arial"/>
          <w:sz w:val="20"/>
          <w:szCs w:val="20"/>
        </w:rPr>
        <w:t>The following diagram is a pictorial representation of a generalized Reference Management Solution:</w:t>
      </w:r>
    </w:p>
    <w:p w:rsidR="003E4A62" w:rsidRDefault="003E4A62" w:rsidP="00FA2CC8">
      <w:pPr>
        <w:spacing w:before="120" w:after="120"/>
        <w:jc w:val="both"/>
        <w:rPr>
          <w:rFonts w:ascii="Arial" w:hAnsi="Arial" w:cs="Arial"/>
          <w:sz w:val="20"/>
          <w:szCs w:val="20"/>
        </w:rPr>
      </w:pPr>
    </w:p>
    <w:p w:rsidR="00C94E1D" w:rsidRPr="001301EE" w:rsidRDefault="00FC0435" w:rsidP="00FA2CC8">
      <w:pPr>
        <w:spacing w:before="120" w:after="120"/>
        <w:jc w:val="both"/>
        <w:rPr>
          <w:rFonts w:ascii="Arial" w:hAnsi="Arial" w:cs="Arial"/>
          <w:sz w:val="20"/>
          <w:szCs w:val="20"/>
        </w:rPr>
      </w:pPr>
      <w:r>
        <w:rPr>
          <w:rFonts w:ascii="Arial" w:hAnsi="Arial" w:cs="Arial"/>
          <w:noProof/>
          <w:sz w:val="20"/>
          <w:szCs w:val="20"/>
          <w:lang w:bidi="kn-IN"/>
        </w:rPr>
        <w:lastRenderedPageBreak/>
        <w:pict>
          <v:shape id="_x0000_s1333" type="#_x0000_t75" style="position:absolute;left:0;text-align:left;margin-left:-46.3pt;margin-top:-5.1pt;width:511.9pt;height:334.35pt;z-index:251663872;v-text-anchor:middle" fillcolor="#0c9" strokecolor="#369">
            <v:imagedata r:id="rId95" o:title=""/>
            <w10:wrap type="topAndBottom"/>
          </v:shape>
          <o:OLEObject Type="Embed" ProgID="Visio.Drawing.11" ShapeID="_x0000_s1333" DrawAspect="Content" ObjectID="_1324125805" r:id="rId96"/>
        </w:pict>
      </w:r>
    </w:p>
    <w:p w:rsidR="003E4A62" w:rsidRPr="00936708" w:rsidRDefault="003E4A62" w:rsidP="003E4A62">
      <w:pPr>
        <w:pStyle w:val="Caption"/>
        <w:jc w:val="center"/>
        <w:rPr>
          <w:rFonts w:ascii="Arial" w:hAnsi="Arial" w:cs="Arial"/>
        </w:rPr>
      </w:pPr>
      <w:r>
        <w:tab/>
      </w:r>
      <w:r w:rsidRPr="00936708">
        <w:rPr>
          <w:rFonts w:ascii="Arial" w:hAnsi="Arial" w:cs="Arial"/>
        </w:rPr>
        <w:t xml:space="preserve">Figure </w:t>
      </w:r>
      <w:r w:rsidR="00FC0435" w:rsidRPr="00936708">
        <w:rPr>
          <w:rFonts w:ascii="Arial" w:hAnsi="Arial" w:cs="Arial"/>
        </w:rPr>
        <w:fldChar w:fldCharType="begin"/>
      </w:r>
      <w:r w:rsidRPr="00936708">
        <w:rPr>
          <w:rFonts w:ascii="Arial" w:hAnsi="Arial" w:cs="Arial"/>
        </w:rPr>
        <w:instrText xml:space="preserve"> STYLEREF 1 \s </w:instrText>
      </w:r>
      <w:r w:rsidR="00FC0435" w:rsidRPr="00936708">
        <w:rPr>
          <w:rFonts w:ascii="Arial" w:hAnsi="Arial" w:cs="Arial"/>
        </w:rPr>
        <w:fldChar w:fldCharType="separate"/>
      </w:r>
      <w:r w:rsidRPr="00936708">
        <w:rPr>
          <w:rFonts w:ascii="Arial" w:hAnsi="Arial" w:cs="Arial"/>
          <w:noProof/>
        </w:rPr>
        <w:t>6</w:t>
      </w:r>
      <w:r w:rsidR="00FC0435" w:rsidRPr="00936708">
        <w:rPr>
          <w:rFonts w:ascii="Arial" w:hAnsi="Arial" w:cs="Arial"/>
        </w:rPr>
        <w:fldChar w:fldCharType="end"/>
      </w:r>
      <w:r w:rsidRPr="00936708">
        <w:rPr>
          <w:rFonts w:ascii="Arial" w:hAnsi="Arial" w:cs="Arial"/>
        </w:rPr>
        <w:noBreakHyphen/>
      </w:r>
      <w:r w:rsidR="00FC0435" w:rsidRPr="00936708">
        <w:rPr>
          <w:rFonts w:ascii="Arial" w:hAnsi="Arial" w:cs="Arial"/>
        </w:rPr>
        <w:fldChar w:fldCharType="begin"/>
      </w:r>
      <w:r w:rsidRPr="00936708">
        <w:rPr>
          <w:rFonts w:ascii="Arial" w:hAnsi="Arial" w:cs="Arial"/>
        </w:rPr>
        <w:instrText xml:space="preserve"> SEQ Figure \* ARABIC \s 1 </w:instrText>
      </w:r>
      <w:r w:rsidR="00FC0435" w:rsidRPr="00936708">
        <w:rPr>
          <w:rFonts w:ascii="Arial" w:hAnsi="Arial" w:cs="Arial"/>
        </w:rPr>
        <w:fldChar w:fldCharType="separate"/>
      </w:r>
      <w:r>
        <w:rPr>
          <w:rFonts w:ascii="Arial" w:hAnsi="Arial" w:cs="Arial"/>
          <w:noProof/>
        </w:rPr>
        <w:t>4</w:t>
      </w:r>
      <w:r w:rsidR="00FC0435" w:rsidRPr="00936708">
        <w:rPr>
          <w:rFonts w:ascii="Arial" w:hAnsi="Arial" w:cs="Arial"/>
        </w:rPr>
        <w:fldChar w:fldCharType="end"/>
      </w:r>
      <w:r w:rsidRPr="00936708">
        <w:rPr>
          <w:rFonts w:ascii="Arial" w:hAnsi="Arial" w:cs="Arial"/>
        </w:rPr>
        <w:t xml:space="preserve">: </w:t>
      </w:r>
      <w:r>
        <w:rPr>
          <w:rFonts w:ascii="Arial" w:hAnsi="Arial" w:cs="Arial"/>
        </w:rPr>
        <w:t>Centralized Enterprise</w:t>
      </w:r>
      <w:r w:rsidRPr="00936708">
        <w:rPr>
          <w:rFonts w:ascii="Arial" w:hAnsi="Arial" w:cs="Arial"/>
        </w:rPr>
        <w:t xml:space="preserve"> Data </w:t>
      </w:r>
      <w:r>
        <w:rPr>
          <w:rFonts w:ascii="Arial" w:hAnsi="Arial" w:cs="Arial"/>
        </w:rPr>
        <w:t>Solution for Investment Management Firms</w:t>
      </w:r>
    </w:p>
    <w:p w:rsidR="00AA22F9" w:rsidRPr="001301EE" w:rsidRDefault="00AA22F9" w:rsidP="00FA2CC8">
      <w:pPr>
        <w:spacing w:before="120" w:after="120"/>
        <w:jc w:val="both"/>
        <w:rPr>
          <w:rFonts w:ascii="Arial" w:hAnsi="Arial" w:cs="Arial"/>
          <w:sz w:val="20"/>
          <w:szCs w:val="20"/>
        </w:rPr>
      </w:pPr>
      <w:r w:rsidRPr="001301EE">
        <w:rPr>
          <w:rFonts w:ascii="Arial" w:hAnsi="Arial" w:cs="Arial"/>
          <w:sz w:val="20"/>
          <w:szCs w:val="20"/>
        </w:rPr>
        <w:t xml:space="preserve">In order to build an effective Centralized Data Reference, the process flow needs to be re-aligned with all the reference data being sourced / created / maintained through a streamlined Data Reference Management Process. </w:t>
      </w:r>
      <w:r w:rsidR="00B046E9">
        <w:rPr>
          <w:rFonts w:ascii="Arial" w:hAnsi="Arial" w:cs="Arial"/>
          <w:sz w:val="20"/>
          <w:szCs w:val="20"/>
        </w:rPr>
        <w:t xml:space="preserve"> </w:t>
      </w:r>
    </w:p>
    <w:p w:rsidR="00F122FE" w:rsidRPr="00F122FE" w:rsidRDefault="00F122FE" w:rsidP="00F122FE"/>
    <w:p w:rsidR="007056DD" w:rsidRDefault="007056DD" w:rsidP="007056DD">
      <w:pPr>
        <w:pStyle w:val="Heading2"/>
        <w:keepNext w:val="0"/>
        <w:spacing w:before="120" w:after="120" w:line="240" w:lineRule="atLeast"/>
        <w:ind w:left="0" w:firstLine="0"/>
        <w:jc w:val="both"/>
        <w:rPr>
          <w:szCs w:val="22"/>
        </w:rPr>
      </w:pPr>
      <w:bookmarkStart w:id="121" w:name="_Toc202158990"/>
      <w:bookmarkStart w:id="122" w:name="_Toc202158991"/>
      <w:bookmarkStart w:id="123" w:name="_Toc202158992"/>
      <w:bookmarkStart w:id="124" w:name="_Toc134366476"/>
      <w:bookmarkStart w:id="125" w:name="_Toc226530536"/>
      <w:bookmarkEnd w:id="121"/>
      <w:bookmarkEnd w:id="122"/>
      <w:bookmarkEnd w:id="123"/>
      <w:r>
        <w:rPr>
          <w:szCs w:val="22"/>
        </w:rPr>
        <w:t>Fees and Billing</w:t>
      </w:r>
      <w:bookmarkEnd w:id="124"/>
      <w:bookmarkEnd w:id="125"/>
    </w:p>
    <w:p w:rsidR="00FF6E1A" w:rsidRPr="00FF6E1A" w:rsidRDefault="00FF6E1A" w:rsidP="00FA2CC8">
      <w:pPr>
        <w:spacing w:before="100" w:beforeAutospacing="1" w:after="100" w:afterAutospacing="1"/>
        <w:jc w:val="both"/>
        <w:rPr>
          <w:rFonts w:ascii="Arial" w:hAnsi="Arial" w:cs="Arial"/>
          <w:sz w:val="20"/>
          <w:szCs w:val="20"/>
        </w:rPr>
      </w:pPr>
      <w:r w:rsidRPr="00FF6E1A">
        <w:rPr>
          <w:rFonts w:ascii="Arial" w:hAnsi="Arial" w:cs="Arial"/>
          <w:sz w:val="20"/>
          <w:szCs w:val="20"/>
        </w:rPr>
        <w:t>Investment management is a fee based activity.  In case of fee based brokerage programs, the active traders pay a flat asset-based fee (usually about one percent) for all trading activity instead of a commission on individual trades. There is usually a limit on the number of trades per period. After that, the client is charged a commission. In case of hedge funds, the managers charge a fee based on performance rather than the asset size.</w:t>
      </w:r>
    </w:p>
    <w:p w:rsidR="00FF6E1A" w:rsidRPr="00FF6E1A" w:rsidRDefault="00FF6E1A" w:rsidP="00FA2CC8">
      <w:pPr>
        <w:spacing w:before="100" w:beforeAutospacing="1" w:after="100" w:afterAutospacing="1"/>
        <w:jc w:val="both"/>
        <w:rPr>
          <w:rFonts w:ascii="Arial" w:hAnsi="Arial" w:cs="Arial"/>
          <w:sz w:val="20"/>
          <w:szCs w:val="20"/>
        </w:rPr>
      </w:pPr>
      <w:r w:rsidRPr="00FF6E1A">
        <w:rPr>
          <w:rFonts w:ascii="Arial" w:hAnsi="Arial" w:cs="Arial"/>
          <w:sz w:val="20"/>
          <w:szCs w:val="20"/>
        </w:rPr>
        <w:t>The first step in the fees and billing process is to set up a particular client. This captures the client level defaults such as billing frequency, billing templates, billing method, default fee schedule, whether house-holding is allowed. Client level defaults will be applicable if program level or account level details are not available. Once this is done then the next step is to define and establish various asset classes. The fees are basically calculated on the basis of asset classes. There can be different types of charges (fees) that would be charged for a client or a program. The client could have different charges (fees) types such as Management Fee, Performance Reporting Fee.</w:t>
      </w:r>
    </w:p>
    <w:p w:rsidR="00FF6E1A" w:rsidRPr="00FF6E1A" w:rsidRDefault="00FF6E1A" w:rsidP="00FA2CC8">
      <w:pPr>
        <w:spacing w:before="100" w:beforeAutospacing="1" w:after="100" w:afterAutospacing="1"/>
        <w:jc w:val="both"/>
      </w:pPr>
      <w:r w:rsidRPr="00FF6E1A">
        <w:rPr>
          <w:rFonts w:ascii="Arial" w:hAnsi="Arial" w:cs="Arial"/>
          <w:sz w:val="20"/>
          <w:szCs w:val="20"/>
        </w:rPr>
        <w:lastRenderedPageBreak/>
        <w:t>One of the most important constituent of the fees and billing process is the establishment of fee schedule. This allows simple structures such as flat billing as well as complex hierarchical billing structures that would allow different billing rates based on asset value, asset classes. A fee schedule could be applied at the client level, program level or the account/style level. It is also possible to have a grouped fee schedule. A group fee schedule will comprise of multiple fee schedules. For example, there might be a fee schedule to calculate fees and another fee schedule to compute surcharges/discounts</w:t>
      </w: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7C1FDB" w:rsidP="003E3FB6">
      <w:pPr>
        <w:pStyle w:val="body"/>
        <w:spacing w:before="120" w:after="120" w:line="240" w:lineRule="atLeast"/>
        <w:jc w:val="both"/>
        <w:rPr>
          <w:rFonts w:ascii="Arial" w:hAnsi="Arial" w:cs="Arial"/>
          <w:szCs w:val="22"/>
        </w:rPr>
      </w:pPr>
      <w:r>
        <w:rPr>
          <w:rFonts w:ascii="Arial" w:hAnsi="Arial" w:cs="Arial"/>
          <w:szCs w:val="22"/>
        </w:rPr>
        <w:br w:type="page"/>
      </w: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2203AF" w:rsidP="003E3FB6">
      <w:pPr>
        <w:pStyle w:val="body"/>
        <w:spacing w:before="120" w:after="120" w:line="240" w:lineRule="atLeast"/>
        <w:jc w:val="both"/>
        <w:rPr>
          <w:rFonts w:ascii="Arial" w:hAnsi="Arial" w:cs="Arial"/>
          <w:szCs w:val="22"/>
        </w:rPr>
      </w:pPr>
    </w:p>
    <w:p w:rsidR="002203AF" w:rsidRPr="009413F6" w:rsidRDefault="00A11F14" w:rsidP="00550DB5">
      <w:pPr>
        <w:pStyle w:val="SectionHeading"/>
        <w:spacing w:before="120" w:line="240" w:lineRule="atLeast"/>
        <w:rPr>
          <w:rFonts w:cs="Arial"/>
        </w:rPr>
      </w:pPr>
      <w:bookmarkStart w:id="126" w:name="_Toc134366504"/>
      <w:bookmarkStart w:id="127" w:name="_Toc226530537"/>
      <w:r w:rsidRPr="009413F6">
        <w:rPr>
          <w:rFonts w:cs="Arial"/>
        </w:rPr>
        <w:t>Section II</w:t>
      </w:r>
      <w:r w:rsidR="00FA319A" w:rsidRPr="009413F6">
        <w:rPr>
          <w:rFonts w:cs="Arial"/>
        </w:rPr>
        <w:t>I:</w:t>
      </w:r>
      <w:bookmarkEnd w:id="126"/>
      <w:bookmarkEnd w:id="127"/>
    </w:p>
    <w:p w:rsidR="00A11F14" w:rsidRPr="009413F6" w:rsidRDefault="00A11F14" w:rsidP="00550DB5">
      <w:pPr>
        <w:pStyle w:val="SectionHeading"/>
        <w:spacing w:before="120" w:line="240" w:lineRule="atLeast"/>
        <w:rPr>
          <w:rFonts w:cs="Arial"/>
        </w:rPr>
      </w:pPr>
      <w:bookmarkStart w:id="128" w:name="_Toc134366505"/>
      <w:bookmarkStart w:id="129" w:name="_Toc226530538"/>
      <w:r w:rsidRPr="009413F6">
        <w:rPr>
          <w:rFonts w:cs="Arial"/>
        </w:rPr>
        <w:t>Investment Management LOBs</w:t>
      </w:r>
      <w:bookmarkEnd w:id="128"/>
      <w:bookmarkEnd w:id="129"/>
    </w:p>
    <w:p w:rsidR="0040385F" w:rsidRPr="004B3BDF" w:rsidRDefault="00550DB5" w:rsidP="0040385F">
      <w:pPr>
        <w:pStyle w:val="Heading1"/>
        <w:keepNext w:val="0"/>
        <w:pageBreakBefore w:val="0"/>
        <w:spacing w:before="120" w:after="120" w:line="240" w:lineRule="atLeast"/>
        <w:ind w:left="0" w:firstLine="0"/>
        <w:jc w:val="both"/>
      </w:pPr>
      <w:r>
        <w:rPr>
          <w:szCs w:val="22"/>
        </w:rPr>
        <w:br w:type="page"/>
      </w:r>
      <w:bookmarkStart w:id="130" w:name="_Toc203549811"/>
      <w:bookmarkStart w:id="131" w:name="_Toc203549976"/>
      <w:bookmarkStart w:id="132" w:name="_Toc203551683"/>
      <w:bookmarkStart w:id="133" w:name="_Toc203552134"/>
      <w:bookmarkStart w:id="134" w:name="_Toc203552338"/>
      <w:bookmarkStart w:id="135" w:name="_Toc203552502"/>
      <w:bookmarkStart w:id="136" w:name="_Toc203552642"/>
      <w:bookmarkStart w:id="137" w:name="_Toc203552783"/>
      <w:bookmarkStart w:id="138" w:name="_Toc203555065"/>
      <w:bookmarkStart w:id="139" w:name="_Toc203555739"/>
      <w:bookmarkStart w:id="140" w:name="_Toc203556130"/>
      <w:bookmarkStart w:id="141" w:name="_Toc203556271"/>
      <w:bookmarkStart w:id="142" w:name="_Toc203556412"/>
      <w:bookmarkStart w:id="143" w:name="_Toc203793755"/>
      <w:bookmarkStart w:id="144" w:name="_Toc203793903"/>
      <w:bookmarkStart w:id="145" w:name="_Toc203794322"/>
      <w:bookmarkStart w:id="146" w:name="_Toc203794652"/>
      <w:bookmarkStart w:id="147" w:name="_Toc203795206"/>
      <w:bookmarkStart w:id="148" w:name="_Toc203798834"/>
      <w:bookmarkStart w:id="149" w:name="_Toc204420295"/>
      <w:bookmarkStart w:id="150" w:name="_Toc205902290"/>
      <w:bookmarkStart w:id="151" w:name="_Toc199669365"/>
      <w:bookmarkStart w:id="152" w:name="_Toc226530539"/>
      <w:bookmarkStart w:id="153" w:name="_Toc134366506"/>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0040385F" w:rsidRPr="004B3BDF">
        <w:lastRenderedPageBreak/>
        <w:t>Wealth Management</w:t>
      </w:r>
      <w:bookmarkEnd w:id="151"/>
      <w:bookmarkEnd w:id="152"/>
    </w:p>
    <w:p w:rsidR="0040385F" w:rsidRPr="004B3BDF" w:rsidRDefault="0040385F" w:rsidP="0040385F">
      <w:pPr>
        <w:rPr>
          <w:rFonts w:ascii="Arial" w:hAnsi="Arial" w:cs="Arial"/>
        </w:rPr>
      </w:pPr>
    </w:p>
    <w:p w:rsidR="0040385F" w:rsidRPr="004B3BDF" w:rsidRDefault="0040385F" w:rsidP="0040385F">
      <w:pPr>
        <w:pStyle w:val="Heading2"/>
        <w:keepNext w:val="0"/>
        <w:spacing w:before="120" w:after="120" w:line="240" w:lineRule="atLeast"/>
        <w:ind w:left="0" w:firstLine="0"/>
        <w:jc w:val="both"/>
      </w:pPr>
      <w:bookmarkStart w:id="154" w:name="_Toc199669366"/>
      <w:bookmarkStart w:id="155" w:name="_Toc226530540"/>
      <w:r w:rsidRPr="004B3BDF">
        <w:t>Introduction</w:t>
      </w:r>
      <w:bookmarkEnd w:id="154"/>
      <w:bookmarkEnd w:id="155"/>
    </w:p>
    <w:p w:rsidR="0040385F" w:rsidRPr="004B3BDF" w:rsidRDefault="0040385F" w:rsidP="00346620">
      <w:pPr>
        <w:pStyle w:val="body"/>
        <w:spacing w:before="120" w:after="120" w:line="240" w:lineRule="auto"/>
        <w:jc w:val="both"/>
        <w:rPr>
          <w:rFonts w:ascii="Arial" w:hAnsi="Arial" w:cs="Arial"/>
          <w:sz w:val="20"/>
          <w:szCs w:val="20"/>
          <w:lang w:val="en-GB"/>
        </w:rPr>
      </w:pPr>
      <w:r w:rsidRPr="004B3BDF">
        <w:rPr>
          <w:rFonts w:ascii="Arial" w:hAnsi="Arial" w:cs="Arial"/>
          <w:sz w:val="20"/>
          <w:szCs w:val="20"/>
          <w:lang w:val="en-GB"/>
        </w:rPr>
        <w:t xml:space="preserve">Wealth management </w:t>
      </w:r>
      <w:r w:rsidR="002C11D9">
        <w:rPr>
          <w:rFonts w:ascii="Arial" w:hAnsi="Arial" w:cs="Arial"/>
          <w:sz w:val="20"/>
          <w:szCs w:val="20"/>
          <w:lang w:val="en-GB"/>
        </w:rPr>
        <w:t xml:space="preserve">is one of the fastest growing segments of the financial services industry. It offers a broad spectrum of financial, banking and value added services covering all monetary assets as well as liabilities designed and personalized for a diverse client base which includes the high-growth mass affluent, different categories of high net worth, institutional and family office clients. It is facing new challenges with breed of aggressive, demanding clients on one side and increased scrutiny and pressure of transparency on the other. New opportunities are opening up due to newer and complex products and in new geographies such as </w:t>
      </w:r>
      <w:smartTag w:uri="urn:schemas-microsoft-com:office:smarttags" w:element="country-region">
        <w:r w:rsidR="002C11D9">
          <w:rPr>
            <w:rFonts w:ascii="Arial" w:hAnsi="Arial" w:cs="Arial"/>
            <w:sz w:val="20"/>
            <w:szCs w:val="20"/>
            <w:lang w:val="en-GB"/>
          </w:rPr>
          <w:t>China</w:t>
        </w:r>
      </w:smartTag>
      <w:r w:rsidR="002C11D9">
        <w:rPr>
          <w:rFonts w:ascii="Arial" w:hAnsi="Arial" w:cs="Arial"/>
          <w:sz w:val="20"/>
          <w:szCs w:val="20"/>
          <w:lang w:val="en-GB"/>
        </w:rPr>
        <w:t xml:space="preserve">, </w:t>
      </w:r>
      <w:smartTag w:uri="urn:schemas-microsoft-com:office:smarttags" w:element="country-region">
        <w:r w:rsidR="002C11D9">
          <w:rPr>
            <w:rFonts w:ascii="Arial" w:hAnsi="Arial" w:cs="Arial"/>
            <w:sz w:val="20"/>
            <w:szCs w:val="20"/>
            <w:lang w:val="en-GB"/>
          </w:rPr>
          <w:t>Australia</w:t>
        </w:r>
      </w:smartTag>
      <w:r w:rsidR="002C11D9">
        <w:rPr>
          <w:rFonts w:ascii="Arial" w:hAnsi="Arial" w:cs="Arial"/>
          <w:sz w:val="20"/>
          <w:szCs w:val="20"/>
          <w:lang w:val="en-GB"/>
        </w:rPr>
        <w:t xml:space="preserve">, </w:t>
      </w:r>
      <w:smartTag w:uri="urn:schemas-microsoft-com:office:smarttags" w:element="City">
        <w:r w:rsidR="002C11D9">
          <w:rPr>
            <w:rFonts w:ascii="Arial" w:hAnsi="Arial" w:cs="Arial"/>
            <w:sz w:val="20"/>
            <w:szCs w:val="20"/>
            <w:lang w:val="en-GB"/>
          </w:rPr>
          <w:t>Dubai</w:t>
        </w:r>
      </w:smartTag>
      <w:r w:rsidR="002C11D9">
        <w:rPr>
          <w:rFonts w:ascii="Arial" w:hAnsi="Arial" w:cs="Arial"/>
          <w:sz w:val="20"/>
          <w:szCs w:val="20"/>
          <w:lang w:val="en-GB"/>
        </w:rPr>
        <w:t xml:space="preserve"> and </w:t>
      </w:r>
      <w:smartTag w:uri="urn:schemas-microsoft-com:office:smarttags" w:element="place">
        <w:smartTag w:uri="urn:schemas-microsoft-com:office:smarttags" w:element="country-region">
          <w:r w:rsidR="002C11D9">
            <w:rPr>
              <w:rFonts w:ascii="Arial" w:hAnsi="Arial" w:cs="Arial"/>
              <w:sz w:val="20"/>
              <w:szCs w:val="20"/>
              <w:lang w:val="en-GB"/>
            </w:rPr>
            <w:t>India</w:t>
          </w:r>
        </w:smartTag>
      </w:smartTag>
      <w:r w:rsidR="002C11D9">
        <w:rPr>
          <w:rFonts w:ascii="Arial" w:hAnsi="Arial" w:cs="Arial"/>
          <w:sz w:val="20"/>
          <w:szCs w:val="20"/>
          <w:lang w:val="en-GB"/>
        </w:rPr>
        <w:t xml:space="preserve">. </w:t>
      </w:r>
      <w:r w:rsidR="00D035CA">
        <w:rPr>
          <w:rFonts w:ascii="Arial" w:hAnsi="Arial" w:cs="Arial"/>
          <w:sz w:val="20"/>
          <w:szCs w:val="20"/>
          <w:lang w:val="en-GB"/>
        </w:rPr>
        <w:t xml:space="preserve">Wealth Management focuses on generating fee based income for banks, earlier whose contribution to the overall </w:t>
      </w:r>
      <w:proofErr w:type="gramStart"/>
      <w:r w:rsidR="00D035CA">
        <w:rPr>
          <w:rFonts w:ascii="Arial" w:hAnsi="Arial" w:cs="Arial"/>
          <w:sz w:val="20"/>
          <w:szCs w:val="20"/>
          <w:lang w:val="en-GB"/>
        </w:rPr>
        <w:t>bank’s</w:t>
      </w:r>
      <w:proofErr w:type="gramEnd"/>
      <w:r w:rsidR="00D035CA">
        <w:rPr>
          <w:rFonts w:ascii="Arial" w:hAnsi="Arial" w:cs="Arial"/>
          <w:sz w:val="20"/>
          <w:szCs w:val="20"/>
          <w:lang w:val="en-GB"/>
        </w:rPr>
        <w:t xml:space="preserve"> is not very high. </w:t>
      </w:r>
      <w:r w:rsidR="003E0082">
        <w:rPr>
          <w:rFonts w:ascii="Arial" w:hAnsi="Arial" w:cs="Arial"/>
          <w:sz w:val="20"/>
          <w:szCs w:val="20"/>
          <w:lang w:val="en-GB"/>
        </w:rPr>
        <w:t xml:space="preserve"> </w:t>
      </w:r>
      <w:r w:rsidRPr="004B3BDF">
        <w:rPr>
          <w:rFonts w:ascii="Arial" w:hAnsi="Arial" w:cs="Arial"/>
          <w:sz w:val="20"/>
          <w:szCs w:val="20"/>
          <w:lang w:val="en-GB"/>
        </w:rPr>
        <w:t xml:space="preserve">A client </w:t>
      </w:r>
      <w:r w:rsidR="007E36B1">
        <w:rPr>
          <w:rFonts w:ascii="Arial" w:hAnsi="Arial" w:cs="Arial"/>
          <w:sz w:val="20"/>
          <w:szCs w:val="20"/>
          <w:lang w:val="en-GB"/>
        </w:rPr>
        <w:t>is defined as</w:t>
      </w:r>
      <w:r w:rsidRPr="004B3BDF">
        <w:rPr>
          <w:rFonts w:ascii="Arial" w:hAnsi="Arial" w:cs="Arial"/>
          <w:sz w:val="20"/>
          <w:szCs w:val="20"/>
          <w:lang w:val="en-GB"/>
        </w:rPr>
        <w:t xml:space="preserve"> a high net worth individual (HNWI), when </w:t>
      </w:r>
      <w:r w:rsidR="007E36B1">
        <w:rPr>
          <w:rFonts w:ascii="Arial" w:hAnsi="Arial" w:cs="Arial"/>
          <w:sz w:val="20"/>
          <w:szCs w:val="20"/>
          <w:lang w:val="en-GB"/>
        </w:rPr>
        <w:t>hi</w:t>
      </w:r>
      <w:r w:rsidRPr="004B3BDF">
        <w:rPr>
          <w:rFonts w:ascii="Arial" w:hAnsi="Arial" w:cs="Arial"/>
          <w:sz w:val="20"/>
          <w:szCs w:val="20"/>
          <w:lang w:val="en-GB"/>
        </w:rPr>
        <w:t>s liquid assets</w:t>
      </w:r>
      <w:r w:rsidR="007E36B1">
        <w:rPr>
          <w:rFonts w:ascii="Arial" w:hAnsi="Arial" w:cs="Arial"/>
          <w:sz w:val="20"/>
          <w:szCs w:val="20"/>
          <w:lang w:val="en-GB"/>
        </w:rPr>
        <w:t xml:space="preserve"> are</w:t>
      </w:r>
      <w:r w:rsidRPr="004B3BDF">
        <w:rPr>
          <w:rFonts w:ascii="Arial" w:hAnsi="Arial" w:cs="Arial"/>
          <w:sz w:val="20"/>
          <w:szCs w:val="20"/>
          <w:lang w:val="en-GB"/>
        </w:rPr>
        <w:t xml:space="preserve"> above a particular level. The generally accepted definition of liquid assets includes savings, checking, money market accounts, certificates of deposit, stocks, bonds, mutual funds, and real estate other than a primary dwelling. </w:t>
      </w:r>
      <w:r w:rsidR="007E36B1">
        <w:rPr>
          <w:rFonts w:ascii="Arial" w:hAnsi="Arial" w:cs="Arial"/>
          <w:sz w:val="20"/>
          <w:szCs w:val="20"/>
          <w:lang w:val="en-GB"/>
        </w:rPr>
        <w:t>There are various ways in which HNWI can be defined</w:t>
      </w:r>
      <w:r w:rsidRPr="004B3BDF">
        <w:rPr>
          <w:rFonts w:ascii="Arial" w:hAnsi="Arial" w:cs="Arial"/>
          <w:sz w:val="20"/>
          <w:szCs w:val="20"/>
          <w:lang w:val="en-GB"/>
        </w:rPr>
        <w:t xml:space="preserve">, </w:t>
      </w:r>
    </w:p>
    <w:p w:rsidR="001B4B5A" w:rsidRDefault="00E1680B" w:rsidP="003537AD">
      <w:pPr>
        <w:pStyle w:val="Heading2"/>
        <w:keepNext w:val="0"/>
        <w:spacing w:before="120" w:after="120" w:line="240" w:lineRule="atLeast"/>
        <w:ind w:left="0" w:firstLine="0"/>
        <w:jc w:val="both"/>
      </w:pPr>
      <w:bookmarkStart w:id="156" w:name="_Toc226530541"/>
      <w:r>
        <w:t xml:space="preserve">Business </w:t>
      </w:r>
      <w:r w:rsidR="008900E6">
        <w:t>Overview</w:t>
      </w:r>
      <w:bookmarkEnd w:id="156"/>
    </w:p>
    <w:p w:rsidR="0040385F" w:rsidRPr="004B3BDF" w:rsidRDefault="00792BE1" w:rsidP="001B4B5A">
      <w:pPr>
        <w:pStyle w:val="Heading3"/>
        <w:tabs>
          <w:tab w:val="clear" w:pos="6444"/>
          <w:tab w:val="num" w:pos="360"/>
        </w:tabs>
        <w:ind w:left="720" w:hanging="720"/>
      </w:pPr>
      <w:r>
        <w:t xml:space="preserve">Business Segments: </w:t>
      </w:r>
    </w:p>
    <w:p w:rsidR="00792BE1" w:rsidRDefault="001B4B5A" w:rsidP="001B4B5A">
      <w:pPr>
        <w:pStyle w:val="Body1"/>
        <w:rPr>
          <w:rFonts w:cs="Arial"/>
        </w:rPr>
      </w:pPr>
      <w:r>
        <w:rPr>
          <w:rFonts w:cs="Arial"/>
        </w:rPr>
        <w:t xml:space="preserve">Wealth Management firms categorize business segments based on the customer base. Traditionally firms targeted Ultra High Net </w:t>
      </w:r>
      <w:proofErr w:type="gramStart"/>
      <w:r>
        <w:rPr>
          <w:rFonts w:cs="Arial"/>
        </w:rPr>
        <w:t>Worth</w:t>
      </w:r>
      <w:proofErr w:type="gramEnd"/>
      <w:r>
        <w:rPr>
          <w:rFonts w:cs="Arial"/>
        </w:rPr>
        <w:t xml:space="preserve"> </w:t>
      </w:r>
      <w:r w:rsidR="00B51398">
        <w:rPr>
          <w:rFonts w:cs="Arial"/>
        </w:rPr>
        <w:t xml:space="preserve">(UHNW) and </w:t>
      </w:r>
      <w:r w:rsidR="00792BE1">
        <w:rPr>
          <w:rFonts w:cs="Arial"/>
        </w:rPr>
        <w:t xml:space="preserve">High Net Worth (HNW) costumer segments. However, an examination of the remaining population on lifetime basis rather than on annual basis yields two new customer segments with promising revenue opportunity: the affluent and young affluent. These groups represent significant returns for the right wealth management firm and offer the opportunity for firms to take their offerings down market with the help of new technologies.  </w:t>
      </w:r>
      <w:r w:rsidR="009E70C9">
        <w:rPr>
          <w:rFonts w:cs="Arial"/>
        </w:rPr>
        <w:t>Thus wealth management market can be divided into following segments based on customer characterization:</w:t>
      </w:r>
    </w:p>
    <w:p w:rsidR="009E70C9" w:rsidRDefault="009E70C9" w:rsidP="00996439">
      <w:pPr>
        <w:pStyle w:val="Body1"/>
        <w:numPr>
          <w:ilvl w:val="0"/>
          <w:numId w:val="58"/>
        </w:numPr>
        <w:rPr>
          <w:rFonts w:cs="Arial"/>
        </w:rPr>
      </w:pPr>
      <w:r>
        <w:rPr>
          <w:rFonts w:cs="Arial"/>
        </w:rPr>
        <w:t xml:space="preserve">Ultra High Net Worth (UHNW): </w:t>
      </w:r>
      <w:r w:rsidR="000D55D0">
        <w:rPr>
          <w:rFonts w:cs="Arial"/>
        </w:rPr>
        <w:t xml:space="preserve">Revenue opportunity above $ 500 K </w:t>
      </w:r>
    </w:p>
    <w:p w:rsidR="000D55D0" w:rsidRDefault="000D55D0" w:rsidP="00996439">
      <w:pPr>
        <w:pStyle w:val="Body1"/>
        <w:numPr>
          <w:ilvl w:val="0"/>
          <w:numId w:val="58"/>
        </w:numPr>
        <w:rPr>
          <w:rFonts w:cs="Arial"/>
        </w:rPr>
      </w:pPr>
      <w:r>
        <w:rPr>
          <w:rFonts w:cs="Arial"/>
        </w:rPr>
        <w:t xml:space="preserve">High Net Worth (HNW): </w:t>
      </w:r>
      <w:r w:rsidR="004D4223">
        <w:rPr>
          <w:rFonts w:cs="Arial"/>
        </w:rPr>
        <w:t>Revenue opportunity $ 450 K to $ 500K</w:t>
      </w:r>
    </w:p>
    <w:p w:rsidR="004D4223" w:rsidRDefault="004D4223" w:rsidP="00996439">
      <w:pPr>
        <w:pStyle w:val="Body1"/>
        <w:numPr>
          <w:ilvl w:val="0"/>
          <w:numId w:val="58"/>
        </w:numPr>
        <w:rPr>
          <w:rFonts w:cs="Arial"/>
        </w:rPr>
      </w:pPr>
      <w:r>
        <w:rPr>
          <w:rFonts w:cs="Arial"/>
        </w:rPr>
        <w:t xml:space="preserve">Affluent: </w:t>
      </w:r>
      <w:r w:rsidR="00791FAB">
        <w:rPr>
          <w:rFonts w:cs="Arial"/>
        </w:rPr>
        <w:t>Revenue opportunity $ 350 K to $ 450 K ( underserved segment with greatest revenue potential)</w:t>
      </w:r>
    </w:p>
    <w:p w:rsidR="00791FAB" w:rsidRDefault="00791FAB" w:rsidP="00996439">
      <w:pPr>
        <w:pStyle w:val="Body1"/>
        <w:numPr>
          <w:ilvl w:val="0"/>
          <w:numId w:val="58"/>
        </w:numPr>
        <w:rPr>
          <w:rFonts w:cs="Arial"/>
        </w:rPr>
      </w:pPr>
      <w:r>
        <w:rPr>
          <w:rFonts w:cs="Arial"/>
        </w:rPr>
        <w:t>Young Affluent: Revenue opportunity $ 300 K to $ 400 K (underserved segment with greatest revenue potential)</w:t>
      </w:r>
    </w:p>
    <w:p w:rsidR="00954D38" w:rsidRDefault="00954D38" w:rsidP="00954D38">
      <w:pPr>
        <w:pStyle w:val="Body1"/>
        <w:rPr>
          <w:rFonts w:cs="Arial"/>
        </w:rPr>
      </w:pPr>
      <w:r>
        <w:rPr>
          <w:rFonts w:cs="Arial"/>
        </w:rPr>
        <w:t>Any Wealth Management firm serve these segments of customers with a wide variety of integrated set of products as:</w:t>
      </w:r>
    </w:p>
    <w:p w:rsidR="00954D38" w:rsidRDefault="00954D38" w:rsidP="00996439">
      <w:pPr>
        <w:pStyle w:val="Body1"/>
        <w:numPr>
          <w:ilvl w:val="0"/>
          <w:numId w:val="58"/>
        </w:numPr>
        <w:rPr>
          <w:rFonts w:cs="Arial"/>
        </w:rPr>
      </w:pPr>
      <w:r>
        <w:rPr>
          <w:rFonts w:cs="Arial"/>
        </w:rPr>
        <w:t>Cash Management</w:t>
      </w:r>
    </w:p>
    <w:p w:rsidR="00954D38" w:rsidRDefault="00954D38" w:rsidP="00996439">
      <w:pPr>
        <w:pStyle w:val="Body1"/>
        <w:numPr>
          <w:ilvl w:val="0"/>
          <w:numId w:val="58"/>
        </w:numPr>
        <w:rPr>
          <w:rFonts w:cs="Arial"/>
        </w:rPr>
      </w:pPr>
      <w:r>
        <w:rPr>
          <w:rFonts w:cs="Arial"/>
        </w:rPr>
        <w:t>Asset Management</w:t>
      </w:r>
    </w:p>
    <w:p w:rsidR="00954D38" w:rsidRDefault="00954D38" w:rsidP="00996439">
      <w:pPr>
        <w:pStyle w:val="Body1"/>
        <w:numPr>
          <w:ilvl w:val="0"/>
          <w:numId w:val="58"/>
        </w:numPr>
        <w:rPr>
          <w:rFonts w:cs="Arial"/>
        </w:rPr>
      </w:pPr>
      <w:r>
        <w:rPr>
          <w:rFonts w:cs="Arial"/>
        </w:rPr>
        <w:t>Protection</w:t>
      </w:r>
    </w:p>
    <w:p w:rsidR="00954D38" w:rsidRDefault="00954D38" w:rsidP="00996439">
      <w:pPr>
        <w:pStyle w:val="Body1"/>
        <w:numPr>
          <w:ilvl w:val="0"/>
          <w:numId w:val="58"/>
        </w:numPr>
        <w:rPr>
          <w:rFonts w:cs="Arial"/>
        </w:rPr>
      </w:pPr>
      <w:r>
        <w:rPr>
          <w:rFonts w:cs="Arial"/>
        </w:rPr>
        <w:t>Credit</w:t>
      </w:r>
    </w:p>
    <w:p w:rsidR="00954D38" w:rsidRDefault="00954D38" w:rsidP="00996439">
      <w:pPr>
        <w:pStyle w:val="Body1"/>
        <w:numPr>
          <w:ilvl w:val="0"/>
          <w:numId w:val="58"/>
        </w:numPr>
        <w:rPr>
          <w:rFonts w:cs="Arial"/>
        </w:rPr>
      </w:pPr>
      <w:r>
        <w:rPr>
          <w:rFonts w:cs="Arial"/>
        </w:rPr>
        <w:t>Retirement and estate planning</w:t>
      </w:r>
    </w:p>
    <w:p w:rsidR="00954D38" w:rsidRDefault="00954D38" w:rsidP="00996439">
      <w:pPr>
        <w:pStyle w:val="Body1"/>
        <w:numPr>
          <w:ilvl w:val="0"/>
          <w:numId w:val="58"/>
        </w:numPr>
        <w:rPr>
          <w:rFonts w:cs="Arial"/>
        </w:rPr>
      </w:pPr>
      <w:r>
        <w:rPr>
          <w:rFonts w:cs="Arial"/>
        </w:rPr>
        <w:t>Tax planning</w:t>
      </w:r>
    </w:p>
    <w:p w:rsidR="001B4B5A" w:rsidRDefault="001B4B5A" w:rsidP="00996439">
      <w:pPr>
        <w:pStyle w:val="Body1"/>
        <w:rPr>
          <w:rFonts w:cs="Arial"/>
        </w:rPr>
      </w:pPr>
    </w:p>
    <w:p w:rsidR="00996439" w:rsidRDefault="00996439" w:rsidP="00996439">
      <w:pPr>
        <w:pStyle w:val="Heading3"/>
        <w:tabs>
          <w:tab w:val="clear" w:pos="6444"/>
          <w:tab w:val="num" w:pos="360"/>
        </w:tabs>
        <w:ind w:left="720" w:hanging="720"/>
      </w:pPr>
      <w:r>
        <w:lastRenderedPageBreak/>
        <w:t>Types of players:</w:t>
      </w:r>
    </w:p>
    <w:p w:rsidR="00B5346D" w:rsidRDefault="00B5346D" w:rsidP="00B5346D"/>
    <w:p w:rsidR="00B5346D" w:rsidRDefault="003F20AC" w:rsidP="00B42A80">
      <w:pPr>
        <w:tabs>
          <w:tab w:val="left" w:pos="0"/>
        </w:tabs>
        <w:jc w:val="both"/>
        <w:rPr>
          <w:rFonts w:ascii="Arial" w:hAnsi="Arial" w:cs="Arial"/>
          <w:sz w:val="20"/>
          <w:szCs w:val="20"/>
        </w:rPr>
      </w:pPr>
      <w:r>
        <w:rPr>
          <w:rFonts w:ascii="Arial" w:hAnsi="Arial" w:cs="Arial"/>
          <w:sz w:val="20"/>
          <w:szCs w:val="20"/>
        </w:rPr>
        <w:t>Wealth Management players can be grouped under following seven types of industry pl</w:t>
      </w:r>
      <w:r w:rsidR="004311C5">
        <w:rPr>
          <w:rFonts w:ascii="Arial" w:hAnsi="Arial" w:cs="Arial"/>
          <w:sz w:val="20"/>
          <w:szCs w:val="20"/>
        </w:rPr>
        <w:t>a</w:t>
      </w:r>
      <w:r>
        <w:rPr>
          <w:rFonts w:ascii="Arial" w:hAnsi="Arial" w:cs="Arial"/>
          <w:sz w:val="20"/>
          <w:szCs w:val="20"/>
        </w:rPr>
        <w:t>yers:</w:t>
      </w:r>
    </w:p>
    <w:p w:rsidR="003F20AC" w:rsidRDefault="003F20AC" w:rsidP="00B42A80">
      <w:pPr>
        <w:tabs>
          <w:tab w:val="left" w:pos="0"/>
        </w:tabs>
        <w:jc w:val="both"/>
        <w:rPr>
          <w:rFonts w:ascii="Arial" w:hAnsi="Arial" w:cs="Arial"/>
          <w:sz w:val="20"/>
          <w:szCs w:val="20"/>
        </w:rPr>
      </w:pPr>
    </w:p>
    <w:p w:rsidR="003F20AC" w:rsidRDefault="003F20AC" w:rsidP="00B42A80">
      <w:pPr>
        <w:numPr>
          <w:ilvl w:val="0"/>
          <w:numId w:val="59"/>
        </w:numPr>
        <w:tabs>
          <w:tab w:val="left" w:pos="0"/>
        </w:tabs>
        <w:jc w:val="both"/>
        <w:rPr>
          <w:rFonts w:ascii="Arial" w:hAnsi="Arial" w:cs="Arial"/>
          <w:sz w:val="20"/>
          <w:szCs w:val="20"/>
        </w:rPr>
      </w:pPr>
      <w:r>
        <w:rPr>
          <w:rFonts w:ascii="Arial" w:hAnsi="Arial" w:cs="Arial"/>
          <w:sz w:val="20"/>
          <w:szCs w:val="20"/>
        </w:rPr>
        <w:t xml:space="preserve">Private Banks </w:t>
      </w:r>
    </w:p>
    <w:p w:rsidR="003F20AC" w:rsidRDefault="003F20AC" w:rsidP="00B42A80">
      <w:pPr>
        <w:numPr>
          <w:ilvl w:val="0"/>
          <w:numId w:val="59"/>
        </w:numPr>
        <w:tabs>
          <w:tab w:val="left" w:pos="0"/>
        </w:tabs>
        <w:jc w:val="both"/>
        <w:rPr>
          <w:rFonts w:ascii="Arial" w:hAnsi="Arial" w:cs="Arial"/>
          <w:sz w:val="20"/>
          <w:szCs w:val="20"/>
        </w:rPr>
      </w:pPr>
      <w:r>
        <w:rPr>
          <w:rFonts w:ascii="Arial" w:hAnsi="Arial" w:cs="Arial"/>
          <w:sz w:val="20"/>
          <w:szCs w:val="20"/>
        </w:rPr>
        <w:t>Independent Advisors</w:t>
      </w:r>
    </w:p>
    <w:p w:rsidR="003F20AC" w:rsidRDefault="003F20AC" w:rsidP="00B42A80">
      <w:pPr>
        <w:numPr>
          <w:ilvl w:val="0"/>
          <w:numId w:val="59"/>
        </w:numPr>
        <w:tabs>
          <w:tab w:val="left" w:pos="0"/>
        </w:tabs>
        <w:jc w:val="both"/>
        <w:rPr>
          <w:rFonts w:ascii="Arial" w:hAnsi="Arial" w:cs="Arial"/>
          <w:sz w:val="20"/>
          <w:szCs w:val="20"/>
        </w:rPr>
      </w:pPr>
      <w:r>
        <w:rPr>
          <w:rFonts w:ascii="Arial" w:hAnsi="Arial" w:cs="Arial"/>
          <w:sz w:val="20"/>
          <w:szCs w:val="20"/>
        </w:rPr>
        <w:t xml:space="preserve">Mega groups (large financial conglomerates </w:t>
      </w:r>
      <w:r w:rsidR="006B3ED4">
        <w:rPr>
          <w:rFonts w:ascii="Arial" w:hAnsi="Arial" w:cs="Arial"/>
          <w:sz w:val="20"/>
          <w:szCs w:val="20"/>
        </w:rPr>
        <w:t>that function in banking, insurance and securities)</w:t>
      </w:r>
    </w:p>
    <w:p w:rsidR="003F20AC" w:rsidRDefault="003F20AC" w:rsidP="00B42A80">
      <w:pPr>
        <w:numPr>
          <w:ilvl w:val="0"/>
          <w:numId w:val="59"/>
        </w:numPr>
        <w:tabs>
          <w:tab w:val="left" w:pos="0"/>
        </w:tabs>
        <w:jc w:val="both"/>
        <w:rPr>
          <w:rFonts w:ascii="Arial" w:hAnsi="Arial" w:cs="Arial"/>
          <w:sz w:val="20"/>
          <w:szCs w:val="20"/>
        </w:rPr>
      </w:pPr>
      <w:r>
        <w:rPr>
          <w:rFonts w:ascii="Arial" w:hAnsi="Arial" w:cs="Arial"/>
          <w:sz w:val="20"/>
          <w:szCs w:val="20"/>
        </w:rPr>
        <w:t>Brokerage</w:t>
      </w:r>
    </w:p>
    <w:p w:rsidR="006B3ED4" w:rsidRDefault="006B3ED4" w:rsidP="00B42A80">
      <w:pPr>
        <w:numPr>
          <w:ilvl w:val="0"/>
          <w:numId w:val="59"/>
        </w:numPr>
        <w:tabs>
          <w:tab w:val="left" w:pos="0"/>
        </w:tabs>
        <w:jc w:val="both"/>
        <w:rPr>
          <w:rFonts w:ascii="Arial" w:hAnsi="Arial" w:cs="Arial"/>
          <w:sz w:val="20"/>
          <w:szCs w:val="20"/>
        </w:rPr>
      </w:pPr>
      <w:r>
        <w:rPr>
          <w:rFonts w:ascii="Arial" w:hAnsi="Arial" w:cs="Arial"/>
          <w:sz w:val="20"/>
          <w:szCs w:val="20"/>
        </w:rPr>
        <w:t>Retail Banks</w:t>
      </w:r>
    </w:p>
    <w:p w:rsidR="006B3ED4" w:rsidRDefault="006B3ED4" w:rsidP="00B42A80">
      <w:pPr>
        <w:numPr>
          <w:ilvl w:val="0"/>
          <w:numId w:val="59"/>
        </w:numPr>
        <w:tabs>
          <w:tab w:val="left" w:pos="0"/>
        </w:tabs>
        <w:jc w:val="both"/>
        <w:rPr>
          <w:rFonts w:ascii="Arial" w:hAnsi="Arial" w:cs="Arial"/>
          <w:sz w:val="20"/>
          <w:szCs w:val="20"/>
        </w:rPr>
      </w:pPr>
      <w:r>
        <w:rPr>
          <w:rFonts w:ascii="Arial" w:hAnsi="Arial" w:cs="Arial"/>
          <w:sz w:val="20"/>
          <w:szCs w:val="20"/>
        </w:rPr>
        <w:t>Insurance Companies and asset managers</w:t>
      </w:r>
    </w:p>
    <w:p w:rsidR="000E6167" w:rsidRPr="006B3ED4" w:rsidRDefault="000E6167" w:rsidP="00B42A80">
      <w:pPr>
        <w:tabs>
          <w:tab w:val="left" w:pos="0"/>
        </w:tabs>
        <w:jc w:val="both"/>
        <w:rPr>
          <w:rFonts w:ascii="Arial" w:hAnsi="Arial" w:cs="Arial"/>
          <w:sz w:val="20"/>
          <w:szCs w:val="20"/>
        </w:rPr>
      </w:pPr>
      <w:r>
        <w:rPr>
          <w:rFonts w:ascii="Arial" w:hAnsi="Arial" w:cs="Arial"/>
          <w:sz w:val="20"/>
          <w:szCs w:val="20"/>
        </w:rPr>
        <w:t xml:space="preserve">The assessment of retail banks reveals a strong base on which to build a wealth management and lending services. Yet retails banks have substantial gaps with limited competencies in </w:t>
      </w:r>
      <w:r w:rsidR="000C3FFE">
        <w:rPr>
          <w:rFonts w:ascii="Arial" w:hAnsi="Arial" w:cs="Arial"/>
          <w:sz w:val="20"/>
          <w:szCs w:val="20"/>
        </w:rPr>
        <w:t>integrated</w:t>
      </w:r>
      <w:r>
        <w:rPr>
          <w:rFonts w:ascii="Arial" w:hAnsi="Arial" w:cs="Arial"/>
          <w:sz w:val="20"/>
          <w:szCs w:val="20"/>
        </w:rPr>
        <w:t xml:space="preserve"> information, perception and personal touch.</w:t>
      </w:r>
    </w:p>
    <w:p w:rsidR="00197873" w:rsidRDefault="00996439" w:rsidP="00197873">
      <w:pPr>
        <w:pStyle w:val="Heading3"/>
        <w:tabs>
          <w:tab w:val="clear" w:pos="6444"/>
          <w:tab w:val="num" w:pos="360"/>
        </w:tabs>
        <w:ind w:left="720" w:hanging="720"/>
      </w:pPr>
      <w:r>
        <w:t xml:space="preserve"> </w:t>
      </w:r>
      <w:r w:rsidR="00976C92">
        <w:t>Market Trends:</w:t>
      </w:r>
    </w:p>
    <w:p w:rsidR="00976C92" w:rsidRDefault="00976C92" w:rsidP="00976C92">
      <w:pPr>
        <w:tabs>
          <w:tab w:val="left" w:pos="0"/>
        </w:tabs>
      </w:pPr>
    </w:p>
    <w:p w:rsidR="00976C92" w:rsidRPr="00B42A80" w:rsidRDefault="00976C92" w:rsidP="00B42A80">
      <w:pPr>
        <w:tabs>
          <w:tab w:val="left" w:pos="0"/>
        </w:tabs>
        <w:jc w:val="both"/>
        <w:rPr>
          <w:rFonts w:ascii="Arial" w:hAnsi="Arial" w:cs="Arial"/>
          <w:color w:val="000000"/>
          <w:sz w:val="20"/>
          <w:szCs w:val="20"/>
          <w:lang w:val="en-GB"/>
        </w:rPr>
      </w:pPr>
      <w:r w:rsidRPr="00B42A80">
        <w:rPr>
          <w:rFonts w:ascii="Arial" w:hAnsi="Arial" w:cs="Arial"/>
          <w:color w:val="000000"/>
          <w:sz w:val="20"/>
          <w:szCs w:val="20"/>
          <w:lang w:val="en-GB"/>
        </w:rPr>
        <w:t xml:space="preserve">The financial wealth of High Net </w:t>
      </w:r>
      <w:r w:rsidR="00534251" w:rsidRPr="00B42A80">
        <w:rPr>
          <w:rFonts w:ascii="Arial" w:hAnsi="Arial" w:cs="Arial"/>
          <w:color w:val="000000"/>
          <w:sz w:val="20"/>
          <w:szCs w:val="20"/>
          <w:lang w:val="en-GB"/>
        </w:rPr>
        <w:t>worth</w:t>
      </w:r>
      <w:r w:rsidRPr="00B42A80">
        <w:rPr>
          <w:rFonts w:ascii="Arial" w:hAnsi="Arial" w:cs="Arial"/>
          <w:color w:val="000000"/>
          <w:sz w:val="20"/>
          <w:szCs w:val="20"/>
          <w:lang w:val="en-GB"/>
        </w:rPr>
        <w:t xml:space="preserve"> Individuals (HNWI) worldwide grew from US $ 37.2 trillion in 2006 to US $ 40.7 trillion in 2007, a growth rate of 9.4%. </w:t>
      </w:r>
      <w:proofErr w:type="gramStart"/>
      <w:r w:rsidRPr="00B42A80">
        <w:rPr>
          <w:rFonts w:ascii="Arial" w:hAnsi="Arial" w:cs="Arial"/>
          <w:color w:val="000000"/>
          <w:sz w:val="20"/>
          <w:szCs w:val="20"/>
          <w:lang w:val="en-GB"/>
        </w:rPr>
        <w:t>for</w:t>
      </w:r>
      <w:proofErr w:type="gramEnd"/>
      <w:r w:rsidRPr="00B42A80">
        <w:rPr>
          <w:rFonts w:ascii="Arial" w:hAnsi="Arial" w:cs="Arial"/>
          <w:color w:val="000000"/>
          <w:sz w:val="20"/>
          <w:szCs w:val="20"/>
          <w:lang w:val="en-GB"/>
        </w:rPr>
        <w:t xml:space="preserve"> the same period total number of HNWIs increase from 9.5 million individuals in 2006 to 10.1 million in 2007 according to 12th annual </w:t>
      </w:r>
      <w:proofErr w:type="spellStart"/>
      <w:r w:rsidRPr="00B42A80">
        <w:rPr>
          <w:rFonts w:ascii="Arial" w:hAnsi="Arial" w:cs="Arial"/>
          <w:color w:val="000000"/>
          <w:sz w:val="20"/>
          <w:szCs w:val="20"/>
          <w:lang w:val="en-GB"/>
        </w:rPr>
        <w:t>Capgemini</w:t>
      </w:r>
      <w:proofErr w:type="spellEnd"/>
      <w:r w:rsidRPr="00B42A80">
        <w:rPr>
          <w:rFonts w:ascii="Arial" w:hAnsi="Arial" w:cs="Arial"/>
          <w:color w:val="000000"/>
          <w:sz w:val="20"/>
          <w:szCs w:val="20"/>
          <w:lang w:val="en-GB"/>
        </w:rPr>
        <w:t xml:space="preserve">-Merrill Lynch World Wealth Report. </w:t>
      </w:r>
    </w:p>
    <w:p w:rsidR="005C06F0" w:rsidRPr="00B42A80" w:rsidRDefault="005C06F0" w:rsidP="00B42A80">
      <w:pPr>
        <w:tabs>
          <w:tab w:val="left" w:pos="0"/>
        </w:tabs>
        <w:jc w:val="both"/>
        <w:rPr>
          <w:rFonts w:ascii="Arial" w:hAnsi="Arial" w:cs="Arial"/>
          <w:color w:val="000000"/>
          <w:sz w:val="20"/>
          <w:szCs w:val="20"/>
          <w:lang w:val="en-GB"/>
        </w:rPr>
      </w:pPr>
    </w:p>
    <w:p w:rsidR="005C06F0" w:rsidRPr="00B42A80" w:rsidRDefault="005C06F0" w:rsidP="00B42A80">
      <w:pPr>
        <w:tabs>
          <w:tab w:val="left" w:pos="0"/>
        </w:tabs>
        <w:jc w:val="both"/>
        <w:rPr>
          <w:rFonts w:ascii="Arial" w:hAnsi="Arial" w:cs="Arial"/>
          <w:color w:val="000000"/>
          <w:sz w:val="20"/>
          <w:szCs w:val="20"/>
          <w:lang w:val="en-GB"/>
        </w:rPr>
      </w:pPr>
      <w:r w:rsidRPr="00B42A80">
        <w:rPr>
          <w:rFonts w:ascii="Arial" w:hAnsi="Arial" w:cs="Arial"/>
          <w:color w:val="000000"/>
          <w:sz w:val="20"/>
          <w:szCs w:val="20"/>
          <w:lang w:val="en-GB"/>
        </w:rPr>
        <w:t>Over the last 3 years, there was double digit growth in emerging markets and strong overall net growth in HNWI wealth in mature markets. However, given the increased competition in the market and the financial challenges firms have faced, there is less room for error when making strategic market entry decisions. As a result, wealth advisory firms are seeking ways to enter growth markets but are getting back to basics.</w:t>
      </w:r>
    </w:p>
    <w:p w:rsidR="00996439" w:rsidRDefault="000913E4" w:rsidP="00996439">
      <w:pPr>
        <w:pStyle w:val="Body1"/>
        <w:rPr>
          <w:rFonts w:cs="Arial"/>
        </w:rPr>
      </w:pPr>
      <w:r w:rsidRPr="000913E4">
        <w:rPr>
          <w:rFonts w:cs="Arial"/>
        </w:rPr>
        <w:t>Firms are increasingly recognizing that what has driven success in one market, does not necessarily translate into success in growth markets. While many factors should be taken into consideration, the key factor is aligning service delivery models to maximize strengths and aligning them to meet client needs. Differentiation and success can be achieved by leveraging the most suitable practice models, pricing models, and distribution channels to name a few. Additionally, investing in an effective IT and operational infrastructure are critical to enabling the appropriate service models.</w:t>
      </w:r>
    </w:p>
    <w:p w:rsidR="00E40E6B" w:rsidRDefault="00E40E6B" w:rsidP="00E40E6B">
      <w:pPr>
        <w:jc w:val="both"/>
        <w:rPr>
          <w:rFonts w:ascii="Arial" w:hAnsi="Arial" w:cs="Arial"/>
          <w:sz w:val="20"/>
          <w:szCs w:val="20"/>
        </w:rPr>
      </w:pPr>
      <w:r w:rsidRPr="001F6044">
        <w:rPr>
          <w:rFonts w:ascii="Arial" w:hAnsi="Arial" w:cs="Arial"/>
          <w:sz w:val="20"/>
          <w:szCs w:val="20"/>
        </w:rPr>
        <w:t xml:space="preserve">The mass affluent market remains a growth opportunity for the banking sector as the asset base of typical investors grows. According to </w:t>
      </w:r>
      <w:proofErr w:type="spellStart"/>
      <w:r w:rsidRPr="001F6044">
        <w:rPr>
          <w:rFonts w:ascii="Arial" w:hAnsi="Arial" w:cs="Arial"/>
          <w:sz w:val="20"/>
          <w:szCs w:val="20"/>
        </w:rPr>
        <w:t>Datamonitor</w:t>
      </w:r>
      <w:proofErr w:type="spellEnd"/>
      <w:r w:rsidRPr="001F6044">
        <w:rPr>
          <w:rFonts w:ascii="Arial" w:hAnsi="Arial" w:cs="Arial"/>
          <w:sz w:val="20"/>
          <w:szCs w:val="20"/>
        </w:rPr>
        <w:t xml:space="preserve"> research, spending by financial services firms on front-to-back wealth management IT in North America, </w:t>
      </w:r>
      <w:smartTag w:uri="urn:schemas-microsoft-com:office:smarttags" w:element="place">
        <w:r w:rsidRPr="001F6044">
          <w:rPr>
            <w:rFonts w:ascii="Arial" w:hAnsi="Arial" w:cs="Arial"/>
            <w:sz w:val="20"/>
            <w:szCs w:val="20"/>
          </w:rPr>
          <w:t>Europe</w:t>
        </w:r>
      </w:smartTag>
      <w:r w:rsidRPr="001F6044">
        <w:rPr>
          <w:rFonts w:ascii="Arial" w:hAnsi="Arial" w:cs="Arial"/>
          <w:sz w:val="20"/>
          <w:szCs w:val="20"/>
        </w:rPr>
        <w:t xml:space="preserve"> and Asia Pacific will reach $28.5 billion by 2012 as they increase investment in the technology to cope with regulations and stay competitive.</w:t>
      </w:r>
      <w:r>
        <w:rPr>
          <w:rFonts w:ascii="Arial" w:hAnsi="Arial" w:cs="Arial"/>
          <w:sz w:val="20"/>
          <w:szCs w:val="20"/>
        </w:rPr>
        <w:t xml:space="preserve"> </w:t>
      </w:r>
    </w:p>
    <w:p w:rsidR="00E40E6B" w:rsidRDefault="00E40E6B" w:rsidP="00E40E6B">
      <w:pPr>
        <w:shd w:val="clear" w:color="auto" w:fill="FFFFFF"/>
        <w:jc w:val="both"/>
        <w:rPr>
          <w:rFonts w:ascii="Arial" w:hAnsi="Arial" w:cs="Arial"/>
          <w:sz w:val="20"/>
          <w:szCs w:val="20"/>
        </w:rPr>
      </w:pPr>
      <w:r w:rsidRPr="004B3BDF">
        <w:rPr>
          <w:rFonts w:ascii="Arial" w:hAnsi="Arial" w:cs="Arial"/>
          <w:sz w:val="20"/>
          <w:szCs w:val="20"/>
        </w:rPr>
        <w:t xml:space="preserve">The emergence of a mass affluent segment is fueling growth in new services and distribution options. This will require a more sophisticated approach to technology. Wealth managers, private bankers and retail banks are no longer talking of standalone strategies for wealthy individuals. The trend is towards 'integrated financial solutions,' revolving around cross-selling banking, savings, and investment products that come complete with advice. In such scenarios, </w:t>
      </w:r>
      <w:r w:rsidRPr="004B3BDF">
        <w:rPr>
          <w:rFonts w:ascii="Arial" w:hAnsi="Arial" w:cs="Arial"/>
          <w:sz w:val="20"/>
          <w:szCs w:val="20"/>
        </w:rPr>
        <w:br/>
        <w:t>Front- and middle-office technology becomes a competitive differentiator.</w:t>
      </w:r>
      <w:r w:rsidRPr="004B3BDF">
        <w:rPr>
          <w:rFonts w:ascii="Arial" w:hAnsi="Arial" w:cs="Arial"/>
          <w:sz w:val="20"/>
          <w:szCs w:val="20"/>
        </w:rPr>
        <w:br/>
        <w:t>Effective front- and middle-office tools, such as portfolio management, financial planning and analytical customer relationship management (CRM) systems, lay at the heart of wealth management operations. Clients, particularly the more active 'new money' segment, are demanding a more hands-on approach from their relationship managers. This creates a need for advisors and front-office staff to have access to more agile, automated analytical tools and presence technologies that enable client interactions to be more effective from both a cost and a time perspective.</w:t>
      </w:r>
    </w:p>
    <w:p w:rsidR="005269DC" w:rsidRDefault="005269DC" w:rsidP="00E40E6B">
      <w:pPr>
        <w:shd w:val="clear" w:color="auto" w:fill="FFFFFF"/>
        <w:jc w:val="both"/>
        <w:rPr>
          <w:rFonts w:ascii="Arial" w:hAnsi="Arial" w:cs="Arial"/>
          <w:sz w:val="20"/>
          <w:szCs w:val="20"/>
        </w:rPr>
      </w:pPr>
    </w:p>
    <w:p w:rsidR="00FF5E22" w:rsidRDefault="00FF5E22" w:rsidP="00FF5E22">
      <w:pPr>
        <w:pStyle w:val="Heading2"/>
        <w:keepNext w:val="0"/>
        <w:spacing w:before="120" w:after="120" w:line="240" w:lineRule="atLeast"/>
        <w:ind w:left="0" w:firstLine="0"/>
        <w:jc w:val="both"/>
      </w:pPr>
      <w:bookmarkStart w:id="157" w:name="_Toc226530542"/>
      <w:r>
        <w:t>Organization Structure</w:t>
      </w:r>
      <w:bookmarkEnd w:id="157"/>
    </w:p>
    <w:p w:rsidR="005269DC" w:rsidRPr="005269DC" w:rsidRDefault="00FF5E22" w:rsidP="00FF5E22">
      <w:pPr>
        <w:pStyle w:val="Heading3"/>
        <w:keepNext w:val="0"/>
        <w:tabs>
          <w:tab w:val="clear" w:pos="6444"/>
          <w:tab w:val="num" w:pos="540"/>
        </w:tabs>
        <w:spacing w:before="120" w:after="120" w:line="240" w:lineRule="atLeast"/>
        <w:ind w:left="0" w:firstLine="0"/>
        <w:jc w:val="both"/>
      </w:pPr>
      <w:r>
        <w:t>Organization Structure</w:t>
      </w:r>
    </w:p>
    <w:p w:rsidR="00EC38A3" w:rsidRPr="00D277A8" w:rsidRDefault="00EC38A3" w:rsidP="00EC38A3">
      <w:pPr>
        <w:spacing w:after="240"/>
        <w:rPr>
          <w:rFonts w:ascii="Arial" w:hAnsi="Arial"/>
          <w:b/>
          <w:i/>
          <w:sz w:val="20"/>
        </w:rPr>
      </w:pPr>
      <w:bookmarkStart w:id="158" w:name="_Toc133314253"/>
      <w:bookmarkStart w:id="159" w:name="_Toc144639484"/>
      <w:r w:rsidRPr="00D277A8">
        <w:rPr>
          <w:rFonts w:ascii="Arial" w:hAnsi="Arial"/>
          <w:b/>
          <w:i/>
          <w:sz w:val="20"/>
        </w:rPr>
        <w:t>Relationship Manager/ Financial Advisor</w:t>
      </w:r>
      <w:bookmarkEnd w:id="158"/>
      <w:bookmarkEnd w:id="159"/>
      <w:r w:rsidRPr="00D277A8">
        <w:rPr>
          <w:rFonts w:ascii="Arial" w:hAnsi="Arial"/>
          <w:b/>
          <w:i/>
          <w:sz w:val="20"/>
        </w:rPr>
        <w:tab/>
      </w:r>
    </w:p>
    <w:p w:rsidR="00EC38A3" w:rsidRDefault="00EC38A3" w:rsidP="00EC38A3">
      <w:pPr>
        <w:pStyle w:val="Cog-body"/>
        <w:spacing w:before="120" w:line="240" w:lineRule="auto"/>
        <w:ind w:right="29"/>
      </w:pPr>
      <w:r>
        <w:t xml:space="preserve">The relationship between the client and the wealth management firm forms the key to successful wealth management. An advisor / relationship manager develops a relationship with clients, works with the client to develop, implement and monitor a comprehensive wealth management strategy. </w:t>
      </w:r>
    </w:p>
    <w:p w:rsidR="00EC38A3" w:rsidRDefault="00EC38A3" w:rsidP="00EC38A3">
      <w:pPr>
        <w:pStyle w:val="Cog-body"/>
        <w:spacing w:before="120" w:line="240" w:lineRule="auto"/>
        <w:ind w:right="29"/>
      </w:pPr>
      <w:r>
        <w:t xml:space="preserve">The breadth of easily accessible investment information, increasingly complicated tax laws, escalating investor sophistication and the complexity of financial instruments designed for this market place even greater demands on advisors to meet their wealthy clients' expectations. One survey suggests that 75% of HNWI have at least one wealth management advisor and are likely to have different types of advisors. The advisor with every transaction generates additional business for the firm it represents and also earns a commission on that transaction which depends on the understanding which the advisor has with her firm. </w:t>
      </w:r>
    </w:p>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0" w:name="_Toc144639485"/>
      <w:r w:rsidRPr="00D277A8">
        <w:rPr>
          <w:rFonts w:cs="Times New Roman"/>
          <w:bCs w:val="0"/>
          <w:color w:val="auto"/>
          <w:sz w:val="20"/>
          <w:szCs w:val="24"/>
        </w:rPr>
        <w:t>Investment Committee</w:t>
      </w:r>
      <w:bookmarkEnd w:id="160"/>
    </w:p>
    <w:p w:rsidR="00EC38A3" w:rsidRPr="008B00A1" w:rsidRDefault="00EC38A3" w:rsidP="00EC38A3">
      <w:pPr>
        <w:pStyle w:val="Cog-body"/>
        <w:spacing w:before="120" w:line="240" w:lineRule="auto"/>
        <w:ind w:right="29"/>
      </w:pPr>
      <w:r w:rsidRPr="008B00A1">
        <w:t xml:space="preserve">This team comprised of multi disciplinary members like Investment Specialists/Bankers/Portfolio Managers/Fiduciary managers scans and analyzes the products within a particular asset class to select the most preferred products within each. Based on their analysis of how complementary managers/solutions could be incorporated into Client Portfolios the firm selects its third party solutions/products for its investment offerings. </w:t>
      </w:r>
    </w:p>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1" w:name="_Toc144639486"/>
      <w:r w:rsidRPr="00D277A8">
        <w:rPr>
          <w:rFonts w:cs="Times New Roman"/>
          <w:bCs w:val="0"/>
          <w:color w:val="auto"/>
          <w:sz w:val="20"/>
          <w:szCs w:val="24"/>
        </w:rPr>
        <w:t>Research Team</w:t>
      </w:r>
      <w:bookmarkEnd w:id="161"/>
    </w:p>
    <w:p w:rsidR="00EC38A3" w:rsidRPr="008B00A1" w:rsidRDefault="00EC38A3" w:rsidP="00EC38A3">
      <w:pPr>
        <w:pStyle w:val="Cog-body"/>
        <w:spacing w:before="120" w:line="240" w:lineRule="auto"/>
        <w:ind w:right="29"/>
      </w:pPr>
      <w:r w:rsidRPr="008B00A1">
        <w:t xml:space="preserve">This team comprised primarily of Research Analysts provides fundamental/technical analysis for securities and sectors, which serves as inputs to the portfolio managers, bankers and investment specialists. Most of the wealth management arms of the big integrated banking firms rely on the fundamental, technical and/or quantitative research departments managed by their asset/investment management arms. </w:t>
      </w:r>
    </w:p>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2" w:name="_Toc133314255"/>
      <w:bookmarkStart w:id="163" w:name="_Toc144639487"/>
      <w:r w:rsidRPr="00D277A8">
        <w:rPr>
          <w:rFonts w:cs="Times New Roman"/>
          <w:bCs w:val="0"/>
          <w:color w:val="auto"/>
          <w:sz w:val="20"/>
          <w:szCs w:val="24"/>
        </w:rPr>
        <w:t>Sales and Communication Team</w:t>
      </w:r>
      <w:bookmarkEnd w:id="162"/>
      <w:bookmarkEnd w:id="163"/>
      <w:r w:rsidRPr="00D277A8">
        <w:rPr>
          <w:rFonts w:cs="Times New Roman"/>
          <w:bCs w:val="0"/>
          <w:color w:val="auto"/>
          <w:sz w:val="20"/>
          <w:szCs w:val="24"/>
        </w:rPr>
        <w:tab/>
      </w:r>
    </w:p>
    <w:p w:rsidR="00EC38A3" w:rsidRDefault="00EC38A3" w:rsidP="00EC38A3">
      <w:pPr>
        <w:pStyle w:val="Cog-body"/>
        <w:spacing w:before="120" w:line="240" w:lineRule="auto"/>
        <w:ind w:right="29"/>
      </w:pPr>
      <w:r>
        <w:t>The sales team will use the marketing collateral to scout for new clients and also look for cross selling opportunities. The cross selling is also done by the relationship manager as he is the one closest to the existing clients.</w:t>
      </w:r>
    </w:p>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4" w:name="_Toc144639488"/>
      <w:r w:rsidRPr="00D277A8">
        <w:rPr>
          <w:rFonts w:cs="Times New Roman"/>
          <w:bCs w:val="0"/>
          <w:color w:val="auto"/>
          <w:sz w:val="20"/>
          <w:szCs w:val="24"/>
        </w:rPr>
        <w:t>Business Process Management</w:t>
      </w:r>
      <w:bookmarkEnd w:id="164"/>
    </w:p>
    <w:p w:rsidR="00EC38A3" w:rsidRDefault="00EC38A3" w:rsidP="00EC38A3">
      <w:pPr>
        <w:pStyle w:val="Cog-body"/>
        <w:spacing w:before="120" w:line="240" w:lineRule="auto"/>
        <w:ind w:right="29"/>
      </w:pPr>
      <w:r>
        <w:t>The business process management team aims to support the front, middle and back offices by studying existing processes, identifying redundancies, suggesting improvements, designing effective workflows and providing IT applications and/or tools that will enhance the organization’s client servicing level.</w:t>
      </w:r>
    </w:p>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5" w:name="_Toc144639489"/>
      <w:r w:rsidRPr="00D277A8">
        <w:rPr>
          <w:rFonts w:cs="Times New Roman"/>
          <w:bCs w:val="0"/>
          <w:color w:val="auto"/>
          <w:sz w:val="20"/>
          <w:szCs w:val="24"/>
        </w:rPr>
        <w:t>Operations</w:t>
      </w:r>
      <w:bookmarkEnd w:id="165"/>
    </w:p>
    <w:p w:rsidR="00EC38A3" w:rsidRDefault="00EC38A3" w:rsidP="00EC38A3">
      <w:pPr>
        <w:pStyle w:val="Cog-body"/>
        <w:spacing w:before="120" w:line="240" w:lineRule="auto"/>
        <w:ind w:right="29"/>
        <w:rPr>
          <w:color w:val="000000"/>
          <w:szCs w:val="20"/>
        </w:rPr>
      </w:pPr>
      <w:r>
        <w:t xml:space="preserve">On a daily basis, the operations department services internal and external clients and business partners. The department’s objective is to deliver best-in-class operations services while ensuring adequate controls, to meet our users' and clients' expectations </w:t>
      </w:r>
      <w:r>
        <w:lastRenderedPageBreak/>
        <w:t xml:space="preserve">and to enable them to achieve their own goals and objectives. </w:t>
      </w:r>
      <w:r>
        <w:rPr>
          <w:color w:val="000000"/>
          <w:szCs w:val="20"/>
        </w:rPr>
        <w:t>Following an overview of the core services provided by operations</w:t>
      </w:r>
    </w:p>
    <w:p w:rsidR="00EC38A3" w:rsidRDefault="00EC38A3" w:rsidP="00EC38A3">
      <w:pPr>
        <w:pStyle w:val="Cog-body"/>
        <w:spacing w:before="120" w:line="360" w:lineRule="auto"/>
        <w:ind w:right="29"/>
        <w:rPr>
          <w:color w:val="000000"/>
          <w:szCs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140"/>
        <w:gridCol w:w="4428"/>
      </w:tblGrid>
      <w:tr w:rsidR="00EC38A3" w:rsidTr="00EC38A3">
        <w:tc>
          <w:tcPr>
            <w:tcW w:w="4140" w:type="dxa"/>
            <w:tcBorders>
              <w:top w:val="single" w:sz="4" w:space="0" w:color="auto"/>
              <w:left w:val="single" w:sz="4" w:space="0" w:color="auto"/>
              <w:bottom w:val="single" w:sz="4" w:space="0" w:color="auto"/>
              <w:right w:val="single" w:sz="4" w:space="0" w:color="auto"/>
            </w:tcBorders>
            <w:shd w:val="clear" w:color="auto" w:fill="A6A6A6"/>
          </w:tcPr>
          <w:p w:rsidR="00EC38A3" w:rsidRDefault="00EC38A3" w:rsidP="00EC38A3">
            <w:pPr>
              <w:pStyle w:val="Cog-body"/>
              <w:spacing w:line="240" w:lineRule="auto"/>
              <w:ind w:right="29"/>
              <w:rPr>
                <w:b/>
              </w:rPr>
            </w:pPr>
            <w:r>
              <w:rPr>
                <w:b/>
                <w:bCs/>
                <w:color w:val="FFFFFF"/>
                <w:szCs w:val="20"/>
              </w:rPr>
              <w:t>Custodian Services </w:t>
            </w:r>
          </w:p>
        </w:tc>
        <w:tc>
          <w:tcPr>
            <w:tcW w:w="4428" w:type="dxa"/>
            <w:tcBorders>
              <w:top w:val="single" w:sz="4" w:space="0" w:color="auto"/>
              <w:left w:val="single" w:sz="4" w:space="0" w:color="auto"/>
              <w:bottom w:val="single" w:sz="4" w:space="0" w:color="auto"/>
              <w:right w:val="single" w:sz="4" w:space="0" w:color="auto"/>
            </w:tcBorders>
            <w:shd w:val="clear" w:color="auto" w:fill="A6A6A6"/>
          </w:tcPr>
          <w:p w:rsidR="00EC38A3" w:rsidRDefault="00EC38A3" w:rsidP="00EC38A3">
            <w:pPr>
              <w:pStyle w:val="Cog-body"/>
              <w:spacing w:line="240" w:lineRule="auto"/>
              <w:ind w:right="29"/>
              <w:rPr>
                <w:b/>
              </w:rPr>
            </w:pPr>
            <w:r>
              <w:rPr>
                <w:b/>
                <w:bCs/>
                <w:color w:val="FFFFFF"/>
                <w:szCs w:val="20"/>
              </w:rPr>
              <w:t>Transaction Types </w:t>
            </w:r>
          </w:p>
        </w:tc>
      </w:tr>
      <w:tr w:rsidR="00EC38A3" w:rsidTr="00EC38A3">
        <w:tc>
          <w:tcPr>
            <w:tcW w:w="4140" w:type="dxa"/>
            <w:tcBorders>
              <w:top w:val="single" w:sz="4" w:space="0" w:color="auto"/>
              <w:left w:val="single" w:sz="4" w:space="0" w:color="auto"/>
              <w:bottom w:val="single" w:sz="4" w:space="0" w:color="auto"/>
              <w:right w:val="single" w:sz="4" w:space="0" w:color="auto"/>
            </w:tcBorders>
          </w:tcPr>
          <w:p w:rsidR="00814BEB"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Securities Trade Processing (STP/Non STP) for all Markets and Products such as Securities, Bonds, Options, Structured Products, etc </w:t>
            </w:r>
          </w:p>
          <w:p w:rsidR="00814BEB"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Standard and Contractual Settlement </w:t>
            </w:r>
          </w:p>
          <w:p w:rsidR="00EC38A3"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Safekeeping of Securities </w:t>
            </w:r>
          </w:p>
          <w:p w:rsidR="00EC38A3" w:rsidRDefault="00EC38A3" w:rsidP="00734394">
            <w:pPr>
              <w:numPr>
                <w:ilvl w:val="0"/>
                <w:numId w:val="71"/>
              </w:numPr>
              <w:tabs>
                <w:tab w:val="clear" w:pos="720"/>
                <w:tab w:val="num" w:pos="252"/>
              </w:tabs>
              <w:spacing w:before="40" w:afterLines="40"/>
              <w:ind w:left="252" w:hanging="252"/>
              <w:rPr>
                <w:sz w:val="20"/>
              </w:rPr>
            </w:pPr>
            <w:r>
              <w:rPr>
                <w:rFonts w:ascii="Arial" w:hAnsi="Arial" w:cs="Arial"/>
                <w:color w:val="000000"/>
                <w:sz w:val="20"/>
              </w:rPr>
              <w:t>Provision of Market Information</w:t>
            </w:r>
          </w:p>
          <w:p w:rsidR="00EC38A3" w:rsidRDefault="00EC38A3" w:rsidP="00734394">
            <w:pPr>
              <w:numPr>
                <w:ilvl w:val="0"/>
                <w:numId w:val="71"/>
              </w:numPr>
              <w:tabs>
                <w:tab w:val="clear" w:pos="720"/>
                <w:tab w:val="num" w:pos="252"/>
              </w:tabs>
              <w:spacing w:before="40" w:afterLines="40"/>
              <w:ind w:left="252" w:hanging="252"/>
              <w:rPr>
                <w:sz w:val="20"/>
              </w:rPr>
            </w:pPr>
            <w:r>
              <w:rPr>
                <w:rFonts w:ascii="Arial" w:hAnsi="Arial" w:cs="Arial"/>
                <w:color w:val="000000"/>
                <w:sz w:val="20"/>
              </w:rPr>
              <w:t>Sub-Custodian Management</w:t>
            </w:r>
          </w:p>
          <w:p w:rsidR="00EC38A3" w:rsidRDefault="00EC38A3" w:rsidP="00734394">
            <w:pPr>
              <w:numPr>
                <w:ilvl w:val="0"/>
                <w:numId w:val="72"/>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Corporate Actions </w:t>
            </w:r>
          </w:p>
          <w:p w:rsidR="00EC38A3" w:rsidRDefault="00EC38A3" w:rsidP="00734394">
            <w:pPr>
              <w:numPr>
                <w:ilvl w:val="0"/>
                <w:numId w:val="72"/>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Mark-to-Market of Securities </w:t>
            </w:r>
          </w:p>
          <w:p w:rsidR="00EC38A3" w:rsidRDefault="00EC38A3" w:rsidP="00734394">
            <w:pPr>
              <w:numPr>
                <w:ilvl w:val="0"/>
                <w:numId w:val="72"/>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Securities and Cash Reconciliation between broker-dealer and custodian </w:t>
            </w:r>
          </w:p>
          <w:p w:rsidR="00EC38A3" w:rsidRDefault="00EC38A3" w:rsidP="00734394">
            <w:pPr>
              <w:numPr>
                <w:ilvl w:val="0"/>
                <w:numId w:val="72"/>
              </w:numPr>
              <w:tabs>
                <w:tab w:val="clear" w:pos="720"/>
                <w:tab w:val="num" w:pos="252"/>
              </w:tabs>
              <w:spacing w:before="40" w:afterLines="40"/>
              <w:ind w:left="252" w:hanging="252"/>
            </w:pPr>
            <w:r>
              <w:rPr>
                <w:rFonts w:ascii="Arial" w:hAnsi="Arial" w:cs="Arial"/>
                <w:color w:val="000000"/>
                <w:sz w:val="20"/>
              </w:rPr>
              <w:t>Client Statements and Reporting</w:t>
            </w:r>
          </w:p>
          <w:p w:rsidR="00EC38A3" w:rsidRDefault="00EC38A3" w:rsidP="00734394">
            <w:pPr>
              <w:pStyle w:val="Cog-body"/>
              <w:spacing w:afterLines="40" w:line="240" w:lineRule="auto"/>
              <w:ind w:right="29"/>
            </w:pPr>
          </w:p>
        </w:tc>
        <w:tc>
          <w:tcPr>
            <w:tcW w:w="4428" w:type="dxa"/>
            <w:tcBorders>
              <w:top w:val="single" w:sz="4" w:space="0" w:color="auto"/>
              <w:left w:val="single" w:sz="4" w:space="0" w:color="auto"/>
              <w:bottom w:val="single" w:sz="4" w:space="0" w:color="auto"/>
              <w:right w:val="single" w:sz="4" w:space="0" w:color="auto"/>
            </w:tcBorders>
          </w:tcPr>
          <w:p w:rsidR="00EC38A3"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Securities Trade Processing (STP/Non STP) for all Markets and products such as Securities, Bonds, Options, Structured Products, etc </w:t>
            </w:r>
          </w:p>
          <w:p w:rsidR="00814BEB"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Processing of Treasury Products (FX, MM, DCDs (dual Currency Deposits), FX Options, Interest Swaps, etc) </w:t>
            </w:r>
          </w:p>
          <w:p w:rsidR="00814BEB"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Securities transfer-out and transfer-in </w:t>
            </w:r>
          </w:p>
          <w:p w:rsidR="00814BEB"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Matching of Settlement and pre-matching services</w:t>
            </w:r>
          </w:p>
          <w:p w:rsidR="00814BEB"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Clients Advices and Statements </w:t>
            </w:r>
          </w:p>
          <w:p w:rsidR="00814BEB"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 xml:space="preserve">Handling local duties and taxes </w:t>
            </w:r>
          </w:p>
          <w:p w:rsidR="00814BEB" w:rsidRDefault="00EC38A3" w:rsidP="00734394">
            <w:pPr>
              <w:numPr>
                <w:ilvl w:val="0"/>
                <w:numId w:val="71"/>
              </w:numPr>
              <w:tabs>
                <w:tab w:val="clear" w:pos="720"/>
                <w:tab w:val="num" w:pos="252"/>
              </w:tabs>
              <w:spacing w:before="40" w:afterLines="40"/>
              <w:ind w:left="252" w:hanging="252"/>
              <w:rPr>
                <w:rFonts w:ascii="Arial" w:hAnsi="Arial" w:cs="Arial"/>
                <w:color w:val="000000"/>
                <w:sz w:val="20"/>
              </w:rPr>
            </w:pPr>
            <w:r>
              <w:rPr>
                <w:rFonts w:ascii="Arial" w:hAnsi="Arial" w:cs="Arial"/>
                <w:color w:val="000000"/>
                <w:sz w:val="20"/>
              </w:rPr>
              <w:t>Cash pay-ins and pay-outs</w:t>
            </w:r>
          </w:p>
          <w:p w:rsidR="00814BEB" w:rsidRDefault="00EC38A3" w:rsidP="00734394">
            <w:pPr>
              <w:numPr>
                <w:ilvl w:val="0"/>
                <w:numId w:val="71"/>
              </w:numPr>
              <w:tabs>
                <w:tab w:val="clear" w:pos="720"/>
                <w:tab w:val="num" w:pos="252"/>
              </w:tabs>
              <w:spacing w:before="40" w:afterLines="40"/>
              <w:ind w:left="252" w:hanging="252"/>
            </w:pPr>
            <w:r>
              <w:rPr>
                <w:rFonts w:ascii="Arial" w:hAnsi="Arial" w:cs="Arial"/>
                <w:color w:val="000000"/>
                <w:sz w:val="20"/>
              </w:rPr>
              <w:t>Primary Market Services</w:t>
            </w:r>
          </w:p>
          <w:p w:rsidR="00814BEB" w:rsidRDefault="00EC38A3" w:rsidP="00734394">
            <w:pPr>
              <w:numPr>
                <w:ilvl w:val="0"/>
                <w:numId w:val="71"/>
              </w:numPr>
              <w:tabs>
                <w:tab w:val="clear" w:pos="720"/>
                <w:tab w:val="num" w:pos="252"/>
              </w:tabs>
              <w:spacing w:before="40" w:afterLines="40"/>
              <w:ind w:left="252" w:hanging="252"/>
            </w:pPr>
            <w:r>
              <w:rPr>
                <w:rFonts w:ascii="Arial" w:hAnsi="Arial" w:cs="Arial"/>
                <w:color w:val="000000"/>
                <w:sz w:val="20"/>
              </w:rPr>
              <w:t>Generation of trade confirmations.</w:t>
            </w:r>
          </w:p>
        </w:tc>
      </w:tr>
    </w:tbl>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6" w:name="_Toc144639490"/>
      <w:r w:rsidRPr="00D277A8">
        <w:rPr>
          <w:rFonts w:cs="Times New Roman"/>
          <w:bCs w:val="0"/>
          <w:color w:val="auto"/>
          <w:sz w:val="20"/>
          <w:szCs w:val="24"/>
        </w:rPr>
        <w:t>Legal and Compliance Department</w:t>
      </w:r>
      <w:bookmarkEnd w:id="166"/>
    </w:p>
    <w:p w:rsidR="00EC38A3" w:rsidRDefault="00EC38A3" w:rsidP="00EC38A3">
      <w:pPr>
        <w:pStyle w:val="Cog-body"/>
        <w:spacing w:before="120" w:line="240" w:lineRule="auto"/>
        <w:ind w:right="29"/>
      </w:pPr>
      <w:r>
        <w:t xml:space="preserve">The wealth management organizations operate in an increasingly complex environment where capitalizing on opportunities also comes with the responsibility to control inherent risks of running the business. Whilst risks are unavoidable, they can be managed and mitigated by adopting/ taking an informed approach. This means organizations must stay vigilant - assessing, monitoring and dealing with risks as they present themselves and not be surprised when they arise. An action that is not well thought through could tarnish our integrity and hard earned reputation of the organization. </w:t>
      </w:r>
      <w:r>
        <w:br/>
        <w:t>The responsibility of this legal and compliance team is to understand the regulatory and compliance requirements (both local ones as well as industry wide legal and financial regulations such as Anti-Money-Laundering, Basel II), in order to formalization the organization’s risk management framework, to identifies and defines the key risks areas and clearly sets out guidelines and best practices that help minimize exposure to undesired risks.</w:t>
      </w:r>
    </w:p>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7" w:name="_Toc144639491"/>
      <w:r w:rsidRPr="00D277A8">
        <w:rPr>
          <w:rFonts w:cs="Times New Roman"/>
          <w:bCs w:val="0"/>
          <w:color w:val="auto"/>
          <w:sz w:val="20"/>
          <w:szCs w:val="24"/>
        </w:rPr>
        <w:t>Accounting and Controlling</w:t>
      </w:r>
      <w:bookmarkEnd w:id="167"/>
    </w:p>
    <w:p w:rsidR="00EC38A3" w:rsidRDefault="00EC38A3" w:rsidP="00EC38A3">
      <w:pPr>
        <w:pStyle w:val="Cog-body"/>
        <w:spacing w:before="120" w:line="240" w:lineRule="auto"/>
        <w:ind w:right="29"/>
      </w:pPr>
      <w:r>
        <w:t>The Accounting and Controlling Team performs the following functions:</w:t>
      </w:r>
    </w:p>
    <w:p w:rsidR="00EC38A3" w:rsidRDefault="00EC38A3" w:rsidP="009874A6">
      <w:pPr>
        <w:numPr>
          <w:ilvl w:val="0"/>
          <w:numId w:val="70"/>
        </w:numPr>
        <w:tabs>
          <w:tab w:val="clear" w:pos="2160"/>
          <w:tab w:val="num" w:pos="360"/>
        </w:tabs>
        <w:ind w:left="360"/>
        <w:rPr>
          <w:rFonts w:ascii="Arial" w:hAnsi="Arial" w:cs="Arial"/>
          <w:color w:val="000000"/>
          <w:sz w:val="20"/>
        </w:rPr>
      </w:pPr>
      <w:r>
        <w:rPr>
          <w:rFonts w:ascii="Arial" w:hAnsi="Arial" w:cs="Arial"/>
          <w:color w:val="000000"/>
          <w:sz w:val="20"/>
        </w:rPr>
        <w:t>Ensure a high level of internal financial controls and corporate governance with respect to financial reporting</w:t>
      </w:r>
    </w:p>
    <w:p w:rsidR="00EC38A3" w:rsidRDefault="00EC38A3" w:rsidP="00EC38A3">
      <w:pPr>
        <w:tabs>
          <w:tab w:val="num" w:pos="720"/>
        </w:tabs>
        <w:rPr>
          <w:rFonts w:ascii="Arial" w:hAnsi="Arial" w:cs="Arial"/>
          <w:color w:val="000000"/>
          <w:sz w:val="20"/>
        </w:rPr>
      </w:pPr>
    </w:p>
    <w:p w:rsidR="00EC38A3" w:rsidRDefault="00EC38A3" w:rsidP="009874A6">
      <w:pPr>
        <w:numPr>
          <w:ilvl w:val="0"/>
          <w:numId w:val="70"/>
        </w:numPr>
        <w:tabs>
          <w:tab w:val="clear" w:pos="2160"/>
          <w:tab w:val="num" w:pos="360"/>
        </w:tabs>
        <w:ind w:left="360"/>
        <w:rPr>
          <w:rFonts w:ascii="Arial" w:hAnsi="Arial" w:cs="Arial"/>
          <w:color w:val="000000"/>
          <w:sz w:val="20"/>
        </w:rPr>
      </w:pPr>
      <w:r>
        <w:rPr>
          <w:rFonts w:ascii="Arial" w:hAnsi="Arial" w:cs="Arial"/>
          <w:color w:val="000000"/>
          <w:sz w:val="20"/>
        </w:rPr>
        <w:t xml:space="preserve">Assist in inception, development and implementation business plans and performance drivers for the business </w:t>
      </w:r>
    </w:p>
    <w:p w:rsidR="00EC38A3" w:rsidRDefault="00EC38A3" w:rsidP="00EC38A3">
      <w:pPr>
        <w:tabs>
          <w:tab w:val="num" w:pos="720"/>
        </w:tabs>
        <w:rPr>
          <w:rFonts w:ascii="Arial" w:hAnsi="Arial" w:cs="Arial"/>
          <w:color w:val="000000"/>
          <w:sz w:val="20"/>
        </w:rPr>
      </w:pPr>
    </w:p>
    <w:p w:rsidR="00EC38A3" w:rsidRDefault="00EC38A3" w:rsidP="009874A6">
      <w:pPr>
        <w:numPr>
          <w:ilvl w:val="0"/>
          <w:numId w:val="70"/>
        </w:numPr>
        <w:tabs>
          <w:tab w:val="clear" w:pos="2160"/>
          <w:tab w:val="num" w:pos="360"/>
        </w:tabs>
        <w:ind w:left="360"/>
        <w:rPr>
          <w:rFonts w:ascii="Arial" w:hAnsi="Arial" w:cs="Arial"/>
          <w:color w:val="000000"/>
          <w:sz w:val="20"/>
        </w:rPr>
      </w:pPr>
      <w:r>
        <w:rPr>
          <w:rFonts w:ascii="Arial" w:hAnsi="Arial" w:cs="Arial"/>
          <w:color w:val="000000"/>
          <w:sz w:val="20"/>
        </w:rPr>
        <w:t>Actively support the top management in the financial management of the organization</w:t>
      </w:r>
    </w:p>
    <w:p w:rsidR="00EC38A3" w:rsidRDefault="00EC38A3" w:rsidP="00EC38A3">
      <w:pPr>
        <w:tabs>
          <w:tab w:val="num" w:pos="720"/>
        </w:tabs>
        <w:rPr>
          <w:rFonts w:ascii="Arial" w:hAnsi="Arial" w:cs="Arial"/>
          <w:color w:val="000000"/>
          <w:sz w:val="20"/>
        </w:rPr>
      </w:pPr>
    </w:p>
    <w:p w:rsidR="00EC38A3" w:rsidRDefault="00EC38A3" w:rsidP="009874A6">
      <w:pPr>
        <w:numPr>
          <w:ilvl w:val="0"/>
          <w:numId w:val="70"/>
        </w:numPr>
        <w:tabs>
          <w:tab w:val="clear" w:pos="2160"/>
          <w:tab w:val="num" w:pos="360"/>
        </w:tabs>
        <w:ind w:left="360"/>
        <w:rPr>
          <w:rFonts w:ascii="Arial" w:hAnsi="Arial" w:cs="Arial"/>
          <w:color w:val="000000"/>
          <w:sz w:val="20"/>
        </w:rPr>
      </w:pPr>
      <w:r>
        <w:rPr>
          <w:rFonts w:ascii="Arial" w:hAnsi="Arial" w:cs="Arial"/>
          <w:color w:val="000000"/>
          <w:sz w:val="20"/>
        </w:rPr>
        <w:t>Design processes, develop methodologies and systems to improve on management reporting and management analysis for business performance improvement</w:t>
      </w:r>
    </w:p>
    <w:p w:rsidR="00EC38A3" w:rsidRDefault="00EC38A3" w:rsidP="00EC38A3">
      <w:pPr>
        <w:tabs>
          <w:tab w:val="num" w:pos="720"/>
        </w:tabs>
        <w:ind w:left="720" w:hanging="720"/>
        <w:rPr>
          <w:rFonts w:ascii="Arial" w:hAnsi="Arial" w:cs="Arial"/>
          <w:color w:val="000000"/>
          <w:sz w:val="20"/>
        </w:rPr>
      </w:pPr>
    </w:p>
    <w:p w:rsidR="00EC38A3" w:rsidRDefault="00EC38A3" w:rsidP="009874A6">
      <w:pPr>
        <w:numPr>
          <w:ilvl w:val="0"/>
          <w:numId w:val="70"/>
        </w:numPr>
        <w:tabs>
          <w:tab w:val="clear" w:pos="2160"/>
          <w:tab w:val="num" w:pos="360"/>
        </w:tabs>
        <w:ind w:left="360"/>
      </w:pPr>
      <w:r>
        <w:rPr>
          <w:rFonts w:ascii="Arial" w:hAnsi="Arial" w:cs="Arial"/>
          <w:color w:val="000000"/>
          <w:sz w:val="20"/>
        </w:rPr>
        <w:t>Provide management and external stakeholders with timely and accurate figure and easy-to-comprehend reporting</w:t>
      </w:r>
    </w:p>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8" w:name="_Toc144639492"/>
      <w:r w:rsidRPr="00D277A8">
        <w:rPr>
          <w:rFonts w:cs="Times New Roman"/>
          <w:bCs w:val="0"/>
          <w:color w:val="auto"/>
          <w:sz w:val="20"/>
          <w:szCs w:val="24"/>
        </w:rPr>
        <w:t>Credit Management</w:t>
      </w:r>
      <w:bookmarkEnd w:id="168"/>
    </w:p>
    <w:p w:rsidR="00EC38A3" w:rsidRPr="00EC38A3" w:rsidRDefault="00EC38A3" w:rsidP="009874A6">
      <w:pPr>
        <w:pStyle w:val="Cog-body"/>
        <w:numPr>
          <w:ilvl w:val="0"/>
          <w:numId w:val="73"/>
        </w:numPr>
        <w:tabs>
          <w:tab w:val="clear" w:pos="1800"/>
          <w:tab w:val="num" w:pos="360"/>
        </w:tabs>
        <w:spacing w:before="120" w:after="40" w:line="240" w:lineRule="auto"/>
        <w:ind w:left="360" w:right="29"/>
        <w:rPr>
          <w:szCs w:val="20"/>
        </w:rPr>
      </w:pPr>
      <w:r w:rsidRPr="00EC38A3">
        <w:t>The main functionalities of the Credit Management Team are the following -</w:t>
      </w:r>
      <w:r w:rsidRPr="00EC38A3">
        <w:rPr>
          <w:szCs w:val="20"/>
        </w:rPr>
        <w:t>Assessing Client’s Credit Risk</w:t>
      </w:r>
    </w:p>
    <w:p w:rsidR="00EC38A3" w:rsidRPr="00EC38A3" w:rsidRDefault="00EC38A3" w:rsidP="009874A6">
      <w:pPr>
        <w:pStyle w:val="Cog-body"/>
        <w:numPr>
          <w:ilvl w:val="0"/>
          <w:numId w:val="73"/>
        </w:numPr>
        <w:tabs>
          <w:tab w:val="clear" w:pos="1800"/>
          <w:tab w:val="num" w:pos="360"/>
        </w:tabs>
        <w:spacing w:before="120" w:after="40" w:line="240" w:lineRule="auto"/>
        <w:ind w:left="360" w:right="29"/>
        <w:rPr>
          <w:szCs w:val="20"/>
        </w:rPr>
      </w:pPr>
      <w:r w:rsidRPr="00EC38A3">
        <w:rPr>
          <w:szCs w:val="20"/>
        </w:rPr>
        <w:t>Collateral Management</w:t>
      </w:r>
    </w:p>
    <w:p w:rsidR="00EC38A3" w:rsidRPr="00EC38A3" w:rsidRDefault="00EC38A3" w:rsidP="009874A6">
      <w:pPr>
        <w:pStyle w:val="Cog-body"/>
        <w:numPr>
          <w:ilvl w:val="1"/>
          <w:numId w:val="73"/>
        </w:numPr>
        <w:tabs>
          <w:tab w:val="clear" w:pos="1440"/>
          <w:tab w:val="num" w:pos="720"/>
        </w:tabs>
        <w:spacing w:before="120" w:after="40" w:line="240" w:lineRule="auto"/>
        <w:ind w:left="720" w:right="29"/>
        <w:rPr>
          <w:szCs w:val="20"/>
        </w:rPr>
      </w:pPr>
      <w:r w:rsidRPr="00EC38A3">
        <w:rPr>
          <w:szCs w:val="20"/>
        </w:rPr>
        <w:t>Collateral Rating and Assignment of Loan-to-Value ratio</w:t>
      </w:r>
    </w:p>
    <w:p w:rsidR="00EC38A3" w:rsidRPr="00EC38A3" w:rsidRDefault="00EC38A3" w:rsidP="009874A6">
      <w:pPr>
        <w:pStyle w:val="Cog-body"/>
        <w:numPr>
          <w:ilvl w:val="1"/>
          <w:numId w:val="73"/>
        </w:numPr>
        <w:tabs>
          <w:tab w:val="clear" w:pos="1440"/>
          <w:tab w:val="num" w:pos="720"/>
        </w:tabs>
        <w:spacing w:before="120" w:after="40" w:line="240" w:lineRule="auto"/>
        <w:ind w:left="720" w:right="29"/>
        <w:rPr>
          <w:szCs w:val="20"/>
        </w:rPr>
      </w:pPr>
      <w:r w:rsidRPr="00EC38A3">
        <w:rPr>
          <w:szCs w:val="20"/>
        </w:rPr>
        <w:t>Collateral allocation rules, limit setup and monitoring</w:t>
      </w:r>
    </w:p>
    <w:p w:rsidR="00EC38A3" w:rsidRPr="00EC38A3" w:rsidRDefault="00EC38A3" w:rsidP="009874A6">
      <w:pPr>
        <w:pStyle w:val="Cog-body"/>
        <w:numPr>
          <w:ilvl w:val="1"/>
          <w:numId w:val="73"/>
        </w:numPr>
        <w:tabs>
          <w:tab w:val="clear" w:pos="1440"/>
          <w:tab w:val="num" w:pos="720"/>
        </w:tabs>
        <w:spacing w:before="120" w:after="40" w:line="240" w:lineRule="auto"/>
        <w:ind w:left="720" w:right="29"/>
        <w:rPr>
          <w:szCs w:val="20"/>
        </w:rPr>
      </w:pPr>
      <w:r w:rsidRPr="00EC38A3">
        <w:rPr>
          <w:szCs w:val="20"/>
        </w:rPr>
        <w:t xml:space="preserve">Deals with risk on the loans secured against marketable collateral. </w:t>
      </w:r>
      <w:proofErr w:type="gramStart"/>
      <w:r w:rsidRPr="00EC38A3">
        <w:rPr>
          <w:szCs w:val="20"/>
        </w:rPr>
        <w:t>For each marketable collateral</w:t>
      </w:r>
      <w:proofErr w:type="gramEnd"/>
      <w:r w:rsidRPr="00EC38A3">
        <w:rPr>
          <w:szCs w:val="20"/>
        </w:rPr>
        <w:t xml:space="preserve"> we set a Loan-to-Value (LTV) ratio, in other words the percentage at which rate the bank lends against such collateral.</w:t>
      </w:r>
    </w:p>
    <w:p w:rsidR="00EC38A3" w:rsidRPr="00EC38A3" w:rsidRDefault="00EC38A3" w:rsidP="009874A6">
      <w:pPr>
        <w:pStyle w:val="Cog-body"/>
        <w:numPr>
          <w:ilvl w:val="0"/>
          <w:numId w:val="73"/>
        </w:numPr>
        <w:tabs>
          <w:tab w:val="clear" w:pos="1800"/>
          <w:tab w:val="num" w:pos="360"/>
        </w:tabs>
        <w:spacing w:before="120" w:after="40" w:line="240" w:lineRule="auto"/>
        <w:ind w:left="360" w:right="29"/>
        <w:rPr>
          <w:szCs w:val="20"/>
        </w:rPr>
      </w:pPr>
      <w:r w:rsidRPr="00EC38A3">
        <w:rPr>
          <w:szCs w:val="20"/>
        </w:rPr>
        <w:t>Securities Lending</w:t>
      </w:r>
    </w:p>
    <w:p w:rsidR="00EC38A3" w:rsidRPr="00EC38A3" w:rsidRDefault="00EC38A3" w:rsidP="009874A6">
      <w:pPr>
        <w:pStyle w:val="Cog-body"/>
        <w:numPr>
          <w:ilvl w:val="0"/>
          <w:numId w:val="73"/>
        </w:numPr>
        <w:tabs>
          <w:tab w:val="clear" w:pos="1800"/>
          <w:tab w:val="num" w:pos="360"/>
        </w:tabs>
        <w:spacing w:before="120" w:after="40" w:line="240" w:lineRule="auto"/>
        <w:ind w:left="360" w:right="29"/>
      </w:pPr>
      <w:r w:rsidRPr="00EC38A3">
        <w:rPr>
          <w:szCs w:val="20"/>
        </w:rPr>
        <w:t>Structured Finance</w:t>
      </w:r>
    </w:p>
    <w:p w:rsidR="00EC38A3" w:rsidRPr="00EC38A3" w:rsidRDefault="00EC38A3" w:rsidP="009874A6">
      <w:pPr>
        <w:pStyle w:val="Cog-body"/>
        <w:numPr>
          <w:ilvl w:val="1"/>
          <w:numId w:val="73"/>
        </w:numPr>
        <w:tabs>
          <w:tab w:val="clear" w:pos="1440"/>
          <w:tab w:val="num" w:pos="720"/>
        </w:tabs>
        <w:spacing w:before="120" w:after="40" w:line="240" w:lineRule="auto"/>
        <w:ind w:left="720" w:right="29"/>
      </w:pPr>
      <w:r w:rsidRPr="00EC38A3">
        <w:rPr>
          <w:szCs w:val="20"/>
        </w:rPr>
        <w:t>Design and market products to meet requirements of certain customers who are looking for sophisticated, tailor made solutions, designed to solve certain specific financial objectives</w:t>
      </w:r>
    </w:p>
    <w:p w:rsidR="00EC38A3" w:rsidRPr="00D277A8" w:rsidRDefault="00EC38A3" w:rsidP="00EC38A3">
      <w:pPr>
        <w:pStyle w:val="Heading3"/>
        <w:numPr>
          <w:ilvl w:val="0"/>
          <w:numId w:val="0"/>
        </w:numPr>
        <w:spacing w:after="120"/>
        <w:ind w:right="29"/>
        <w:jc w:val="both"/>
        <w:rPr>
          <w:rFonts w:cs="Times New Roman"/>
          <w:bCs w:val="0"/>
          <w:color w:val="auto"/>
          <w:sz w:val="20"/>
          <w:szCs w:val="24"/>
        </w:rPr>
      </w:pPr>
      <w:bookmarkStart w:id="169" w:name="_Toc144639493"/>
      <w:r w:rsidRPr="00D277A8">
        <w:rPr>
          <w:rFonts w:cs="Times New Roman"/>
          <w:bCs w:val="0"/>
          <w:color w:val="auto"/>
          <w:sz w:val="20"/>
          <w:szCs w:val="24"/>
        </w:rPr>
        <w:t>Information Technology</w:t>
      </w:r>
      <w:bookmarkEnd w:id="169"/>
    </w:p>
    <w:p w:rsidR="00EC38A3" w:rsidRPr="00EC38A3" w:rsidRDefault="00EC38A3" w:rsidP="00EC38A3">
      <w:pPr>
        <w:pStyle w:val="Cog-body"/>
        <w:spacing w:before="120" w:line="240" w:lineRule="auto"/>
      </w:pPr>
      <w:r w:rsidRPr="00EC38A3">
        <w:t>In the typical IT units, the technology managers work with key business partners and sponsors while the technology teams work with Project managers above them.</w:t>
      </w:r>
    </w:p>
    <w:p w:rsidR="00EC38A3" w:rsidRPr="00EC38A3" w:rsidRDefault="00EC38A3" w:rsidP="00EC38A3">
      <w:pPr>
        <w:pStyle w:val="Cog-body"/>
        <w:spacing w:before="120" w:line="240" w:lineRule="auto"/>
      </w:pPr>
      <w:r w:rsidRPr="00EC38A3">
        <w:t>There are application development teams, Technology Help Desks, Technology Infrastructure Support in the form of DBA’s and UNIX SA’s and Business As Usual (BAU) support teams.</w:t>
      </w:r>
    </w:p>
    <w:p w:rsidR="005269DC" w:rsidRDefault="005269DC" w:rsidP="00E40E6B">
      <w:pPr>
        <w:shd w:val="clear" w:color="auto" w:fill="FFFFFF"/>
        <w:jc w:val="both"/>
        <w:rPr>
          <w:rFonts w:ascii="Arial" w:hAnsi="Arial" w:cs="Arial"/>
          <w:sz w:val="20"/>
          <w:szCs w:val="20"/>
        </w:rPr>
      </w:pPr>
    </w:p>
    <w:p w:rsidR="00F1607F" w:rsidRDefault="00F1607F" w:rsidP="00996439">
      <w:pPr>
        <w:pStyle w:val="Body1"/>
        <w:rPr>
          <w:rFonts w:cs="Arial"/>
        </w:rPr>
      </w:pPr>
    </w:p>
    <w:p w:rsidR="00F1607F" w:rsidRDefault="009A588F" w:rsidP="00996439">
      <w:pPr>
        <w:pStyle w:val="Body1"/>
        <w:rPr>
          <w:rFonts w:cs="Arial"/>
        </w:rPr>
      </w:pPr>
      <w:r>
        <w:rPr>
          <w:rFonts w:cs="Arial"/>
        </w:rPr>
        <w:br w:type="page"/>
      </w:r>
    </w:p>
    <w:p w:rsidR="00F1607F" w:rsidRDefault="009A588F" w:rsidP="009A588F">
      <w:pPr>
        <w:pStyle w:val="Heading2"/>
        <w:keepNext w:val="0"/>
        <w:spacing w:before="120" w:after="120" w:line="240" w:lineRule="atLeast"/>
        <w:ind w:left="0" w:firstLine="0"/>
        <w:jc w:val="both"/>
      </w:pPr>
      <w:bookmarkStart w:id="170" w:name="_Toc226530543"/>
      <w:r>
        <w:lastRenderedPageBreak/>
        <w:t>Key Processes</w:t>
      </w:r>
      <w:bookmarkEnd w:id="170"/>
    </w:p>
    <w:p w:rsidR="00810CCD" w:rsidRDefault="00810CCD" w:rsidP="00810CCD">
      <w:pPr>
        <w:pStyle w:val="Cog-body"/>
        <w:spacing w:line="240" w:lineRule="auto"/>
        <w:ind w:right="29"/>
      </w:pPr>
      <w:r>
        <w:t xml:space="preserve">A successful wealth management firm would have to carry out all the following activities efficiently to offer best services to its clientele. </w:t>
      </w:r>
    </w:p>
    <w:p w:rsidR="00810CCD" w:rsidRDefault="00810CCD" w:rsidP="00810CCD">
      <w:pPr>
        <w:pStyle w:val="Cog-body"/>
        <w:numPr>
          <w:ilvl w:val="0"/>
          <w:numId w:val="74"/>
        </w:numPr>
        <w:spacing w:before="40" w:after="40" w:line="240" w:lineRule="auto"/>
        <w:ind w:right="29"/>
      </w:pPr>
      <w:r>
        <w:t>Sales and Marketing / Client Prospecting</w:t>
      </w:r>
    </w:p>
    <w:p w:rsidR="00810CCD" w:rsidRDefault="00810CCD" w:rsidP="00810CCD">
      <w:pPr>
        <w:pStyle w:val="Cog-body"/>
        <w:numPr>
          <w:ilvl w:val="0"/>
          <w:numId w:val="74"/>
        </w:numPr>
        <w:spacing w:before="40" w:after="40" w:line="240" w:lineRule="auto"/>
        <w:ind w:right="29"/>
      </w:pPr>
      <w:r>
        <w:t>Client Management, Servicing and delivery</w:t>
      </w:r>
    </w:p>
    <w:p w:rsidR="00810CCD" w:rsidRDefault="00810CCD" w:rsidP="00810CCD">
      <w:pPr>
        <w:pStyle w:val="Cog-body"/>
        <w:numPr>
          <w:ilvl w:val="0"/>
          <w:numId w:val="74"/>
        </w:numPr>
        <w:spacing w:before="40" w:after="40" w:line="240" w:lineRule="auto"/>
        <w:ind w:right="29"/>
      </w:pPr>
      <w:r>
        <w:t>Client Profiling</w:t>
      </w:r>
    </w:p>
    <w:p w:rsidR="00810CCD" w:rsidRDefault="00810CCD" w:rsidP="00810CCD">
      <w:pPr>
        <w:pStyle w:val="Cog-body"/>
        <w:numPr>
          <w:ilvl w:val="0"/>
          <w:numId w:val="74"/>
        </w:numPr>
        <w:spacing w:before="40" w:after="40" w:line="240" w:lineRule="auto"/>
        <w:ind w:right="29"/>
      </w:pPr>
      <w:r>
        <w:t>Financial Planning and Portfolio Construction</w:t>
      </w:r>
    </w:p>
    <w:p w:rsidR="00810CCD" w:rsidRDefault="00810CCD" w:rsidP="00810CCD">
      <w:pPr>
        <w:pStyle w:val="Cog-body"/>
        <w:numPr>
          <w:ilvl w:val="0"/>
          <w:numId w:val="74"/>
        </w:numPr>
        <w:spacing w:before="40" w:after="40" w:line="240" w:lineRule="auto"/>
        <w:ind w:right="29"/>
      </w:pPr>
      <w:r>
        <w:t>Portfolio Analysis and Optimization</w:t>
      </w:r>
    </w:p>
    <w:p w:rsidR="00810CCD" w:rsidRDefault="00810CCD" w:rsidP="00810CCD">
      <w:pPr>
        <w:pStyle w:val="Cog-body"/>
        <w:numPr>
          <w:ilvl w:val="0"/>
          <w:numId w:val="74"/>
        </w:numPr>
        <w:spacing w:before="40" w:after="40" w:line="240" w:lineRule="auto"/>
        <w:ind w:right="29"/>
      </w:pPr>
      <w:r>
        <w:t>Order generation/execution and settlement.</w:t>
      </w:r>
    </w:p>
    <w:p w:rsidR="00810CCD" w:rsidRDefault="00810CCD" w:rsidP="00810CCD">
      <w:pPr>
        <w:pStyle w:val="Cog-body"/>
        <w:numPr>
          <w:ilvl w:val="0"/>
          <w:numId w:val="74"/>
        </w:numPr>
        <w:spacing w:before="40" w:after="40" w:line="240" w:lineRule="auto"/>
        <w:ind w:right="29"/>
      </w:pPr>
      <w:r>
        <w:t xml:space="preserve">Performance Tracking </w:t>
      </w:r>
    </w:p>
    <w:p w:rsidR="00810CCD" w:rsidRDefault="00810CCD" w:rsidP="00810CCD">
      <w:pPr>
        <w:pStyle w:val="Cog-body"/>
        <w:numPr>
          <w:ilvl w:val="0"/>
          <w:numId w:val="74"/>
        </w:numPr>
        <w:spacing w:before="40" w:after="40" w:line="240" w:lineRule="auto"/>
        <w:ind w:right="29"/>
      </w:pPr>
      <w:r>
        <w:t>Reporting</w:t>
      </w:r>
    </w:p>
    <w:p w:rsidR="00810CCD" w:rsidRDefault="00810CCD" w:rsidP="00810CCD">
      <w:pPr>
        <w:pStyle w:val="Cog-body"/>
        <w:numPr>
          <w:ilvl w:val="0"/>
          <w:numId w:val="74"/>
        </w:numPr>
        <w:spacing w:before="40" w:after="40" w:line="240" w:lineRule="auto"/>
        <w:ind w:right="29"/>
      </w:pPr>
      <w:r>
        <w:t>Risk Management</w:t>
      </w:r>
    </w:p>
    <w:p w:rsidR="00810CCD" w:rsidRDefault="00810CCD" w:rsidP="00810CCD">
      <w:pPr>
        <w:pStyle w:val="Cog-body"/>
        <w:numPr>
          <w:ilvl w:val="0"/>
          <w:numId w:val="74"/>
        </w:numPr>
        <w:spacing w:before="40" w:after="40" w:line="240" w:lineRule="auto"/>
        <w:ind w:right="29"/>
      </w:pPr>
      <w:r>
        <w:t>Credit Monitoring</w:t>
      </w:r>
    </w:p>
    <w:p w:rsidR="00810CCD" w:rsidRDefault="00FC0435" w:rsidP="00810CCD">
      <w:pPr>
        <w:pStyle w:val="Cog-body"/>
        <w:spacing w:line="240" w:lineRule="auto"/>
        <w:ind w:right="29"/>
      </w:pPr>
      <w:r>
        <w:rPr>
          <w:noProof/>
        </w:rPr>
        <w:pict>
          <v:rect id="_x0000_s1316" style="position:absolute;left:0;text-align:left;margin-left:90pt;margin-top:303.9pt;width:189pt;height:26.95pt;z-index:251659776" stroked="f">
            <v:stroke dashstyle="1 1" endcap="round"/>
            <v:textbox style="mso-next-textbox:#_x0000_s1316">
              <w:txbxContent>
                <w:p w:rsidR="002C3912" w:rsidRDefault="002C3912" w:rsidP="00810CCD">
                  <w:pPr>
                    <w:jc w:val="center"/>
                    <w:rPr>
                      <w:rFonts w:ascii="Arial" w:hAnsi="Arial" w:cs="Arial"/>
                      <w:b/>
                    </w:rPr>
                  </w:pPr>
                  <w:r>
                    <w:rPr>
                      <w:rFonts w:ascii="Arial" w:hAnsi="Arial" w:cs="Arial"/>
                      <w:b/>
                    </w:rPr>
                    <w:t>Entity - Process Diagram</w:t>
                  </w:r>
                </w:p>
              </w:txbxContent>
            </v:textbox>
          </v:rect>
        </w:pict>
      </w:r>
      <w:r w:rsidR="00C164AF">
        <w:rPr>
          <w:noProof/>
        </w:rPr>
        <w:drawing>
          <wp:anchor distT="0" distB="182880" distL="114300" distR="114300" simplePos="0" relativeHeight="251660800" behindDoc="0" locked="0" layoutInCell="1" allowOverlap="1">
            <wp:simplePos x="0" y="0"/>
            <wp:positionH relativeFrom="column">
              <wp:posOffset>0</wp:posOffset>
            </wp:positionH>
            <wp:positionV relativeFrom="paragraph">
              <wp:posOffset>716280</wp:posOffset>
            </wp:positionV>
            <wp:extent cx="5480685" cy="3028950"/>
            <wp:effectExtent l="19050" t="0" r="5715" b="0"/>
            <wp:wrapTopAndBottom/>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97" cstate="print"/>
                    <a:srcRect/>
                    <a:stretch>
                      <a:fillRect/>
                    </a:stretch>
                  </pic:blipFill>
                  <pic:spPr bwMode="auto">
                    <a:xfrm>
                      <a:off x="0" y="0"/>
                      <a:ext cx="5480685" cy="3028950"/>
                    </a:xfrm>
                    <a:prstGeom prst="rect">
                      <a:avLst/>
                    </a:prstGeom>
                    <a:noFill/>
                    <a:ln w="9525">
                      <a:noFill/>
                      <a:miter lim="800000"/>
                      <a:headEnd/>
                      <a:tailEnd/>
                    </a:ln>
                  </pic:spPr>
                </pic:pic>
              </a:graphicData>
            </a:graphic>
          </wp:anchor>
        </w:drawing>
      </w:r>
      <w:r w:rsidR="00810CCD">
        <w:t>A great deal of these processes have now been automated as a result of mass-proliferation of the web, new technologies etc. This has affected almost all departments and functions, particularly client servicing (CRM), Portfolio Analysis (proprietary and off-the-shelf models) etc.</w:t>
      </w:r>
    </w:p>
    <w:p w:rsidR="00810CCD" w:rsidRPr="007B25EE"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Heading3"/>
        <w:tabs>
          <w:tab w:val="clear" w:pos="6444"/>
          <w:tab w:val="num" w:pos="720"/>
        </w:tabs>
        <w:spacing w:after="120"/>
        <w:ind w:left="720" w:right="29" w:hanging="720"/>
        <w:jc w:val="both"/>
      </w:pPr>
      <w:bookmarkStart w:id="171" w:name="_Toc133314259"/>
      <w:bookmarkStart w:id="172" w:name="_Toc144639476"/>
      <w:bookmarkStart w:id="173" w:name="_Toc130356911"/>
      <w:bookmarkStart w:id="174" w:name="_Toc130375047"/>
      <w:r>
        <w:t>Client Prospecting</w:t>
      </w:r>
      <w:bookmarkEnd w:id="171"/>
      <w:bookmarkEnd w:id="172"/>
      <w:r>
        <w:t xml:space="preserve"> </w:t>
      </w:r>
      <w:bookmarkEnd w:id="173"/>
      <w:bookmarkEnd w:id="174"/>
    </w:p>
    <w:p w:rsidR="00810CCD" w:rsidRDefault="00810CCD" w:rsidP="00810CCD">
      <w:pPr>
        <w:pStyle w:val="Cog-body"/>
        <w:spacing w:line="240" w:lineRule="auto"/>
        <w:ind w:right="29"/>
      </w:pPr>
      <w:r>
        <w:t xml:space="preserve">Prospecting is the first step in the wealth Management process where the sales team tries to acquire new clients. Most of the new client acquisition happens through referrals.  The high level processes under Client Acquisition are as follows: </w:t>
      </w:r>
      <w:r>
        <w:tab/>
      </w:r>
    </w:p>
    <w:p w:rsidR="00810CCD" w:rsidRDefault="00810CCD" w:rsidP="00810CCD">
      <w:pPr>
        <w:pStyle w:val="Cog-body"/>
        <w:spacing w:line="240" w:lineRule="auto"/>
        <w:ind w:right="29"/>
      </w:pPr>
      <w:r>
        <w:rPr>
          <w:b/>
        </w:rPr>
        <w:t>Lead Management:</w:t>
      </w:r>
      <w:r>
        <w:t xml:space="preserve"> Lead Management is the process of managing the leads generated by marketing using various channels including cross-sell. Referrals </w:t>
      </w:r>
      <w:proofErr w:type="spellStart"/>
      <w:r>
        <w:t>form</w:t>
      </w:r>
      <w:proofErr w:type="spellEnd"/>
      <w:r>
        <w:t xml:space="preserve"> one of the key </w:t>
      </w:r>
      <w:r>
        <w:lastRenderedPageBreak/>
        <w:t>channels for new client acquisition. The referrals are typically associated with a specific wealth manager and are accordingly tracked to closure. Leads are distributed to advisors automatically through client-advisor matching tools.</w:t>
      </w:r>
    </w:p>
    <w:p w:rsidR="00810CCD" w:rsidRPr="001B6811" w:rsidRDefault="00810CCD" w:rsidP="00810CCD">
      <w:pPr>
        <w:pStyle w:val="Cog-body"/>
        <w:spacing w:line="240" w:lineRule="auto"/>
        <w:ind w:right="29"/>
        <w:rPr>
          <w:color w:val="FF0000"/>
        </w:rPr>
      </w:pPr>
      <w:r>
        <w:rPr>
          <w:b/>
        </w:rPr>
        <w:t>Pre-engagement activities:</w:t>
      </w:r>
      <w:r>
        <w:t xml:space="preserve"> This process involves the first instance of communication between consumer and the banker and is initiated by the sales team. </w:t>
      </w:r>
      <w:r w:rsidRPr="00B62EE1">
        <w:t>Standardized Client pitch books are used mailed over for the client’s perusal.</w:t>
      </w:r>
    </w:p>
    <w:p w:rsidR="00810CCD" w:rsidRDefault="00810CCD" w:rsidP="00810CCD">
      <w:pPr>
        <w:pStyle w:val="Cog-body"/>
        <w:spacing w:line="240" w:lineRule="auto"/>
        <w:ind w:right="29"/>
      </w:pPr>
      <w:r>
        <w:rPr>
          <w:b/>
        </w:rPr>
        <w:t>Meeting:</w:t>
      </w:r>
      <w:r>
        <w:t xml:space="preserve"> The banker meets the client at a mutually agreed place as per his previous communication with the client. The banker may be sent alerts / request that prompt him to schedule a courtesy phone call to confirm meeting, review agenda, and answer questions etc. </w:t>
      </w:r>
    </w:p>
    <w:p w:rsidR="00810CCD" w:rsidRDefault="00810CCD" w:rsidP="00810CCD">
      <w:pPr>
        <w:pStyle w:val="Heading3"/>
        <w:tabs>
          <w:tab w:val="clear" w:pos="6444"/>
          <w:tab w:val="num" w:pos="720"/>
        </w:tabs>
        <w:spacing w:after="120"/>
        <w:ind w:left="720" w:right="29" w:hanging="720"/>
        <w:jc w:val="both"/>
      </w:pPr>
      <w:bookmarkStart w:id="175" w:name="_Toc133314260"/>
      <w:bookmarkStart w:id="176" w:name="_Toc144639477"/>
      <w:r>
        <w:t>Client Servicing</w:t>
      </w:r>
      <w:bookmarkEnd w:id="175"/>
      <w:bookmarkEnd w:id="176"/>
    </w:p>
    <w:p w:rsidR="00810CCD" w:rsidRDefault="00810CCD" w:rsidP="00810CCD">
      <w:pPr>
        <w:pStyle w:val="Cog-body"/>
        <w:spacing w:line="240" w:lineRule="auto"/>
        <w:ind w:right="29"/>
      </w:pPr>
      <w:r>
        <w:t xml:space="preserve">Wealth management firms adopt a multi-disciplinary team approach to client servicing. The client servicing team consists of various members representing all aspects of wealth management. </w:t>
      </w:r>
    </w:p>
    <w:p w:rsidR="00810CCD" w:rsidRDefault="00810CCD" w:rsidP="00810CCD">
      <w:pPr>
        <w:pStyle w:val="Cog-body"/>
        <w:spacing w:line="240" w:lineRule="auto"/>
        <w:ind w:right="29"/>
      </w:pPr>
      <w:r>
        <w:t xml:space="preserve">The team is composed of the following </w:t>
      </w:r>
    </w:p>
    <w:p w:rsidR="00810CCD" w:rsidRDefault="00810CCD" w:rsidP="00810CCD">
      <w:pPr>
        <w:pStyle w:val="Cog-body"/>
        <w:numPr>
          <w:ilvl w:val="0"/>
          <w:numId w:val="74"/>
        </w:numPr>
        <w:spacing w:before="40" w:after="40" w:line="240" w:lineRule="auto"/>
        <w:ind w:right="29"/>
      </w:pPr>
      <w:r>
        <w:t>Relationship Manager / Banker - Oversees relationship providing strategic advice and access to specialists</w:t>
      </w:r>
    </w:p>
    <w:p w:rsidR="00810CCD" w:rsidRDefault="00810CCD" w:rsidP="00810CCD">
      <w:pPr>
        <w:pStyle w:val="Cog-body"/>
        <w:numPr>
          <w:ilvl w:val="0"/>
          <w:numId w:val="74"/>
        </w:numPr>
        <w:spacing w:before="40" w:after="40" w:line="240" w:lineRule="auto"/>
        <w:ind w:right="29"/>
      </w:pPr>
      <w:r>
        <w:t>Portfolio Manager - Invests in publicly-traded securities on a discretionary basis</w:t>
      </w:r>
    </w:p>
    <w:p w:rsidR="00810CCD" w:rsidRDefault="00810CCD" w:rsidP="00810CCD">
      <w:pPr>
        <w:pStyle w:val="Cog-body"/>
        <w:numPr>
          <w:ilvl w:val="0"/>
          <w:numId w:val="74"/>
        </w:numPr>
        <w:spacing w:before="40" w:after="40" w:line="240" w:lineRule="auto"/>
        <w:ind w:right="29"/>
      </w:pPr>
      <w:r>
        <w:t>Wealth Advisor - Develops strategies for acquiring, managing and transferring wealth</w:t>
      </w:r>
    </w:p>
    <w:p w:rsidR="00810CCD" w:rsidRDefault="00810CCD" w:rsidP="00810CCD">
      <w:pPr>
        <w:pStyle w:val="Cog-body"/>
        <w:numPr>
          <w:ilvl w:val="0"/>
          <w:numId w:val="74"/>
        </w:numPr>
        <w:spacing w:before="40" w:after="40" w:line="240" w:lineRule="auto"/>
        <w:ind w:right="29"/>
      </w:pPr>
      <w:r>
        <w:t>Fiduciary Specialist - As trustee or executor, efficiently manages trusts and estates</w:t>
      </w:r>
    </w:p>
    <w:p w:rsidR="00810CCD" w:rsidRDefault="00810CCD" w:rsidP="00810CCD">
      <w:pPr>
        <w:pStyle w:val="Cog-body"/>
        <w:numPr>
          <w:ilvl w:val="0"/>
          <w:numId w:val="74"/>
        </w:numPr>
        <w:spacing w:before="40" w:after="40" w:line="240" w:lineRule="auto"/>
        <w:ind w:right="29"/>
      </w:pPr>
      <w:r>
        <w:t>Credit Specialist - Customizes loans, typically on a secured basis</w:t>
      </w:r>
    </w:p>
    <w:p w:rsidR="00810CCD" w:rsidRDefault="00810CCD" w:rsidP="00810CCD">
      <w:pPr>
        <w:pStyle w:val="Cog-body"/>
        <w:numPr>
          <w:ilvl w:val="0"/>
          <w:numId w:val="74"/>
        </w:numPr>
        <w:spacing w:before="40" w:after="40" w:line="240" w:lineRule="auto"/>
        <w:ind w:right="29"/>
      </w:pPr>
      <w:r w:rsidRPr="00B62EE1">
        <w:t>Client</w:t>
      </w:r>
      <w:r>
        <w:t xml:space="preserve"> Service Specialist - Manages day-to-day administrative duties</w:t>
      </w:r>
    </w:p>
    <w:p w:rsidR="00810CCD" w:rsidRDefault="00810CCD" w:rsidP="00810CCD">
      <w:pPr>
        <w:pStyle w:val="Cog-body"/>
        <w:numPr>
          <w:ilvl w:val="0"/>
          <w:numId w:val="74"/>
        </w:numPr>
        <w:spacing w:before="40" w:after="40" w:line="240" w:lineRule="auto"/>
        <w:ind w:right="29"/>
      </w:pPr>
      <w:r>
        <w:t>Sales Trader - Provides security, derivative, and currency strategies and trade execution services for self directed investment portfolios</w:t>
      </w:r>
    </w:p>
    <w:p w:rsidR="00810CCD" w:rsidRPr="00B62EE1" w:rsidRDefault="00810CCD" w:rsidP="00810CCD">
      <w:pPr>
        <w:pStyle w:val="Cog-body"/>
        <w:numPr>
          <w:ilvl w:val="0"/>
          <w:numId w:val="74"/>
        </w:numPr>
        <w:spacing w:before="40" w:after="40" w:line="240" w:lineRule="auto"/>
        <w:ind w:right="29"/>
      </w:pPr>
      <w:r w:rsidRPr="00B62EE1">
        <w:t>Investment Specialists – Strategizing or formulating investment solutions/models for HNW Clients - Provide inputs to Bankers/Portfolio Managers/Fiduciary managers.</w:t>
      </w:r>
    </w:p>
    <w:p w:rsidR="00810CCD" w:rsidRDefault="00810CCD" w:rsidP="00810CCD">
      <w:pPr>
        <w:pStyle w:val="Cog-body"/>
        <w:spacing w:line="360" w:lineRule="auto"/>
        <w:ind w:left="360" w:right="29"/>
      </w:pPr>
    </w:p>
    <w:p w:rsidR="00810CCD" w:rsidRDefault="00810CCD" w:rsidP="00810CCD">
      <w:pPr>
        <w:pStyle w:val="Cog-body"/>
        <w:spacing w:line="360" w:lineRule="auto"/>
        <w:ind w:right="29"/>
      </w:pPr>
      <w:r>
        <w:t>The following figure depicts the relationship among the above team members:</w:t>
      </w:r>
    </w:p>
    <w:p w:rsidR="00810CCD" w:rsidRPr="00962C51" w:rsidRDefault="00C164AF" w:rsidP="00810CCD">
      <w:pPr>
        <w:pStyle w:val="Cog-body"/>
        <w:spacing w:line="360" w:lineRule="auto"/>
        <w:ind w:right="29"/>
      </w:pPr>
      <w:r>
        <w:rPr>
          <w:noProof/>
        </w:rPr>
        <w:drawing>
          <wp:anchor distT="0" distB="0" distL="114300" distR="114300" simplePos="0" relativeHeight="251661824" behindDoc="0" locked="0" layoutInCell="1" allowOverlap="1">
            <wp:simplePos x="0" y="0"/>
            <wp:positionH relativeFrom="column">
              <wp:posOffset>0</wp:posOffset>
            </wp:positionH>
            <wp:positionV relativeFrom="paragraph">
              <wp:posOffset>0</wp:posOffset>
            </wp:positionV>
            <wp:extent cx="5481320" cy="2692400"/>
            <wp:effectExtent l="19050" t="0" r="508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8" cstate="print"/>
                    <a:srcRect/>
                    <a:stretch>
                      <a:fillRect/>
                    </a:stretch>
                  </pic:blipFill>
                  <pic:spPr bwMode="auto">
                    <a:xfrm>
                      <a:off x="0" y="0"/>
                      <a:ext cx="5481320" cy="2692400"/>
                    </a:xfrm>
                    <a:prstGeom prst="rect">
                      <a:avLst/>
                    </a:prstGeom>
                    <a:noFill/>
                    <a:ln w="9525">
                      <a:noFill/>
                      <a:miter lim="800000"/>
                      <a:headEnd/>
                      <a:tailEnd/>
                    </a:ln>
                  </pic:spPr>
                </pic:pic>
              </a:graphicData>
            </a:graphic>
          </wp:anchor>
        </w:drawing>
      </w: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Cog-body"/>
        <w:spacing w:line="360" w:lineRule="auto"/>
        <w:ind w:right="29"/>
      </w:pPr>
    </w:p>
    <w:p w:rsidR="00810CCD" w:rsidRDefault="00810CCD" w:rsidP="00810CCD">
      <w:pPr>
        <w:pStyle w:val="Heading3"/>
        <w:tabs>
          <w:tab w:val="clear" w:pos="6444"/>
          <w:tab w:val="num" w:pos="720"/>
        </w:tabs>
        <w:spacing w:after="120"/>
        <w:ind w:left="720" w:right="29" w:hanging="720"/>
        <w:jc w:val="both"/>
      </w:pPr>
      <w:bookmarkStart w:id="177" w:name="_Toc133655913"/>
      <w:bookmarkStart w:id="178" w:name="_Toc133655914"/>
      <w:bookmarkStart w:id="179" w:name="_Toc133655915"/>
      <w:bookmarkStart w:id="180" w:name="_Toc133655916"/>
      <w:bookmarkStart w:id="181" w:name="_Toc133655917"/>
      <w:bookmarkStart w:id="182" w:name="_Toc133655918"/>
      <w:bookmarkStart w:id="183" w:name="_Toc133655919"/>
      <w:bookmarkStart w:id="184" w:name="_Toc133655920"/>
      <w:bookmarkStart w:id="185" w:name="_Toc133655921"/>
      <w:bookmarkStart w:id="186" w:name="_Toc133655922"/>
      <w:bookmarkStart w:id="187" w:name="_Toc133655923"/>
      <w:bookmarkStart w:id="188" w:name="_Toc133655924"/>
      <w:bookmarkStart w:id="189" w:name="_Toc133655925"/>
      <w:bookmarkStart w:id="190" w:name="_Toc133314261"/>
      <w:bookmarkStart w:id="191" w:name="_Toc144639478"/>
      <w:bookmarkStart w:id="192" w:name="_Toc130356912"/>
      <w:bookmarkStart w:id="193" w:name="_Toc130375048"/>
      <w:bookmarkEnd w:id="177"/>
      <w:bookmarkEnd w:id="178"/>
      <w:bookmarkEnd w:id="179"/>
      <w:bookmarkEnd w:id="180"/>
      <w:bookmarkEnd w:id="181"/>
      <w:bookmarkEnd w:id="182"/>
      <w:bookmarkEnd w:id="183"/>
      <w:bookmarkEnd w:id="184"/>
      <w:bookmarkEnd w:id="185"/>
      <w:bookmarkEnd w:id="186"/>
      <w:bookmarkEnd w:id="187"/>
      <w:bookmarkEnd w:id="188"/>
      <w:bookmarkEnd w:id="189"/>
      <w:r>
        <w:lastRenderedPageBreak/>
        <w:t>Client Profiling</w:t>
      </w:r>
      <w:bookmarkEnd w:id="190"/>
      <w:bookmarkEnd w:id="191"/>
    </w:p>
    <w:p w:rsidR="00810CCD" w:rsidRDefault="00810CCD" w:rsidP="00810CCD">
      <w:pPr>
        <w:pStyle w:val="Cog-body"/>
        <w:spacing w:line="240" w:lineRule="auto"/>
        <w:ind w:right="29"/>
      </w:pPr>
      <w:r>
        <w:t xml:space="preserve">One of the first steps in developing an investment strategy is to understand the client in terms of his risk tolerance and long term investment goals. This involves a detailed qualitative and quantitative analysis of the client. </w:t>
      </w:r>
    </w:p>
    <w:p w:rsidR="00810CCD" w:rsidRDefault="00810CCD" w:rsidP="00810CCD">
      <w:pPr>
        <w:pStyle w:val="Cog-body"/>
        <w:spacing w:line="240" w:lineRule="auto"/>
        <w:ind w:right="29"/>
      </w:pPr>
      <w:r>
        <w:t>The qualitative analysis consists of a customer profiling questionnaire followed by an interview process, with the aim of understanding the client’s lifestyle, family and legacy objectives.</w:t>
      </w:r>
    </w:p>
    <w:p w:rsidR="00810CCD" w:rsidRDefault="00810CCD" w:rsidP="00810CCD">
      <w:pPr>
        <w:pStyle w:val="Cog-body"/>
        <w:spacing w:line="240" w:lineRule="auto"/>
        <w:ind w:right="29"/>
      </w:pPr>
      <w:r>
        <w:t>The Quantitative Analysis delves deeply into the financial aspects of the client. Some of the areas covered under the analysis are as follows:</w:t>
      </w:r>
    </w:p>
    <w:p w:rsidR="00810CCD" w:rsidRDefault="00810CCD" w:rsidP="00810CCD">
      <w:pPr>
        <w:pStyle w:val="Cog-body"/>
        <w:numPr>
          <w:ilvl w:val="0"/>
          <w:numId w:val="74"/>
        </w:numPr>
        <w:spacing w:before="40" w:after="40" w:line="240" w:lineRule="auto"/>
        <w:ind w:right="29"/>
      </w:pPr>
      <w:r>
        <w:t xml:space="preserve">Cash Flow Analysis - The most important aspect of this review is to identify the client's lifestyle requirements and associated cash flows to maintain these in present and in the future. </w:t>
      </w:r>
    </w:p>
    <w:p w:rsidR="00810CCD" w:rsidRDefault="00810CCD" w:rsidP="00810CCD">
      <w:pPr>
        <w:pStyle w:val="Cog-body"/>
        <w:numPr>
          <w:ilvl w:val="0"/>
          <w:numId w:val="74"/>
        </w:numPr>
        <w:spacing w:before="40" w:after="40" w:line="240" w:lineRule="auto"/>
        <w:ind w:right="29"/>
      </w:pPr>
      <w:r>
        <w:t xml:space="preserve">Investment Portfolio Analysis - The advisor will conduct a comprehensive review of the client's investment holdings relative to stated objectives, income tax cash flow requirements and risk temperament. </w:t>
      </w:r>
    </w:p>
    <w:p w:rsidR="00810CCD" w:rsidRDefault="00810CCD" w:rsidP="00810CCD">
      <w:pPr>
        <w:pStyle w:val="Cog-body"/>
        <w:numPr>
          <w:ilvl w:val="0"/>
          <w:numId w:val="74"/>
        </w:numPr>
        <w:spacing w:before="40" w:after="40" w:line="240" w:lineRule="auto"/>
        <w:ind w:right="29"/>
      </w:pPr>
      <w:r>
        <w:t xml:space="preserve">Income Tax Analysis &amp; Planning - The advisor will examine recent personal income tax returns in order to better understand the sources of income and applicable taxes and to identify potential income tax reduction strategies. </w:t>
      </w:r>
    </w:p>
    <w:p w:rsidR="00810CCD" w:rsidRDefault="00810CCD" w:rsidP="00810CCD">
      <w:pPr>
        <w:pStyle w:val="Cog-body"/>
        <w:numPr>
          <w:ilvl w:val="0"/>
          <w:numId w:val="74"/>
        </w:numPr>
        <w:spacing w:before="40" w:after="40" w:line="240" w:lineRule="auto"/>
        <w:ind w:right="29"/>
      </w:pPr>
      <w:r>
        <w:t>Risk Management &amp; Asset Protection Analysis - The advisor will review the client's life, disability, health and liability insurance policies relative to the risk management objectives of the client.</w:t>
      </w:r>
    </w:p>
    <w:p w:rsidR="00810CCD" w:rsidRDefault="00810CCD" w:rsidP="00810CCD">
      <w:pPr>
        <w:pStyle w:val="Cog-body"/>
        <w:numPr>
          <w:ilvl w:val="0"/>
          <w:numId w:val="74"/>
        </w:numPr>
        <w:spacing w:before="40" w:after="40" w:line="240" w:lineRule="auto"/>
        <w:ind w:right="29"/>
      </w:pPr>
      <w:r>
        <w:t xml:space="preserve">Estate &amp; Legacy Planning - The advisor examines the client's wealth preservation and transfer documents so as to understand and confirm that consistency exists between the estate and legacy objectives of the client and these documents. </w:t>
      </w:r>
    </w:p>
    <w:p w:rsidR="00810CCD" w:rsidRDefault="00810CCD" w:rsidP="00810CCD">
      <w:pPr>
        <w:pStyle w:val="Cog-body"/>
        <w:spacing w:line="240" w:lineRule="auto"/>
        <w:ind w:right="29"/>
      </w:pPr>
      <w:r>
        <w:t>Based on the client profile arrived upon a client can be categorized, each of which has an associated asset allocation model, risk potential and return potential. A sample categorization of client portfolios may be as follows:</w:t>
      </w:r>
    </w:p>
    <w:p w:rsidR="00810CCD" w:rsidRDefault="00810CCD" w:rsidP="00810CCD">
      <w:pPr>
        <w:pStyle w:val="Cog-body"/>
        <w:numPr>
          <w:ilvl w:val="0"/>
          <w:numId w:val="74"/>
        </w:numPr>
        <w:spacing w:before="40" w:after="40" w:line="240" w:lineRule="auto"/>
        <w:ind w:right="29"/>
      </w:pPr>
      <w:r>
        <w:t>High risk / high return portfolio (80% equities and 20% debt)</w:t>
      </w:r>
    </w:p>
    <w:p w:rsidR="00810CCD" w:rsidRDefault="00810CCD" w:rsidP="00810CCD">
      <w:pPr>
        <w:pStyle w:val="Cog-body"/>
        <w:numPr>
          <w:ilvl w:val="0"/>
          <w:numId w:val="74"/>
        </w:numPr>
        <w:spacing w:before="40" w:after="40" w:line="240" w:lineRule="auto"/>
        <w:ind w:right="29"/>
      </w:pPr>
      <w:r>
        <w:t>Moderate risk / moderate return portfolio (60% equities and 40% debt)</w:t>
      </w:r>
    </w:p>
    <w:p w:rsidR="00810CCD" w:rsidRDefault="00810CCD" w:rsidP="00810CCD">
      <w:pPr>
        <w:pStyle w:val="Cog-body"/>
        <w:numPr>
          <w:ilvl w:val="0"/>
          <w:numId w:val="74"/>
        </w:numPr>
        <w:spacing w:before="40" w:after="40" w:line="240" w:lineRule="auto"/>
        <w:ind w:right="29"/>
      </w:pPr>
      <w:r>
        <w:t>Low risk / moderate return portfolio (20% equities and 80% debt)</w:t>
      </w:r>
    </w:p>
    <w:p w:rsidR="00810CCD" w:rsidRDefault="00810CCD" w:rsidP="00810CCD">
      <w:pPr>
        <w:pStyle w:val="Cog-body"/>
        <w:spacing w:line="240" w:lineRule="auto"/>
        <w:ind w:right="29"/>
      </w:pPr>
      <w:r>
        <w:t>Using different terminologies these portfolios can be called aggressive, balanced, and conservative.</w:t>
      </w:r>
    </w:p>
    <w:p w:rsidR="00810CCD" w:rsidRDefault="00810CCD" w:rsidP="00810CCD">
      <w:pPr>
        <w:pStyle w:val="Heading3"/>
        <w:tabs>
          <w:tab w:val="clear" w:pos="6444"/>
          <w:tab w:val="num" w:pos="720"/>
        </w:tabs>
        <w:spacing w:after="120"/>
        <w:ind w:left="720" w:right="29" w:hanging="720"/>
        <w:jc w:val="both"/>
      </w:pPr>
      <w:bookmarkStart w:id="194" w:name="_Toc133314262"/>
      <w:bookmarkStart w:id="195" w:name="_Toc144639479"/>
      <w:r>
        <w:t>Financial Planning and Portfolio Construction, Analysis and Optimization</w:t>
      </w:r>
      <w:bookmarkEnd w:id="194"/>
      <w:bookmarkEnd w:id="195"/>
    </w:p>
    <w:bookmarkEnd w:id="192"/>
    <w:bookmarkEnd w:id="193"/>
    <w:p w:rsidR="00810CCD" w:rsidRDefault="00810CCD" w:rsidP="00810CCD">
      <w:pPr>
        <w:pStyle w:val="Cog-body"/>
        <w:spacing w:line="240" w:lineRule="auto"/>
        <w:ind w:right="29"/>
      </w:pPr>
      <w:r>
        <w:t>A portfolio is constructed with the guiding principles like the clients objectives, asset allocation strategy, time horizon and the risk appetite. The portfolio incorporates client’s total investments including liquid and illiquid forms of assets.</w:t>
      </w:r>
    </w:p>
    <w:p w:rsidR="00810CCD" w:rsidRDefault="00810CCD" w:rsidP="00810CCD">
      <w:pPr>
        <w:pStyle w:val="Cog-body"/>
        <w:spacing w:line="240" w:lineRule="auto"/>
        <w:ind w:right="29"/>
      </w:pPr>
      <w:r>
        <w:t xml:space="preserve">The portfolio allocation is done with the aid of many analytical models / tools that seek to maximize the returns and minimize the risk associated with the portfolio. An efficient portfolio is defined as one that delivers maximum returns for a given level of risk. </w:t>
      </w:r>
      <w:r w:rsidRPr="008B00A1">
        <w:t>Eventually investment/ wealth plans for the HNW clients are prepared based on investment goals/objectives solicited from the client, analysis of the client’s</w:t>
      </w:r>
      <w:r>
        <w:t xml:space="preserve"> </w:t>
      </w:r>
      <w:r w:rsidRPr="008B00A1">
        <w:t>existing portfolio and tailoring of the available proprietary model portfolios per the client’s mandates</w:t>
      </w:r>
      <w:r>
        <w:t>.</w:t>
      </w:r>
    </w:p>
    <w:p w:rsidR="00810CCD" w:rsidRDefault="00810CCD" w:rsidP="00810CCD">
      <w:pPr>
        <w:pStyle w:val="Heading3"/>
        <w:tabs>
          <w:tab w:val="clear" w:pos="6444"/>
          <w:tab w:val="num" w:pos="720"/>
        </w:tabs>
        <w:spacing w:after="120"/>
        <w:ind w:left="720" w:right="29" w:hanging="720"/>
        <w:jc w:val="both"/>
      </w:pPr>
      <w:bookmarkStart w:id="196" w:name="_Toc130356914"/>
      <w:bookmarkStart w:id="197" w:name="_Toc130375050"/>
      <w:bookmarkStart w:id="198" w:name="_Toc133314263"/>
      <w:bookmarkStart w:id="199" w:name="_Toc144639480"/>
      <w:r>
        <w:lastRenderedPageBreak/>
        <w:t>Performance Tracking / Monitoring</w:t>
      </w:r>
      <w:bookmarkEnd w:id="196"/>
      <w:bookmarkEnd w:id="197"/>
      <w:bookmarkEnd w:id="198"/>
      <w:bookmarkEnd w:id="199"/>
      <w:r>
        <w:t xml:space="preserve"> </w:t>
      </w:r>
    </w:p>
    <w:p w:rsidR="00810CCD" w:rsidRDefault="00810CCD" w:rsidP="00810CCD">
      <w:pPr>
        <w:pStyle w:val="Cog-body"/>
        <w:spacing w:line="240" w:lineRule="auto"/>
        <w:ind w:right="29"/>
      </w:pPr>
      <w:r>
        <w:t xml:space="preserve">Wealth management is a cyclic process and involves regular review of the performance of the portfolio with respect to the objectives specified by the client. A client might have multiple accounts for different asset classes like funds, equities, insurance and real estate. A consolidated ‘Net worth Statement or </w:t>
      </w:r>
      <w:r w:rsidRPr="008B00A1">
        <w:t>Relationship Report</w:t>
      </w:r>
      <w:r>
        <w:t>’ of the client is maintained and monitored by the advisor. The advisor also keeps abreast with the latest market and economic trends through analytical research reports and market intelligence updates. Based on this information the present and future performance of the portfolio is reviewed.</w:t>
      </w:r>
    </w:p>
    <w:p w:rsidR="00810CCD" w:rsidRDefault="00810CCD" w:rsidP="00810CCD">
      <w:pPr>
        <w:pStyle w:val="Cog-body"/>
        <w:spacing w:line="240" w:lineRule="auto"/>
        <w:ind w:right="29"/>
      </w:pPr>
      <w:r>
        <w:t xml:space="preserve">The portfolio performance review assesses the portfolio on any of the following parameters: </w:t>
      </w:r>
    </w:p>
    <w:p w:rsidR="00810CCD" w:rsidRPr="008B00A1" w:rsidRDefault="00810CCD" w:rsidP="00810CCD">
      <w:pPr>
        <w:pStyle w:val="Cog-body"/>
        <w:numPr>
          <w:ilvl w:val="0"/>
          <w:numId w:val="74"/>
        </w:numPr>
        <w:spacing w:before="40" w:after="40" w:line="240" w:lineRule="auto"/>
        <w:ind w:right="29"/>
      </w:pPr>
      <w:r>
        <w:t xml:space="preserve">The return generated by the portfolio </w:t>
      </w:r>
      <w:r w:rsidRPr="008B00A1">
        <w:t>by asset class/sector/style/manager</w:t>
      </w:r>
      <w:r>
        <w:t xml:space="preserve"> relative to the objectives set by the client during the profiling process </w:t>
      </w:r>
      <w:r w:rsidRPr="008B00A1">
        <w:t>and in comparison to the relevant benchmarks.</w:t>
      </w:r>
    </w:p>
    <w:p w:rsidR="00810CCD" w:rsidRDefault="00810CCD" w:rsidP="00810CCD">
      <w:pPr>
        <w:pStyle w:val="Cog-body"/>
        <w:numPr>
          <w:ilvl w:val="0"/>
          <w:numId w:val="74"/>
        </w:numPr>
        <w:spacing w:before="40" w:after="40" w:line="240" w:lineRule="auto"/>
        <w:ind w:right="29"/>
      </w:pPr>
      <w:r>
        <w:t>Taxation - income tax relative to the acquisition or sale of financial assets and other investment activity and cash flow.</w:t>
      </w:r>
    </w:p>
    <w:p w:rsidR="00810CCD" w:rsidRDefault="00810CCD" w:rsidP="00810CCD">
      <w:pPr>
        <w:pStyle w:val="Cog-body"/>
        <w:numPr>
          <w:ilvl w:val="0"/>
          <w:numId w:val="74"/>
        </w:numPr>
        <w:spacing w:before="40" w:after="40" w:line="240" w:lineRule="auto"/>
        <w:ind w:right="29"/>
      </w:pPr>
      <w:r>
        <w:t>Risk Management / Asset Protection</w:t>
      </w:r>
    </w:p>
    <w:p w:rsidR="00810CCD" w:rsidRDefault="00810CCD" w:rsidP="00810CCD">
      <w:pPr>
        <w:pStyle w:val="Cog-body"/>
        <w:numPr>
          <w:ilvl w:val="0"/>
          <w:numId w:val="74"/>
        </w:numPr>
        <w:spacing w:before="40" w:after="40" w:line="240" w:lineRule="auto"/>
        <w:ind w:right="29"/>
      </w:pPr>
      <w:r>
        <w:t xml:space="preserve">Estate and Legacy Planning </w:t>
      </w:r>
    </w:p>
    <w:p w:rsidR="00810CCD" w:rsidRDefault="00810CCD" w:rsidP="00810CCD">
      <w:pPr>
        <w:pStyle w:val="Cog-body"/>
        <w:numPr>
          <w:ilvl w:val="0"/>
          <w:numId w:val="74"/>
        </w:numPr>
        <w:spacing w:before="40" w:after="40" w:line="240" w:lineRule="auto"/>
        <w:ind w:right="29"/>
      </w:pPr>
      <w:r>
        <w:t>Changing market dynamics and also changes in the client’s needs and lifestyle</w:t>
      </w:r>
    </w:p>
    <w:p w:rsidR="00810CCD" w:rsidRDefault="00810CCD" w:rsidP="00810CCD">
      <w:pPr>
        <w:pStyle w:val="Cog-body"/>
        <w:spacing w:line="240" w:lineRule="auto"/>
        <w:ind w:right="29"/>
      </w:pPr>
      <w:r>
        <w:t>The portfolio is reviewed and rebalanced, and then again the portfolio allocation techniques are applied to construct the most efficient portfolio.</w:t>
      </w:r>
    </w:p>
    <w:p w:rsidR="00810CCD" w:rsidRDefault="00810CCD" w:rsidP="00810CCD">
      <w:pPr>
        <w:pStyle w:val="Heading3"/>
        <w:tabs>
          <w:tab w:val="clear" w:pos="6444"/>
          <w:tab w:val="num" w:pos="720"/>
        </w:tabs>
        <w:spacing w:after="120"/>
        <w:ind w:left="720" w:right="29" w:hanging="720"/>
        <w:jc w:val="both"/>
      </w:pPr>
      <w:bookmarkStart w:id="200" w:name="_Toc133314264"/>
      <w:bookmarkStart w:id="201" w:name="_Toc144639481"/>
      <w:r>
        <w:t>Reporting</w:t>
      </w:r>
      <w:bookmarkEnd w:id="200"/>
      <w:bookmarkEnd w:id="201"/>
    </w:p>
    <w:p w:rsidR="00810CCD" w:rsidRDefault="00810CCD" w:rsidP="00810CCD">
      <w:pPr>
        <w:pStyle w:val="Cog-body"/>
        <w:spacing w:line="240" w:lineRule="auto"/>
        <w:ind w:right="29"/>
      </w:pPr>
      <w:r>
        <w:t>A High-quality client reporting adds substantial value to the banks’ client relationship. The classic bank statement focuses on asset holdings and investment activities like cash and security transactions. These detailed statements are very important for the clients’ confidence in the bank’s operations. As many investors today are well-educated, management information like performance- and risk-analysis are more and more requested.</w:t>
      </w:r>
    </w:p>
    <w:p w:rsidR="00810CCD" w:rsidRDefault="00810CCD" w:rsidP="00810CCD">
      <w:pPr>
        <w:pStyle w:val="Cog-body"/>
        <w:spacing w:line="240" w:lineRule="auto"/>
        <w:ind w:right="29"/>
      </w:pPr>
      <w:r>
        <w:t>The term “client reporting” refers to much more than a current statement of balances and recent transactions, which most banks and investment firms have provided via the Web for several years. Rather, client reporting includes the ability to analyze the client’s current position; review the top-performing and bottom-performing investments; prepare for any investments that may be maturing in the near future, such as bonds and CDs; and provide other value-added investment services. In addition, the investment adviser often includes some personal note or information about himself or herself to reinforce the personal relationship with the client.</w:t>
      </w:r>
    </w:p>
    <w:p w:rsidR="00810CCD" w:rsidRDefault="00810CCD" w:rsidP="00810CCD">
      <w:pPr>
        <w:pStyle w:val="Cog-body"/>
        <w:spacing w:line="240" w:lineRule="auto"/>
        <w:ind w:right="29"/>
      </w:pPr>
      <w:r>
        <w:t>Some of the typical reports which are generated in wealth management firms are the following</w:t>
      </w:r>
    </w:p>
    <w:p w:rsidR="00810CCD" w:rsidRPr="008B00A1" w:rsidRDefault="00810CCD" w:rsidP="00810CCD">
      <w:pPr>
        <w:pStyle w:val="Cog-body"/>
        <w:spacing w:line="240" w:lineRule="auto"/>
        <w:ind w:right="29"/>
      </w:pPr>
      <w:r>
        <w:rPr>
          <w:b/>
        </w:rPr>
        <w:t xml:space="preserve">Portfolio Return History: </w:t>
      </w:r>
      <w:r>
        <w:t xml:space="preserve">The portfolio history report provides a graphical and tabular snapshot of a client's results since inception (or since performance began being tracked). </w:t>
      </w:r>
      <w:r w:rsidRPr="008B00A1">
        <w:t>The return numbers are provided for both the discretionary AUM and non-discretionary assets under supervision.</w:t>
      </w:r>
    </w:p>
    <w:p w:rsidR="00810CCD" w:rsidRDefault="00810CCD" w:rsidP="00810CCD">
      <w:pPr>
        <w:pStyle w:val="Cog-body"/>
        <w:spacing w:line="240" w:lineRule="auto"/>
        <w:ind w:right="29"/>
        <w:rPr>
          <w:b/>
        </w:rPr>
      </w:pPr>
    </w:p>
    <w:p w:rsidR="00810CCD" w:rsidRDefault="00810CCD" w:rsidP="00810CCD">
      <w:pPr>
        <w:pStyle w:val="Cog-body"/>
        <w:spacing w:line="240" w:lineRule="auto"/>
        <w:ind w:right="29"/>
      </w:pPr>
      <w:r>
        <w:rPr>
          <w:b/>
        </w:rPr>
        <w:t xml:space="preserve">Account Level Review: </w:t>
      </w:r>
      <w:r>
        <w:t>The year to date portfolio results report breaks each portfolio (client household) down into its component accounts. Each account is compared to a market index that is representative of the securities in that account, and results are calculated on a year to date, inception to date, and annualized return basis.</w:t>
      </w:r>
    </w:p>
    <w:p w:rsidR="00810CCD" w:rsidRDefault="00810CCD" w:rsidP="00810CCD">
      <w:pPr>
        <w:pStyle w:val="Cog-body"/>
        <w:spacing w:line="240" w:lineRule="auto"/>
        <w:ind w:right="29"/>
      </w:pPr>
      <w:r>
        <w:lastRenderedPageBreak/>
        <w:t>The results from each account and the corresponding market indices are then rolled up to calculate a return and a customized benchmark for the entire portfolio. Again, the results are calculated on a year to date, inception to date, and annualized return basis.</w:t>
      </w:r>
    </w:p>
    <w:p w:rsidR="00810CCD" w:rsidRDefault="00810CCD" w:rsidP="00810CCD">
      <w:pPr>
        <w:pStyle w:val="Cog-body"/>
        <w:spacing w:line="240" w:lineRule="auto"/>
        <w:ind w:right="29"/>
      </w:pPr>
      <w:r>
        <w:rPr>
          <w:b/>
        </w:rPr>
        <w:t xml:space="preserve">Asset Allocation vs. Target; </w:t>
      </w:r>
      <w:r>
        <w:t>The current asset allocation report aids the financial advisor by quickly computing over and under weightings in a portfolio at an asset class and style/</w:t>
      </w:r>
      <w:r w:rsidRPr="008B00A1">
        <w:t xml:space="preserve">sector/security </w:t>
      </w:r>
      <w:r>
        <w:t>level. These weightings are compared to the target weighting which was agreed with the client. A size and style box compares the target vs. actual portfolio.</w:t>
      </w:r>
    </w:p>
    <w:p w:rsidR="00810CCD" w:rsidRDefault="00810CCD" w:rsidP="00810CCD">
      <w:pPr>
        <w:pStyle w:val="Cog-body"/>
        <w:spacing w:line="240" w:lineRule="auto"/>
        <w:ind w:right="29"/>
      </w:pPr>
      <w:r>
        <w:rPr>
          <w:b/>
        </w:rPr>
        <w:t xml:space="preserve">Historical Charting – Asset Allocation: </w:t>
      </w:r>
      <w:r>
        <w:t>The historical asset allocation report shows a historical view of asset class allocation at the end of each quarter. This report conveys to the client that his investment policy is being maintained and reinforces the concept of annual rebalancing.</w:t>
      </w:r>
    </w:p>
    <w:p w:rsidR="00810CCD" w:rsidRDefault="00810CCD" w:rsidP="00810CCD">
      <w:pPr>
        <w:pStyle w:val="Cog-body"/>
        <w:spacing w:line="240" w:lineRule="auto"/>
        <w:ind w:right="29"/>
      </w:pPr>
      <w:r>
        <w:rPr>
          <w:b/>
        </w:rPr>
        <w:t xml:space="preserve">Historical Charting - Portfolio Balance vs. Net Cash Flow: </w:t>
      </w:r>
      <w:r>
        <w:t>The historical balance vs. net cash flow report demonstrates a client's   deposit/withdrawal history versus the total portfolio value. The difference between the two sets of data is the portfolio increase due to market appreciation.</w:t>
      </w:r>
    </w:p>
    <w:p w:rsidR="00810CCD" w:rsidRDefault="00810CCD" w:rsidP="00810CCD">
      <w:pPr>
        <w:pStyle w:val="Cog-body"/>
        <w:spacing w:line="240" w:lineRule="auto"/>
        <w:ind w:right="29"/>
      </w:pPr>
      <w:r>
        <w:rPr>
          <w:b/>
        </w:rPr>
        <w:t xml:space="preserve">Market Line Analysis - Risk/Return </w:t>
      </w:r>
      <w:proofErr w:type="spellStart"/>
      <w:r>
        <w:rPr>
          <w:b/>
        </w:rPr>
        <w:t>Scattergram</w:t>
      </w:r>
      <w:proofErr w:type="spellEnd"/>
      <w:r>
        <w:rPr>
          <w:b/>
        </w:rPr>
        <w:t xml:space="preserve">: </w:t>
      </w:r>
      <w:r>
        <w:t xml:space="preserve">The risk / return </w:t>
      </w:r>
      <w:proofErr w:type="spellStart"/>
      <w:r>
        <w:t>scattergram</w:t>
      </w:r>
      <w:proofErr w:type="spellEnd"/>
      <w:r>
        <w:t xml:space="preserve"> is a visual tool allowing an advisor to view the risk of an individual account in relation to the entire portfolio and the customized benchmark. Annualized return is plotted on the y-axis, while the standard deviation (based on quarterly return values) is plotted on the x-axis.</w:t>
      </w:r>
    </w:p>
    <w:p w:rsidR="00810CCD" w:rsidRDefault="00810CCD" w:rsidP="00810CCD">
      <w:pPr>
        <w:pStyle w:val="Cog-body"/>
        <w:spacing w:line="240" w:lineRule="auto"/>
        <w:ind w:right="29"/>
      </w:pPr>
      <w:r>
        <w:rPr>
          <w:b/>
        </w:rPr>
        <w:t>Asset Allocation Review (</w:t>
      </w:r>
      <w:smartTag w:uri="urn:schemas-microsoft-com:office:smarttags" w:element="place">
        <w:r>
          <w:rPr>
            <w:b/>
          </w:rPr>
          <w:t>AAR</w:t>
        </w:r>
      </w:smartTag>
      <w:r>
        <w:rPr>
          <w:b/>
        </w:rPr>
        <w:t xml:space="preserve">): </w:t>
      </w:r>
      <w:r>
        <w:t xml:space="preserve">The asset allocation review is a template which allows the user to add and subtract values from a client’s current asset allocation to derive a new or ‘recommended’ portfolio. The </w:t>
      </w:r>
      <w:smartTag w:uri="urn:schemas-microsoft-com:office:smarttags" w:element="place">
        <w:r>
          <w:t>AAR</w:t>
        </w:r>
      </w:smartTag>
      <w:r>
        <w:t xml:space="preserve"> values may be extracted from an individual portfolio, or consolidated across an entire household.</w:t>
      </w:r>
    </w:p>
    <w:p w:rsidR="00810CCD" w:rsidRDefault="00810CCD" w:rsidP="00810CCD">
      <w:pPr>
        <w:pStyle w:val="Cog-body"/>
        <w:spacing w:line="240" w:lineRule="auto"/>
        <w:ind w:right="29"/>
      </w:pPr>
      <w:r>
        <w:rPr>
          <w:b/>
        </w:rPr>
        <w:t xml:space="preserve">Consolidated Balance Sheet: </w:t>
      </w:r>
      <w:r>
        <w:t>The consolidated balance sheet is a display of current asset allocation; all client portfolios are displayed, resulting in an overall asset allocation picture.</w:t>
      </w:r>
    </w:p>
    <w:p w:rsidR="00810CCD" w:rsidRDefault="00810CCD" w:rsidP="00810CCD">
      <w:pPr>
        <w:pStyle w:val="Cog-body"/>
        <w:spacing w:line="240" w:lineRule="auto"/>
        <w:ind w:right="29"/>
      </w:pPr>
      <w:r>
        <w:t xml:space="preserve">The asset allocation review is a template which allows the user to add and subtract values from a client’s current asset allocation to derive a new or ‘recommended’ portfolio. The </w:t>
      </w:r>
      <w:smartTag w:uri="urn:schemas-microsoft-com:office:smarttags" w:element="place">
        <w:r>
          <w:t>AAR</w:t>
        </w:r>
      </w:smartTag>
      <w:r>
        <w:t xml:space="preserve"> values may be extracted from an individual portfolio, or consolidated across an entire household.</w:t>
      </w:r>
    </w:p>
    <w:p w:rsidR="005871BD" w:rsidRPr="005871BD" w:rsidRDefault="005871BD" w:rsidP="005871BD">
      <w:pPr>
        <w:autoSpaceDE w:val="0"/>
        <w:autoSpaceDN w:val="0"/>
        <w:adjustRightInd w:val="0"/>
        <w:spacing w:line="287" w:lineRule="auto"/>
        <w:rPr>
          <w:rFonts w:ascii="Arial" w:hAnsi="Arial" w:cs="Arial"/>
          <w:color w:val="000000"/>
          <w:sz w:val="18"/>
          <w:szCs w:val="18"/>
        </w:rPr>
      </w:pPr>
    </w:p>
    <w:p w:rsidR="005871BD" w:rsidRDefault="005871BD" w:rsidP="005871BD">
      <w:pPr>
        <w:autoSpaceDE w:val="0"/>
        <w:autoSpaceDN w:val="0"/>
        <w:adjustRightInd w:val="0"/>
        <w:spacing w:line="287" w:lineRule="auto"/>
        <w:rPr>
          <w:rFonts w:ascii="Arial" w:hAnsi="Arial" w:cs="Arial"/>
          <w:b/>
          <w:bCs/>
          <w:color w:val="000000"/>
          <w:sz w:val="18"/>
          <w:szCs w:val="18"/>
        </w:rPr>
      </w:pPr>
    </w:p>
    <w:p w:rsidR="00B7043C" w:rsidRDefault="00B7043C" w:rsidP="00B7043C">
      <w:pPr>
        <w:pStyle w:val="Body1"/>
        <w:rPr>
          <w:rFonts w:cs="Arial"/>
        </w:rPr>
      </w:pPr>
      <w:r>
        <w:rPr>
          <w:rFonts w:cs="Arial"/>
        </w:rPr>
        <w:br w:type="page"/>
      </w:r>
    </w:p>
    <w:p w:rsidR="0040385F" w:rsidRPr="004B3BDF" w:rsidRDefault="0040385F" w:rsidP="0040385F">
      <w:pPr>
        <w:pStyle w:val="Heading1"/>
        <w:keepNext w:val="0"/>
        <w:pageBreakBefore w:val="0"/>
        <w:spacing w:before="120" w:after="120" w:line="240" w:lineRule="atLeast"/>
        <w:ind w:left="0" w:firstLine="0"/>
        <w:jc w:val="both"/>
      </w:pPr>
      <w:bookmarkStart w:id="202" w:name="_Toc203552347"/>
      <w:bookmarkStart w:id="203" w:name="_Toc203552511"/>
      <w:bookmarkStart w:id="204" w:name="_Toc203552651"/>
      <w:bookmarkStart w:id="205" w:name="_Toc203552792"/>
      <w:bookmarkStart w:id="206" w:name="_Toc203555074"/>
      <w:bookmarkStart w:id="207" w:name="_Toc203555748"/>
      <w:bookmarkStart w:id="208" w:name="_Toc203556139"/>
      <w:bookmarkStart w:id="209" w:name="_Toc203556280"/>
      <w:bookmarkStart w:id="210" w:name="_Toc203556421"/>
      <w:bookmarkStart w:id="211" w:name="_Toc203793764"/>
      <w:bookmarkStart w:id="212" w:name="_Toc203793912"/>
      <w:bookmarkStart w:id="213" w:name="_Toc203794331"/>
      <w:bookmarkStart w:id="214" w:name="_Toc203794661"/>
      <w:bookmarkStart w:id="215" w:name="_Toc203795215"/>
      <w:bookmarkStart w:id="216" w:name="_Toc203798843"/>
      <w:bookmarkStart w:id="217" w:name="_Toc204420304"/>
      <w:bookmarkStart w:id="218" w:name="_Toc203552349"/>
      <w:bookmarkStart w:id="219" w:name="_Toc203552513"/>
      <w:bookmarkStart w:id="220" w:name="_Toc203552653"/>
      <w:bookmarkStart w:id="221" w:name="_Toc203552794"/>
      <w:bookmarkStart w:id="222" w:name="_Toc203555076"/>
      <w:bookmarkStart w:id="223" w:name="_Toc203555750"/>
      <w:bookmarkStart w:id="224" w:name="_Toc203556141"/>
      <w:bookmarkStart w:id="225" w:name="_Toc203556282"/>
      <w:bookmarkStart w:id="226" w:name="_Toc203556423"/>
      <w:bookmarkStart w:id="227" w:name="_Toc203793766"/>
      <w:bookmarkStart w:id="228" w:name="_Toc203793914"/>
      <w:bookmarkStart w:id="229" w:name="_Toc203794333"/>
      <w:bookmarkStart w:id="230" w:name="_Toc203794663"/>
      <w:bookmarkStart w:id="231" w:name="_Toc203795217"/>
      <w:bookmarkStart w:id="232" w:name="_Toc203798845"/>
      <w:bookmarkStart w:id="233" w:name="_Toc204420306"/>
      <w:bookmarkStart w:id="234" w:name="_Toc203552140"/>
      <w:bookmarkStart w:id="235" w:name="_Toc203552378"/>
      <w:bookmarkStart w:id="236" w:name="_Toc203552542"/>
      <w:bookmarkStart w:id="237" w:name="_Toc203552682"/>
      <w:bookmarkStart w:id="238" w:name="_Toc203552823"/>
      <w:bookmarkStart w:id="239" w:name="_Toc203555105"/>
      <w:bookmarkStart w:id="240" w:name="_Toc203555779"/>
      <w:bookmarkStart w:id="241" w:name="_Toc203556170"/>
      <w:bookmarkStart w:id="242" w:name="_Toc203556311"/>
      <w:bookmarkStart w:id="243" w:name="_Toc203556452"/>
      <w:bookmarkStart w:id="244" w:name="_Toc203793795"/>
      <w:bookmarkStart w:id="245" w:name="_Toc203793943"/>
      <w:bookmarkStart w:id="246" w:name="_Toc203794362"/>
      <w:bookmarkStart w:id="247" w:name="_Toc203794692"/>
      <w:bookmarkStart w:id="248" w:name="_Toc203795246"/>
      <w:bookmarkStart w:id="249" w:name="_Toc203798874"/>
      <w:bookmarkStart w:id="250" w:name="_Toc204420335"/>
      <w:bookmarkStart w:id="251" w:name="_Toc203540759"/>
      <w:bookmarkStart w:id="252" w:name="_Toc203549819"/>
      <w:bookmarkStart w:id="253" w:name="_Toc203549984"/>
      <w:bookmarkStart w:id="254" w:name="_Toc203551691"/>
      <w:bookmarkStart w:id="255" w:name="_Toc203552143"/>
      <w:bookmarkStart w:id="256" w:name="_Toc203552381"/>
      <w:bookmarkStart w:id="257" w:name="_Toc203552545"/>
      <w:bookmarkStart w:id="258" w:name="_Toc203552686"/>
      <w:bookmarkStart w:id="259" w:name="_Toc203552827"/>
      <w:bookmarkStart w:id="260" w:name="_Toc203555109"/>
      <w:bookmarkStart w:id="261" w:name="_Toc203555783"/>
      <w:bookmarkStart w:id="262" w:name="_Toc203556174"/>
      <w:bookmarkStart w:id="263" w:name="_Toc203556315"/>
      <w:bookmarkStart w:id="264" w:name="_Toc203556456"/>
      <w:bookmarkStart w:id="265" w:name="_Toc203793799"/>
      <w:bookmarkStart w:id="266" w:name="_Toc203793947"/>
      <w:bookmarkStart w:id="267" w:name="_Toc203794366"/>
      <w:bookmarkStart w:id="268" w:name="_Toc203794696"/>
      <w:bookmarkStart w:id="269" w:name="_Toc203795250"/>
      <w:bookmarkStart w:id="270" w:name="_Toc203798878"/>
      <w:bookmarkStart w:id="271" w:name="_Toc204420339"/>
      <w:bookmarkStart w:id="272" w:name="_Toc203540760"/>
      <w:bookmarkStart w:id="273" w:name="_Toc203549820"/>
      <w:bookmarkStart w:id="274" w:name="_Toc203549985"/>
      <w:bookmarkStart w:id="275" w:name="_Toc203551692"/>
      <w:bookmarkStart w:id="276" w:name="_Toc203552144"/>
      <w:bookmarkStart w:id="277" w:name="_Toc203552382"/>
      <w:bookmarkStart w:id="278" w:name="_Toc203552546"/>
      <w:bookmarkStart w:id="279" w:name="_Toc203552687"/>
      <w:bookmarkStart w:id="280" w:name="_Toc203552828"/>
      <w:bookmarkStart w:id="281" w:name="_Toc203555110"/>
      <w:bookmarkStart w:id="282" w:name="_Toc203555784"/>
      <w:bookmarkStart w:id="283" w:name="_Toc203556175"/>
      <w:bookmarkStart w:id="284" w:name="_Toc203556316"/>
      <w:bookmarkStart w:id="285" w:name="_Toc203556457"/>
      <w:bookmarkStart w:id="286" w:name="_Toc203793800"/>
      <w:bookmarkStart w:id="287" w:name="_Toc203793948"/>
      <w:bookmarkStart w:id="288" w:name="_Toc203794367"/>
      <w:bookmarkStart w:id="289" w:name="_Toc203794697"/>
      <w:bookmarkStart w:id="290" w:name="_Toc203795251"/>
      <w:bookmarkStart w:id="291" w:name="_Toc203798879"/>
      <w:bookmarkStart w:id="292" w:name="_Toc204420340"/>
      <w:bookmarkStart w:id="293" w:name="_Toc203540761"/>
      <w:bookmarkStart w:id="294" w:name="_Toc203549821"/>
      <w:bookmarkStart w:id="295" w:name="_Toc203549986"/>
      <w:bookmarkStart w:id="296" w:name="_Toc203551693"/>
      <w:bookmarkStart w:id="297" w:name="_Toc203552145"/>
      <w:bookmarkStart w:id="298" w:name="_Toc203552383"/>
      <w:bookmarkStart w:id="299" w:name="_Toc203552547"/>
      <w:bookmarkStart w:id="300" w:name="_Toc203552688"/>
      <w:bookmarkStart w:id="301" w:name="_Toc203552829"/>
      <w:bookmarkStart w:id="302" w:name="_Toc203555111"/>
      <w:bookmarkStart w:id="303" w:name="_Toc203555785"/>
      <w:bookmarkStart w:id="304" w:name="_Toc203556176"/>
      <w:bookmarkStart w:id="305" w:name="_Toc203556317"/>
      <w:bookmarkStart w:id="306" w:name="_Toc203556458"/>
      <w:bookmarkStart w:id="307" w:name="_Toc203793801"/>
      <w:bookmarkStart w:id="308" w:name="_Toc203793949"/>
      <w:bookmarkStart w:id="309" w:name="_Toc203794368"/>
      <w:bookmarkStart w:id="310" w:name="_Toc203794698"/>
      <w:bookmarkStart w:id="311" w:name="_Toc203795252"/>
      <w:bookmarkStart w:id="312" w:name="_Toc203798880"/>
      <w:bookmarkStart w:id="313" w:name="_Toc204420341"/>
      <w:bookmarkStart w:id="314" w:name="_Toc203540762"/>
      <w:bookmarkStart w:id="315" w:name="_Toc203549822"/>
      <w:bookmarkStart w:id="316" w:name="_Toc203549987"/>
      <w:bookmarkStart w:id="317" w:name="_Toc203551694"/>
      <w:bookmarkStart w:id="318" w:name="_Toc203552146"/>
      <w:bookmarkStart w:id="319" w:name="_Toc203552384"/>
      <w:bookmarkStart w:id="320" w:name="_Toc203552548"/>
      <w:bookmarkStart w:id="321" w:name="_Toc203552689"/>
      <w:bookmarkStart w:id="322" w:name="_Toc203552830"/>
      <w:bookmarkStart w:id="323" w:name="_Toc203555112"/>
      <w:bookmarkStart w:id="324" w:name="_Toc203555786"/>
      <w:bookmarkStart w:id="325" w:name="_Toc203556177"/>
      <w:bookmarkStart w:id="326" w:name="_Toc203556318"/>
      <w:bookmarkStart w:id="327" w:name="_Toc203556459"/>
      <w:bookmarkStart w:id="328" w:name="_Toc203793802"/>
      <w:bookmarkStart w:id="329" w:name="_Toc203793950"/>
      <w:bookmarkStart w:id="330" w:name="_Toc203794369"/>
      <w:bookmarkStart w:id="331" w:name="_Toc203794699"/>
      <w:bookmarkStart w:id="332" w:name="_Toc203795253"/>
      <w:bookmarkStart w:id="333" w:name="_Toc203798881"/>
      <w:bookmarkStart w:id="334" w:name="_Toc204420342"/>
      <w:bookmarkStart w:id="335" w:name="_Toc203540763"/>
      <w:bookmarkStart w:id="336" w:name="_Toc203549823"/>
      <w:bookmarkStart w:id="337" w:name="_Toc203549988"/>
      <w:bookmarkStart w:id="338" w:name="_Toc203551695"/>
      <w:bookmarkStart w:id="339" w:name="_Toc203552147"/>
      <w:bookmarkStart w:id="340" w:name="_Toc203552385"/>
      <w:bookmarkStart w:id="341" w:name="_Toc203552549"/>
      <w:bookmarkStart w:id="342" w:name="_Toc203552690"/>
      <w:bookmarkStart w:id="343" w:name="_Toc203552831"/>
      <w:bookmarkStart w:id="344" w:name="_Toc203555113"/>
      <w:bookmarkStart w:id="345" w:name="_Toc203555787"/>
      <w:bookmarkStart w:id="346" w:name="_Toc203556178"/>
      <w:bookmarkStart w:id="347" w:name="_Toc203556319"/>
      <w:bookmarkStart w:id="348" w:name="_Toc203556460"/>
      <w:bookmarkStart w:id="349" w:name="_Toc203793803"/>
      <w:bookmarkStart w:id="350" w:name="_Toc203793951"/>
      <w:bookmarkStart w:id="351" w:name="_Toc203794370"/>
      <w:bookmarkStart w:id="352" w:name="_Toc203794700"/>
      <w:bookmarkStart w:id="353" w:name="_Toc203795254"/>
      <w:bookmarkStart w:id="354" w:name="_Toc203798882"/>
      <w:bookmarkStart w:id="355" w:name="_Toc204420343"/>
      <w:bookmarkStart w:id="356" w:name="_Toc203540764"/>
      <w:bookmarkStart w:id="357" w:name="_Toc203549824"/>
      <w:bookmarkStart w:id="358" w:name="_Toc203549989"/>
      <w:bookmarkStart w:id="359" w:name="_Toc203551696"/>
      <w:bookmarkStart w:id="360" w:name="_Toc203552148"/>
      <w:bookmarkStart w:id="361" w:name="_Toc203552386"/>
      <w:bookmarkStart w:id="362" w:name="_Toc203552550"/>
      <w:bookmarkStart w:id="363" w:name="_Toc203552691"/>
      <w:bookmarkStart w:id="364" w:name="_Toc203552832"/>
      <w:bookmarkStart w:id="365" w:name="_Toc203555114"/>
      <w:bookmarkStart w:id="366" w:name="_Toc203555788"/>
      <w:bookmarkStart w:id="367" w:name="_Toc203556179"/>
      <w:bookmarkStart w:id="368" w:name="_Toc203556320"/>
      <w:bookmarkStart w:id="369" w:name="_Toc203556461"/>
      <w:bookmarkStart w:id="370" w:name="_Toc203793804"/>
      <w:bookmarkStart w:id="371" w:name="_Toc203793952"/>
      <w:bookmarkStart w:id="372" w:name="_Toc203794371"/>
      <w:bookmarkStart w:id="373" w:name="_Toc203794701"/>
      <w:bookmarkStart w:id="374" w:name="_Toc203795255"/>
      <w:bookmarkStart w:id="375" w:name="_Toc203798883"/>
      <w:bookmarkStart w:id="376" w:name="_Toc204420344"/>
      <w:bookmarkStart w:id="377" w:name="_Toc203540765"/>
      <w:bookmarkStart w:id="378" w:name="_Toc203549825"/>
      <w:bookmarkStart w:id="379" w:name="_Toc203549990"/>
      <w:bookmarkStart w:id="380" w:name="_Toc203551697"/>
      <w:bookmarkStart w:id="381" w:name="_Toc203552149"/>
      <w:bookmarkStart w:id="382" w:name="_Toc203552387"/>
      <w:bookmarkStart w:id="383" w:name="_Toc203552551"/>
      <w:bookmarkStart w:id="384" w:name="_Toc203552692"/>
      <w:bookmarkStart w:id="385" w:name="_Toc203552833"/>
      <w:bookmarkStart w:id="386" w:name="_Toc203555115"/>
      <w:bookmarkStart w:id="387" w:name="_Toc203555789"/>
      <w:bookmarkStart w:id="388" w:name="_Toc203556180"/>
      <w:bookmarkStart w:id="389" w:name="_Toc203556321"/>
      <w:bookmarkStart w:id="390" w:name="_Toc203556462"/>
      <w:bookmarkStart w:id="391" w:name="_Toc203793805"/>
      <w:bookmarkStart w:id="392" w:name="_Toc203793953"/>
      <w:bookmarkStart w:id="393" w:name="_Toc203794372"/>
      <w:bookmarkStart w:id="394" w:name="_Toc203794702"/>
      <w:bookmarkStart w:id="395" w:name="_Toc203795256"/>
      <w:bookmarkStart w:id="396" w:name="_Toc203798884"/>
      <w:bookmarkStart w:id="397" w:name="_Toc204420345"/>
      <w:bookmarkStart w:id="398" w:name="_Toc203540766"/>
      <w:bookmarkStart w:id="399" w:name="_Toc203549826"/>
      <w:bookmarkStart w:id="400" w:name="_Toc203549991"/>
      <w:bookmarkStart w:id="401" w:name="_Toc203551698"/>
      <w:bookmarkStart w:id="402" w:name="_Toc203552150"/>
      <w:bookmarkStart w:id="403" w:name="_Toc203552388"/>
      <w:bookmarkStart w:id="404" w:name="_Toc203552552"/>
      <w:bookmarkStart w:id="405" w:name="_Toc203552693"/>
      <w:bookmarkStart w:id="406" w:name="_Toc203552834"/>
      <w:bookmarkStart w:id="407" w:name="_Toc203555116"/>
      <w:bookmarkStart w:id="408" w:name="_Toc203555790"/>
      <w:bookmarkStart w:id="409" w:name="_Toc203556181"/>
      <w:bookmarkStart w:id="410" w:name="_Toc203556322"/>
      <w:bookmarkStart w:id="411" w:name="_Toc203556463"/>
      <w:bookmarkStart w:id="412" w:name="_Toc203793806"/>
      <w:bookmarkStart w:id="413" w:name="_Toc203793954"/>
      <w:bookmarkStart w:id="414" w:name="_Toc203794373"/>
      <w:bookmarkStart w:id="415" w:name="_Toc203794703"/>
      <w:bookmarkStart w:id="416" w:name="_Toc203795257"/>
      <w:bookmarkStart w:id="417" w:name="_Toc203798885"/>
      <w:bookmarkStart w:id="418" w:name="_Toc204420346"/>
      <w:bookmarkStart w:id="419" w:name="_Toc203540767"/>
      <w:bookmarkStart w:id="420" w:name="_Toc203549827"/>
      <w:bookmarkStart w:id="421" w:name="_Toc203549992"/>
      <w:bookmarkStart w:id="422" w:name="_Toc203551699"/>
      <w:bookmarkStart w:id="423" w:name="_Toc203552151"/>
      <w:bookmarkStart w:id="424" w:name="_Toc203552389"/>
      <w:bookmarkStart w:id="425" w:name="_Toc203552553"/>
      <w:bookmarkStart w:id="426" w:name="_Toc203552694"/>
      <w:bookmarkStart w:id="427" w:name="_Toc203552835"/>
      <w:bookmarkStart w:id="428" w:name="_Toc203555117"/>
      <w:bookmarkStart w:id="429" w:name="_Toc203555791"/>
      <w:bookmarkStart w:id="430" w:name="_Toc203556182"/>
      <w:bookmarkStart w:id="431" w:name="_Toc203556323"/>
      <w:bookmarkStart w:id="432" w:name="_Toc203556464"/>
      <w:bookmarkStart w:id="433" w:name="_Toc203793807"/>
      <w:bookmarkStart w:id="434" w:name="_Toc203793955"/>
      <w:bookmarkStart w:id="435" w:name="_Toc203794374"/>
      <w:bookmarkStart w:id="436" w:name="_Toc203794704"/>
      <w:bookmarkStart w:id="437" w:name="_Toc203795258"/>
      <w:bookmarkStart w:id="438" w:name="_Toc203798886"/>
      <w:bookmarkStart w:id="439" w:name="_Toc204420347"/>
      <w:bookmarkStart w:id="440" w:name="_Toc199669383"/>
      <w:bookmarkStart w:id="441" w:name="_Toc226530544"/>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r w:rsidRPr="004B3BDF">
        <w:lastRenderedPageBreak/>
        <w:t>Institutional Asset Management</w:t>
      </w:r>
      <w:bookmarkEnd w:id="440"/>
      <w:bookmarkEnd w:id="441"/>
      <w:r w:rsidRPr="004B3BDF">
        <w:t xml:space="preserve"> </w:t>
      </w:r>
    </w:p>
    <w:p w:rsidR="0040385F" w:rsidRPr="004B3BDF" w:rsidRDefault="0040385F" w:rsidP="0040385F">
      <w:pPr>
        <w:pStyle w:val="Heading2"/>
        <w:keepNext w:val="0"/>
        <w:spacing w:before="120" w:after="120" w:line="240" w:lineRule="atLeast"/>
        <w:ind w:left="0" w:firstLine="0"/>
        <w:jc w:val="both"/>
      </w:pPr>
      <w:bookmarkStart w:id="442" w:name="_Toc199669384"/>
      <w:bookmarkStart w:id="443" w:name="_Toc226530545"/>
      <w:r w:rsidRPr="004B3BDF">
        <w:t>Introduction</w:t>
      </w:r>
      <w:bookmarkEnd w:id="442"/>
      <w:bookmarkEnd w:id="443"/>
    </w:p>
    <w:p w:rsidR="001F2978" w:rsidRPr="001F2978" w:rsidRDefault="001F2978" w:rsidP="001F2978">
      <w:pPr>
        <w:pStyle w:val="NormalJustified"/>
        <w:rPr>
          <w:bCs/>
          <w:color w:val="000000"/>
        </w:rPr>
      </w:pPr>
      <w:r w:rsidRPr="001F2978">
        <w:t xml:space="preserve">Institutional asset management (IAM) is a service involving managing an investment portfolio (bonds, equities, property) on behalf of a group of clients (corporation, insurance firm or pension fund). The growth of the institutional asset management industry over recent years is a key feature of ongoing structural changes in the financial system, with the importance of the industry readily apparent from size of the assets under management by different institutional asset managers. At the core of any institutional asset management relationship is a pool of assets, the returns of which are shared by the principal owners of these assets and the professionals that have been hired to manage the portfolio. Depending on the risk appetite and return requirement of the institutional investors, the asset management firms offer a broad range of sophisticated strategies and investment solutions for institutions, intermediaries. In recent years, institutional investors have increasingly delegated the management of their investment portfolios to institutional asset managers. The scale of such delegated investing and its development over time are evident from the growth in the size of assets under management by different types of institutional investors across various countries. This has been growing continually for all the countries, though at a different rate. Moreover, such demographic trends can be expected to sustain the industry’s growth well into the future. The revenue generated by Institutional Asset Managers follows the fee-based revenue model. The various fees and expenses that make up the revenue for an IAM firm are Investment Advisory Fees, </w:t>
      </w:r>
      <w:r w:rsidRPr="001F2978">
        <w:rPr>
          <w:color w:val="000000"/>
        </w:rPr>
        <w:t xml:space="preserve">Administrative Expenses, </w:t>
      </w:r>
      <w:r w:rsidRPr="001F2978">
        <w:rPr>
          <w:bCs/>
          <w:color w:val="000000"/>
        </w:rPr>
        <w:t xml:space="preserve">Investment Fees, </w:t>
      </w:r>
      <w:r w:rsidRPr="001F2978">
        <w:rPr>
          <w:color w:val="000000"/>
        </w:rPr>
        <w:t xml:space="preserve">Sales Charges, </w:t>
      </w:r>
      <w:r w:rsidRPr="001F2978">
        <w:rPr>
          <w:bCs/>
          <w:color w:val="000000"/>
        </w:rPr>
        <w:t>Individual Service Fees, and Variable Annuities.</w:t>
      </w:r>
    </w:p>
    <w:p w:rsidR="001F2978" w:rsidRPr="001F2978" w:rsidRDefault="001F2978" w:rsidP="001F2978">
      <w:pPr>
        <w:autoSpaceDE w:val="0"/>
        <w:autoSpaceDN w:val="0"/>
        <w:adjustRightInd w:val="0"/>
        <w:spacing w:line="300" w:lineRule="exact"/>
        <w:jc w:val="both"/>
        <w:rPr>
          <w:rFonts w:ascii="Arial" w:hAnsi="Arial" w:cs="Arial"/>
          <w:sz w:val="20"/>
          <w:szCs w:val="20"/>
        </w:rPr>
      </w:pPr>
    </w:p>
    <w:p w:rsidR="00E35DD5" w:rsidRPr="00E35DD5" w:rsidRDefault="00E35DD5" w:rsidP="00E35DD5">
      <w:pPr>
        <w:pStyle w:val="Heading2"/>
        <w:keepNext w:val="0"/>
        <w:spacing w:before="120" w:after="120" w:line="240" w:lineRule="atLeast"/>
        <w:ind w:left="0" w:firstLine="0"/>
        <w:jc w:val="both"/>
      </w:pPr>
      <w:bookmarkStart w:id="444" w:name="_Toc199669385"/>
      <w:bookmarkStart w:id="445" w:name="_Toc203551702"/>
      <w:bookmarkStart w:id="446" w:name="_Toc203552154"/>
      <w:bookmarkStart w:id="447" w:name="_Toc203552392"/>
      <w:bookmarkStart w:id="448" w:name="_Toc203552556"/>
      <w:bookmarkStart w:id="449" w:name="_Toc203552697"/>
      <w:bookmarkStart w:id="450" w:name="_Toc203552838"/>
      <w:bookmarkStart w:id="451" w:name="_Toc203555120"/>
      <w:bookmarkStart w:id="452" w:name="_Toc203555794"/>
      <w:bookmarkStart w:id="453" w:name="_Toc203556185"/>
      <w:bookmarkStart w:id="454" w:name="_Toc203556326"/>
      <w:bookmarkStart w:id="455" w:name="_Toc203556467"/>
      <w:bookmarkStart w:id="456" w:name="_Toc203793810"/>
      <w:bookmarkStart w:id="457" w:name="_Toc203793958"/>
      <w:bookmarkStart w:id="458" w:name="_Toc203794377"/>
      <w:bookmarkStart w:id="459" w:name="_Toc203794707"/>
      <w:bookmarkStart w:id="460" w:name="_Toc203795261"/>
      <w:bookmarkStart w:id="461" w:name="_Toc203798889"/>
      <w:bookmarkStart w:id="462" w:name="_Toc204420350"/>
      <w:bookmarkStart w:id="463" w:name="_Toc226530546"/>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r w:rsidRPr="00E35DD5">
        <w:t xml:space="preserve">Business </w:t>
      </w:r>
      <w:r w:rsidR="00A21EAC">
        <w:t>Overview</w:t>
      </w:r>
      <w:bookmarkEnd w:id="463"/>
    </w:p>
    <w:p w:rsidR="00C74D76" w:rsidRPr="00C74D76" w:rsidRDefault="00C74D76" w:rsidP="00C74D76">
      <w:pPr>
        <w:spacing w:before="240"/>
        <w:jc w:val="both"/>
        <w:rPr>
          <w:rFonts w:ascii="Arial" w:hAnsi="Arial" w:cs="Arial"/>
          <w:color w:val="000000"/>
          <w:sz w:val="20"/>
          <w:szCs w:val="20"/>
        </w:rPr>
      </w:pPr>
      <w:r w:rsidRPr="00C74D76">
        <w:rPr>
          <w:rFonts w:ascii="Arial" w:hAnsi="Arial" w:cs="Arial"/>
          <w:color w:val="000000"/>
          <w:sz w:val="20"/>
          <w:szCs w:val="20"/>
        </w:rPr>
        <w:t>The Institutional Asset Management sector is an important part of the Buy Side or Asset Management as shown in the diagram below. The Buy side is called so as asset managers “buy” securities from institutional brokerage firms. They then manage these securities within a portfolio, and repackage the portfolio to meet the specific needs of the market. Hence, asset managers have been labeled “buy-side,” while the institutional brokers selling securities to them are labeled the “sell-side.” The institutional “Buy Side” deals with the Mutual Funds, Pension Funds and Insurance Funds etc.</w:t>
      </w:r>
    </w:p>
    <w:p w:rsidR="00C74D76" w:rsidRDefault="00C164AF" w:rsidP="00C74D76">
      <w:pPr>
        <w:spacing w:before="240" w:line="300" w:lineRule="exact"/>
        <w:jc w:val="both"/>
        <w:rPr>
          <w:rFonts w:cs="Arial"/>
        </w:rPr>
      </w:pPr>
      <w:r>
        <w:rPr>
          <w:noProof/>
        </w:rPr>
        <w:drawing>
          <wp:anchor distT="0" distB="0" distL="114300" distR="114300" simplePos="0" relativeHeight="251658752" behindDoc="0" locked="0" layoutInCell="1" allowOverlap="0">
            <wp:simplePos x="0" y="0"/>
            <wp:positionH relativeFrom="column">
              <wp:posOffset>0</wp:posOffset>
            </wp:positionH>
            <wp:positionV relativeFrom="paragraph">
              <wp:posOffset>92075</wp:posOffset>
            </wp:positionV>
            <wp:extent cx="5486400" cy="2971800"/>
            <wp:effectExtent l="1905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99" cstate="print"/>
                    <a:srcRect/>
                    <a:stretch>
                      <a:fillRect/>
                    </a:stretch>
                  </pic:blipFill>
                  <pic:spPr bwMode="auto">
                    <a:xfrm>
                      <a:off x="0" y="0"/>
                      <a:ext cx="5486400" cy="2971800"/>
                    </a:xfrm>
                    <a:prstGeom prst="rect">
                      <a:avLst/>
                    </a:prstGeom>
                    <a:noFill/>
                    <a:ln w="9525">
                      <a:noFill/>
                      <a:miter lim="800000"/>
                      <a:headEnd/>
                      <a:tailEnd/>
                    </a:ln>
                  </pic:spPr>
                </pic:pic>
              </a:graphicData>
            </a:graphic>
          </wp:anchor>
        </w:drawing>
      </w:r>
      <w:r w:rsidR="00C74D76">
        <w:rPr>
          <w:rFonts w:cs="Arial"/>
        </w:rPr>
        <w:t xml:space="preserve"> </w:t>
      </w:r>
    </w:p>
    <w:p w:rsidR="00C74D76" w:rsidRDefault="00C74D76" w:rsidP="00C74D76">
      <w:pPr>
        <w:spacing w:before="240" w:line="300" w:lineRule="exact"/>
        <w:jc w:val="both"/>
        <w:rPr>
          <w:rFonts w:cs="Arial"/>
        </w:rPr>
      </w:pPr>
    </w:p>
    <w:p w:rsidR="00C74D76" w:rsidRDefault="00C74D76" w:rsidP="00C74D76">
      <w:pPr>
        <w:spacing w:before="240" w:line="300" w:lineRule="exact"/>
        <w:jc w:val="both"/>
        <w:rPr>
          <w:rFonts w:cs="Arial"/>
        </w:rPr>
      </w:pPr>
    </w:p>
    <w:p w:rsidR="00C74D76" w:rsidRDefault="00C74D76" w:rsidP="00C74D76">
      <w:pPr>
        <w:spacing w:before="240" w:line="300" w:lineRule="exact"/>
        <w:jc w:val="both"/>
        <w:rPr>
          <w:rFonts w:cs="Arial"/>
        </w:rPr>
      </w:pPr>
    </w:p>
    <w:p w:rsidR="00C74D76" w:rsidRDefault="00C74D76" w:rsidP="00C74D76">
      <w:pPr>
        <w:spacing w:before="240"/>
        <w:jc w:val="both"/>
        <w:rPr>
          <w:rFonts w:ascii="Arial" w:hAnsi="Arial" w:cs="Arial"/>
          <w:color w:val="000000"/>
          <w:sz w:val="20"/>
          <w:szCs w:val="20"/>
        </w:rPr>
      </w:pPr>
    </w:p>
    <w:p w:rsidR="00C74D76" w:rsidRDefault="00C74D76" w:rsidP="00C74D76">
      <w:pPr>
        <w:spacing w:before="240"/>
        <w:jc w:val="both"/>
        <w:rPr>
          <w:rFonts w:ascii="Arial" w:hAnsi="Arial" w:cs="Arial"/>
          <w:color w:val="000000"/>
          <w:sz w:val="20"/>
          <w:szCs w:val="20"/>
        </w:rPr>
      </w:pPr>
    </w:p>
    <w:p w:rsidR="00C74D76" w:rsidRDefault="00C74D76" w:rsidP="00C74D76">
      <w:pPr>
        <w:spacing w:before="240"/>
        <w:jc w:val="both"/>
        <w:rPr>
          <w:rFonts w:ascii="Arial" w:hAnsi="Arial" w:cs="Arial"/>
          <w:color w:val="000000"/>
          <w:sz w:val="20"/>
          <w:szCs w:val="20"/>
        </w:rPr>
      </w:pPr>
    </w:p>
    <w:p w:rsidR="00C74D76" w:rsidRPr="00C74D76" w:rsidRDefault="00C74D76" w:rsidP="00C74D76">
      <w:pPr>
        <w:spacing w:before="240"/>
        <w:jc w:val="both"/>
        <w:rPr>
          <w:rFonts w:ascii="Arial" w:hAnsi="Arial" w:cs="Arial"/>
          <w:color w:val="000000"/>
          <w:sz w:val="20"/>
          <w:szCs w:val="20"/>
        </w:rPr>
      </w:pPr>
      <w:r w:rsidRPr="00C74D76">
        <w:rPr>
          <w:rFonts w:ascii="Arial" w:hAnsi="Arial" w:cs="Arial"/>
          <w:color w:val="000000"/>
          <w:sz w:val="20"/>
          <w:szCs w:val="20"/>
        </w:rPr>
        <w:t xml:space="preserve">In the last few years, banks have ravenously acquired asset management firms. Around 30% of the top 50 asset management firms are owned by banks. Insurance companies rely on asset management firms to manage the assets of many of their variable products. Brokerage firms are the largest seller of investment management products and as such are a client of the asset </w:t>
      </w:r>
      <w:r w:rsidRPr="00C74D76">
        <w:rPr>
          <w:rFonts w:ascii="Arial" w:hAnsi="Arial" w:cs="Arial"/>
          <w:color w:val="000000"/>
          <w:sz w:val="20"/>
          <w:szCs w:val="20"/>
        </w:rPr>
        <w:lastRenderedPageBreak/>
        <w:t>management firms. Conversely, institutional brokers offer trading solutions and market access to the asset management firms and in that role, the asset management firm is the customer.</w:t>
      </w:r>
    </w:p>
    <w:p w:rsidR="00AA2BF7" w:rsidRPr="00AA2BF7" w:rsidRDefault="00AA2BF7" w:rsidP="00AA2BF7">
      <w:pPr>
        <w:spacing w:before="240"/>
        <w:jc w:val="both"/>
        <w:rPr>
          <w:rFonts w:ascii="Arial" w:hAnsi="Arial" w:cs="Arial"/>
          <w:sz w:val="20"/>
          <w:szCs w:val="20"/>
        </w:rPr>
      </w:pPr>
      <w:r w:rsidRPr="00AA2BF7">
        <w:rPr>
          <w:rFonts w:ascii="Arial" w:hAnsi="Arial" w:cs="Arial"/>
          <w:sz w:val="20"/>
          <w:szCs w:val="20"/>
        </w:rPr>
        <w:t xml:space="preserve">Depending on the type of institutional investors, Institutional Asset Management can be categorized into following business segments.  </w:t>
      </w:r>
    </w:p>
    <w:p w:rsidR="00AA2BF7" w:rsidRPr="00AA2BF7" w:rsidRDefault="00AA2BF7" w:rsidP="009874A6">
      <w:pPr>
        <w:numPr>
          <w:ilvl w:val="0"/>
          <w:numId w:val="69"/>
        </w:numPr>
        <w:ind w:left="720" w:firstLine="360"/>
        <w:jc w:val="both"/>
        <w:rPr>
          <w:rFonts w:ascii="Arial" w:hAnsi="Arial" w:cs="Arial"/>
          <w:sz w:val="20"/>
          <w:szCs w:val="20"/>
        </w:rPr>
      </w:pPr>
      <w:r w:rsidRPr="00AA2BF7">
        <w:rPr>
          <w:rFonts w:ascii="Arial" w:hAnsi="Arial" w:cs="Arial"/>
          <w:sz w:val="20"/>
          <w:szCs w:val="20"/>
        </w:rPr>
        <w:t>Pension Funds</w:t>
      </w:r>
    </w:p>
    <w:p w:rsidR="00AA2BF7" w:rsidRPr="00AA2BF7" w:rsidRDefault="00AA2BF7" w:rsidP="009874A6">
      <w:pPr>
        <w:numPr>
          <w:ilvl w:val="0"/>
          <w:numId w:val="69"/>
        </w:numPr>
        <w:ind w:left="720" w:firstLine="360"/>
        <w:jc w:val="both"/>
        <w:rPr>
          <w:rFonts w:ascii="Arial" w:hAnsi="Arial" w:cs="Arial"/>
          <w:sz w:val="20"/>
          <w:szCs w:val="20"/>
        </w:rPr>
      </w:pPr>
      <w:r w:rsidRPr="00AA2BF7">
        <w:rPr>
          <w:rFonts w:ascii="Arial" w:hAnsi="Arial" w:cs="Arial"/>
          <w:sz w:val="20"/>
          <w:szCs w:val="20"/>
        </w:rPr>
        <w:t>Insurance Companies</w:t>
      </w:r>
    </w:p>
    <w:p w:rsidR="00AA2BF7" w:rsidRPr="00AA2BF7" w:rsidRDefault="00AA2BF7" w:rsidP="009874A6">
      <w:pPr>
        <w:numPr>
          <w:ilvl w:val="0"/>
          <w:numId w:val="69"/>
        </w:numPr>
        <w:ind w:left="720" w:firstLine="360"/>
        <w:jc w:val="both"/>
        <w:rPr>
          <w:rFonts w:ascii="Arial" w:hAnsi="Arial" w:cs="Arial"/>
          <w:sz w:val="20"/>
          <w:szCs w:val="20"/>
        </w:rPr>
      </w:pPr>
      <w:r w:rsidRPr="00AA2BF7">
        <w:rPr>
          <w:rFonts w:ascii="Arial" w:hAnsi="Arial" w:cs="Arial"/>
          <w:sz w:val="20"/>
          <w:szCs w:val="20"/>
        </w:rPr>
        <w:t>Corporations</w:t>
      </w:r>
    </w:p>
    <w:p w:rsidR="00AA2BF7" w:rsidRPr="00AA2BF7" w:rsidRDefault="00AA2BF7" w:rsidP="009874A6">
      <w:pPr>
        <w:numPr>
          <w:ilvl w:val="0"/>
          <w:numId w:val="69"/>
        </w:numPr>
        <w:ind w:left="720" w:firstLine="360"/>
        <w:jc w:val="both"/>
        <w:rPr>
          <w:rFonts w:ascii="Arial" w:hAnsi="Arial" w:cs="Arial"/>
          <w:sz w:val="20"/>
          <w:szCs w:val="20"/>
        </w:rPr>
      </w:pPr>
      <w:r w:rsidRPr="00AA2BF7">
        <w:rPr>
          <w:rFonts w:ascii="Arial" w:hAnsi="Arial" w:cs="Arial"/>
          <w:sz w:val="20"/>
          <w:szCs w:val="20"/>
        </w:rPr>
        <w:t>Others</w:t>
      </w:r>
    </w:p>
    <w:p w:rsidR="00AA2BF7" w:rsidRPr="00AA2BF7" w:rsidRDefault="00AA2BF7" w:rsidP="00AA2BF7">
      <w:pPr>
        <w:jc w:val="both"/>
        <w:rPr>
          <w:rFonts w:ascii="Arial" w:hAnsi="Arial" w:cs="Arial"/>
          <w:sz w:val="20"/>
          <w:szCs w:val="20"/>
        </w:rPr>
      </w:pPr>
    </w:p>
    <w:p w:rsidR="00AA2BF7" w:rsidRPr="00A21EAC" w:rsidRDefault="00AA2BF7" w:rsidP="00A21EAC">
      <w:pPr>
        <w:pStyle w:val="Heading3"/>
        <w:keepNext w:val="0"/>
        <w:tabs>
          <w:tab w:val="clear" w:pos="6444"/>
          <w:tab w:val="num" w:pos="540"/>
        </w:tabs>
        <w:spacing w:before="120" w:after="120" w:line="240" w:lineRule="atLeast"/>
        <w:ind w:left="0" w:firstLine="0"/>
        <w:jc w:val="both"/>
      </w:pPr>
      <w:bookmarkStart w:id="464" w:name="_Toc159329581"/>
      <w:r w:rsidRPr="00A21EAC">
        <w:t>Pension Funds</w:t>
      </w:r>
      <w:bookmarkEnd w:id="464"/>
    </w:p>
    <w:p w:rsidR="00AA2BF7" w:rsidRPr="00AA2BF7" w:rsidRDefault="00AA2BF7" w:rsidP="00AA2BF7">
      <w:pPr>
        <w:pStyle w:val="Cog-body"/>
        <w:spacing w:line="240" w:lineRule="auto"/>
        <w:rPr>
          <w:szCs w:val="20"/>
        </w:rPr>
      </w:pPr>
      <w:bookmarkStart w:id="465" w:name="_Toc148438068"/>
      <w:r w:rsidRPr="00AA2BF7">
        <w:rPr>
          <w:szCs w:val="20"/>
        </w:rPr>
        <w:t>Pension funds are typically sponsored by the employers, wherein the employers collect and invest contributions from the employees and sponsors for the purpose of providing for the beneficiaries’ retirement entitlements. The management of the investments may either be performed by the fund itself or may be delegated to independent external asset managers.</w:t>
      </w:r>
      <w:bookmarkEnd w:id="465"/>
      <w:r w:rsidRPr="00AA2BF7">
        <w:rPr>
          <w:szCs w:val="20"/>
        </w:rPr>
        <w:t xml:space="preserve"> </w:t>
      </w:r>
    </w:p>
    <w:p w:rsidR="00AA2BF7" w:rsidRPr="00AA2BF7" w:rsidRDefault="00AA2BF7" w:rsidP="00AA2BF7">
      <w:pPr>
        <w:pStyle w:val="Cog-body"/>
        <w:spacing w:line="240" w:lineRule="auto"/>
        <w:rPr>
          <w:szCs w:val="20"/>
        </w:rPr>
      </w:pPr>
      <w:r w:rsidRPr="00AA2BF7">
        <w:rPr>
          <w:szCs w:val="20"/>
        </w:rPr>
        <w:t>There are two main types of pension funds, namely defined benefit (DB) and defined contribution (DC). These schemes differ significantly in terms of the distribution of investment risk between the sponsor and the beneficiary. DB scheme promises a specified monthly benefit at retirement. Hence, the beneficiary’s risk tends to be limited to default by the sponsor. On the contrary, DC schemes do not promise a specific amount of benefits at retirement; the retirement benefit depends on the cumulative performance of investments. Hence the investment risk is borne entirely by the beneficiaries.</w:t>
      </w:r>
    </w:p>
    <w:p w:rsidR="00AA2BF7" w:rsidRPr="00AA2BF7" w:rsidRDefault="00AA2BF7" w:rsidP="00AA2BF7">
      <w:pPr>
        <w:pStyle w:val="Cog-body"/>
        <w:spacing w:line="240" w:lineRule="auto"/>
        <w:rPr>
          <w:szCs w:val="20"/>
        </w:rPr>
      </w:pPr>
    </w:p>
    <w:p w:rsidR="00AA2BF7" w:rsidRPr="00A21EAC" w:rsidRDefault="00AA2BF7" w:rsidP="00A21EAC">
      <w:pPr>
        <w:pStyle w:val="Heading3"/>
        <w:keepNext w:val="0"/>
        <w:tabs>
          <w:tab w:val="clear" w:pos="6444"/>
          <w:tab w:val="num" w:pos="540"/>
        </w:tabs>
        <w:spacing w:before="120" w:after="120" w:line="240" w:lineRule="atLeast"/>
        <w:ind w:left="0" w:firstLine="0"/>
        <w:jc w:val="both"/>
      </w:pPr>
      <w:bookmarkStart w:id="466" w:name="_Toc159329582"/>
      <w:r w:rsidRPr="00A21EAC">
        <w:t>Insurance Companies</w:t>
      </w:r>
      <w:bookmarkEnd w:id="466"/>
    </w:p>
    <w:p w:rsidR="00AA2BF7" w:rsidRPr="00AA2BF7" w:rsidRDefault="00AA2BF7" w:rsidP="004B0159">
      <w:pPr>
        <w:pStyle w:val="Cog-body"/>
        <w:spacing w:line="240" w:lineRule="auto"/>
        <w:rPr>
          <w:szCs w:val="20"/>
        </w:rPr>
      </w:pPr>
      <w:r w:rsidRPr="00AA2BF7">
        <w:rPr>
          <w:szCs w:val="20"/>
        </w:rPr>
        <w:t xml:space="preserve">Life insurance companies are long-term institutional investors with a large share of tradable assets in their portfolios.  They offer products such as annuities and guaranteed investment contracts tailored to the needs of individual and collective pension plans. The payoff of a life insurance product is determined by the return on the insurer’s asset portfolio and insurance elements. Life insurance products are, therefore, an indirect channel for providing ultimate beneficiaries with asset management services. </w:t>
      </w:r>
    </w:p>
    <w:p w:rsidR="00AA2BF7" w:rsidRPr="00AA2BF7" w:rsidRDefault="00AA2BF7" w:rsidP="004B0159">
      <w:pPr>
        <w:pStyle w:val="Cog-body"/>
        <w:spacing w:line="240" w:lineRule="auto"/>
        <w:rPr>
          <w:szCs w:val="20"/>
        </w:rPr>
      </w:pPr>
      <w:r w:rsidRPr="00AA2BF7">
        <w:rPr>
          <w:szCs w:val="20"/>
        </w:rPr>
        <w:t xml:space="preserve">However, insurance companies tend to differ from other institutional investors in terms of their liability structure. Life insurers’ liabilities are primarily </w:t>
      </w:r>
      <w:proofErr w:type="gramStart"/>
      <w:r w:rsidRPr="00AA2BF7">
        <w:rPr>
          <w:szCs w:val="20"/>
        </w:rPr>
        <w:t>actuarial</w:t>
      </w:r>
      <w:proofErr w:type="gramEnd"/>
      <w:r w:rsidRPr="00AA2BF7">
        <w:rPr>
          <w:szCs w:val="20"/>
        </w:rPr>
        <w:t xml:space="preserve"> in character, with fixed income-like payout structures. This may explain the large portion of fixed income products in insurance portfolios observed in many countries, though equity allocations tended to increase in the course of the 1990s. Insurance company assets are often managed in-house, rather than being handed over to outside asset managers. This organizational preference has led insurers to purchase external asset management firms as a means of bringing investment expertise in-house. As a result, in some cases, insurance companies may offer portfolio management and administrative services to pension funds. In addition, there has been a recent trend among insurers to invest in or acquire specialized investment vehicles and to purchase specific asset management service providers. Insurance companies may also outsource the fund management to institutional asset management firms.</w:t>
      </w:r>
    </w:p>
    <w:p w:rsidR="00AA2BF7" w:rsidRPr="00A21EAC" w:rsidRDefault="00AA2BF7" w:rsidP="00A21EAC">
      <w:pPr>
        <w:pStyle w:val="Heading3"/>
        <w:keepNext w:val="0"/>
        <w:tabs>
          <w:tab w:val="clear" w:pos="6444"/>
          <w:tab w:val="num" w:pos="540"/>
        </w:tabs>
        <w:spacing w:before="120" w:after="120" w:line="240" w:lineRule="atLeast"/>
        <w:ind w:left="0" w:firstLine="0"/>
        <w:jc w:val="both"/>
      </w:pPr>
      <w:bookmarkStart w:id="467" w:name="_Toc159329583"/>
      <w:r w:rsidRPr="00A21EAC">
        <w:t>Corporations</w:t>
      </w:r>
      <w:bookmarkEnd w:id="467"/>
    </w:p>
    <w:p w:rsidR="00AA2BF7" w:rsidRPr="00AA2BF7" w:rsidRDefault="00AA2BF7" w:rsidP="004B0159">
      <w:pPr>
        <w:pStyle w:val="Cog-body"/>
        <w:spacing w:line="240" w:lineRule="auto"/>
        <w:rPr>
          <w:szCs w:val="20"/>
        </w:rPr>
      </w:pPr>
      <w:r w:rsidRPr="00AA2BF7">
        <w:rPr>
          <w:szCs w:val="20"/>
        </w:rPr>
        <w:t xml:space="preserve">Corporation is the most common form of business organization, and one which is chartered by a state and given many legal rights as an entity separate from its owners. This form of business is characterized by the </w:t>
      </w:r>
      <w:hyperlink r:id="rId100" w:history="1">
        <w:r w:rsidRPr="00AA2BF7">
          <w:rPr>
            <w:szCs w:val="20"/>
          </w:rPr>
          <w:t>limited liability</w:t>
        </w:r>
      </w:hyperlink>
      <w:r w:rsidRPr="00AA2BF7">
        <w:rPr>
          <w:szCs w:val="20"/>
        </w:rPr>
        <w:t xml:space="preserve"> of its owners, the issuance of shares of easily transferable </w:t>
      </w:r>
      <w:hyperlink r:id="rId101" w:history="1">
        <w:r w:rsidRPr="00AA2BF7">
          <w:rPr>
            <w:szCs w:val="20"/>
          </w:rPr>
          <w:t>stock</w:t>
        </w:r>
      </w:hyperlink>
      <w:r w:rsidRPr="00AA2BF7">
        <w:rPr>
          <w:szCs w:val="20"/>
        </w:rPr>
        <w:t xml:space="preserve">, and existence as a </w:t>
      </w:r>
      <w:hyperlink r:id="rId102" w:history="1">
        <w:r w:rsidRPr="00AA2BF7">
          <w:rPr>
            <w:szCs w:val="20"/>
          </w:rPr>
          <w:t>going concern</w:t>
        </w:r>
      </w:hyperlink>
      <w:r w:rsidRPr="00AA2BF7">
        <w:rPr>
          <w:szCs w:val="20"/>
        </w:rPr>
        <w:t xml:space="preserve">. The most important aspect of a corporation is limited liability. That is, shareholders have the right to </w:t>
      </w:r>
      <w:r w:rsidRPr="00AA2BF7">
        <w:rPr>
          <w:szCs w:val="20"/>
        </w:rPr>
        <w:lastRenderedPageBreak/>
        <w:t xml:space="preserve">participate in the profits, through dividends and/or the appreciation of stock, but are not held personally liable for the company's debts. </w:t>
      </w:r>
    </w:p>
    <w:p w:rsidR="00AA2BF7" w:rsidRPr="00AA2BF7" w:rsidRDefault="00AA2BF7" w:rsidP="004B0159">
      <w:pPr>
        <w:pStyle w:val="Cog-body"/>
        <w:spacing w:line="240" w:lineRule="auto"/>
        <w:rPr>
          <w:szCs w:val="20"/>
        </w:rPr>
      </w:pPr>
      <w:r w:rsidRPr="00AA2BF7">
        <w:rPr>
          <w:szCs w:val="20"/>
        </w:rPr>
        <w:t>Corporations either choose from an array of products that the institutional asset management firms offer to their institutional clients or have separately managed accounts with the asset management firms.</w:t>
      </w:r>
    </w:p>
    <w:p w:rsidR="00AA2BF7" w:rsidRPr="00A21EAC" w:rsidRDefault="00AA2BF7" w:rsidP="00A21EAC">
      <w:pPr>
        <w:pStyle w:val="Heading3"/>
        <w:keepNext w:val="0"/>
        <w:tabs>
          <w:tab w:val="clear" w:pos="6444"/>
          <w:tab w:val="num" w:pos="540"/>
        </w:tabs>
        <w:spacing w:before="120" w:after="120" w:line="240" w:lineRule="atLeast"/>
        <w:ind w:left="0" w:firstLine="0"/>
        <w:jc w:val="both"/>
      </w:pPr>
      <w:bookmarkStart w:id="468" w:name="_Toc159329584"/>
      <w:r w:rsidRPr="00A21EAC">
        <w:t>Others</w:t>
      </w:r>
      <w:bookmarkEnd w:id="468"/>
    </w:p>
    <w:p w:rsidR="00AA2BF7" w:rsidRPr="00AA2BF7" w:rsidRDefault="00AA2BF7" w:rsidP="004B0159">
      <w:pPr>
        <w:pStyle w:val="Cog-body"/>
        <w:spacing w:line="240" w:lineRule="auto"/>
        <w:rPr>
          <w:szCs w:val="20"/>
        </w:rPr>
      </w:pPr>
      <w:r w:rsidRPr="00AA2BF7">
        <w:rPr>
          <w:szCs w:val="20"/>
        </w:rPr>
        <w:t xml:space="preserve">Foundations &amp; Endowment - A Foundation is an entity which exists to support a charitable institution, and which is funded by an </w:t>
      </w:r>
      <w:hyperlink r:id="rId103" w:history="1">
        <w:r w:rsidRPr="00AA2BF7">
          <w:rPr>
            <w:rStyle w:val="Hyperlink"/>
            <w:color w:val="auto"/>
            <w:szCs w:val="20"/>
            <w:u w:val="none"/>
          </w:rPr>
          <w:t>endowment</w:t>
        </w:r>
      </w:hyperlink>
      <w:r w:rsidRPr="00AA2BF7">
        <w:rPr>
          <w:szCs w:val="20"/>
        </w:rPr>
        <w:t xml:space="preserve"> or donations. Endowment is a permanent fund bestowed upon an individual or </w:t>
      </w:r>
      <w:hyperlink r:id="rId104" w:history="1">
        <w:r w:rsidRPr="00AA2BF7">
          <w:rPr>
            <w:rStyle w:val="Hyperlink"/>
            <w:color w:val="auto"/>
            <w:szCs w:val="20"/>
            <w:u w:val="none"/>
          </w:rPr>
          <w:t>institution</w:t>
        </w:r>
      </w:hyperlink>
      <w:r w:rsidRPr="00AA2BF7">
        <w:rPr>
          <w:szCs w:val="20"/>
        </w:rPr>
        <w:t>, such as a university, museum, hospital, or foundation, to be used for a specific purpose. Management of such funds is done by institutional asset management firms.</w:t>
      </w:r>
    </w:p>
    <w:p w:rsidR="00AA2BF7" w:rsidRPr="00AA2BF7" w:rsidRDefault="00AA2BF7" w:rsidP="004B0159">
      <w:pPr>
        <w:pStyle w:val="Cog-body"/>
        <w:spacing w:line="240" w:lineRule="auto"/>
        <w:rPr>
          <w:szCs w:val="20"/>
        </w:rPr>
      </w:pPr>
      <w:r w:rsidRPr="00AA2BF7">
        <w:rPr>
          <w:szCs w:val="20"/>
        </w:rPr>
        <w:t xml:space="preserve">Healthcare Organizations – A healthcare organization includes all organizations viz. general &amp; specialized hospitals, nursing homes, clinics which are involved in providing healthcare facilities to the general public. These enterprises can be government or privately owned. Most healthcare organizations in the </w:t>
      </w:r>
      <w:smartTag w:uri="urn:schemas-microsoft-com:office:smarttags" w:element="place">
        <w:smartTag w:uri="urn:schemas-microsoft-com:office:smarttags" w:element="country-region">
          <w:r w:rsidRPr="00AA2BF7">
            <w:rPr>
              <w:szCs w:val="20"/>
            </w:rPr>
            <w:t>U.K.</w:t>
          </w:r>
        </w:smartTag>
      </w:smartTag>
      <w:r w:rsidRPr="00AA2BF7">
        <w:rPr>
          <w:szCs w:val="20"/>
        </w:rPr>
        <w:t xml:space="preserve"> are run by the National Health Service. They can be for profit and many can be non-profit organizations as well.</w:t>
      </w:r>
    </w:p>
    <w:p w:rsidR="00AA2BF7" w:rsidRPr="00AA2BF7" w:rsidRDefault="00AA2BF7" w:rsidP="004B0159">
      <w:pPr>
        <w:pStyle w:val="Cog-body"/>
        <w:spacing w:line="240" w:lineRule="auto"/>
        <w:rPr>
          <w:szCs w:val="20"/>
        </w:rPr>
      </w:pPr>
      <w:r w:rsidRPr="00AA2BF7">
        <w:rPr>
          <w:szCs w:val="20"/>
        </w:rPr>
        <w:t xml:space="preserve">Government </w:t>
      </w:r>
      <w:smartTag w:uri="urn:schemas-microsoft-com:office:smarttags" w:element="place">
        <w:smartTag w:uri="urn:schemas-microsoft-com:office:smarttags" w:element="City">
          <w:r w:rsidRPr="00AA2BF7">
            <w:rPr>
              <w:szCs w:val="20"/>
            </w:rPr>
            <w:t>Enterprise</w:t>
          </w:r>
        </w:smartTag>
      </w:smartTag>
      <w:r w:rsidRPr="00AA2BF7">
        <w:rPr>
          <w:szCs w:val="20"/>
        </w:rPr>
        <w:t xml:space="preserve"> – Government enterprise comprises all entities which are owned by Centre/State Government. Local Bodies are considered as Government Enterprises. </w:t>
      </w:r>
      <w:proofErr w:type="gramStart"/>
      <w:r w:rsidRPr="00AA2BF7">
        <w:rPr>
          <w:szCs w:val="20"/>
        </w:rPr>
        <w:t>Universities, educational bodies and such similar Institutions, which are autonomous and get grants from Central/State/Local Governments, are included under this category.</w:t>
      </w:r>
      <w:proofErr w:type="gramEnd"/>
    </w:p>
    <w:p w:rsidR="00AA2BF7" w:rsidRPr="00AA2BF7" w:rsidRDefault="00AA2BF7" w:rsidP="004B0159">
      <w:pPr>
        <w:pStyle w:val="Cog-body"/>
        <w:spacing w:line="240" w:lineRule="auto"/>
        <w:rPr>
          <w:szCs w:val="20"/>
        </w:rPr>
      </w:pPr>
      <w:r w:rsidRPr="00AA2BF7">
        <w:rPr>
          <w:szCs w:val="20"/>
        </w:rPr>
        <w:t xml:space="preserve">Taft-Hartley Funds – The Taft-Hartley Act severely restricts the activities and power of labor unions in the </w:t>
      </w:r>
      <w:smartTag w:uri="urn:schemas-microsoft-com:office:smarttags" w:element="place">
        <w:smartTag w:uri="urn:schemas-microsoft-com:office:smarttags" w:element="country-region">
          <w:r w:rsidRPr="00AA2BF7">
            <w:rPr>
              <w:szCs w:val="20"/>
            </w:rPr>
            <w:t>United States</w:t>
          </w:r>
        </w:smartTag>
      </w:smartTag>
      <w:r w:rsidRPr="00AA2BF7">
        <w:rPr>
          <w:szCs w:val="20"/>
        </w:rPr>
        <w:t>. The Act, officially known as the Labor-Management Relations Act, was sponsored by Senator Robert Taft and Representative Fred Hartley. U.S. President Harry S. Truman described the act as a "slave-labor bill" and vetoed it. The United States Senate followed the United States House of Representatives in overriding Truman's veto on June 23, 1947, establishing the act as law. Basically, the Taft-Hartley act is an outline of the Federal government's requirements for unions. It protects union members against possible unfavorable dealings enacted by the controlling members.</w:t>
      </w:r>
    </w:p>
    <w:p w:rsidR="00AA2BF7" w:rsidRPr="00AA2BF7" w:rsidRDefault="00AA2BF7" w:rsidP="004B0159">
      <w:pPr>
        <w:pStyle w:val="Cog-body"/>
        <w:spacing w:line="240" w:lineRule="auto"/>
        <w:rPr>
          <w:szCs w:val="20"/>
        </w:rPr>
      </w:pPr>
      <w:r w:rsidRPr="00AA2BF7">
        <w:rPr>
          <w:szCs w:val="20"/>
        </w:rPr>
        <w:t xml:space="preserve">Pension plans and Health and Welfare plans sponsored by labor unions for the benefit of their members came to be known as "Taft-Hartley plans" following passage of the Taft-Hartley Act in 1947. These benefit plans are funded by contributions from the employers that hire the union workers, and the money is held in a trust fund (a "Taft-Hartley Trust") established specifically for that purpose. The Trust is then managed jointly by Employer and </w:t>
      </w:r>
      <w:smartTag w:uri="urn:schemas-microsoft-com:office:smarttags" w:element="place">
        <w:r w:rsidRPr="00AA2BF7">
          <w:rPr>
            <w:szCs w:val="20"/>
          </w:rPr>
          <w:t>Union</w:t>
        </w:r>
      </w:smartTag>
      <w:r w:rsidRPr="00AA2BF7">
        <w:rPr>
          <w:szCs w:val="20"/>
        </w:rPr>
        <w:t xml:space="preserve"> representatives. </w:t>
      </w:r>
    </w:p>
    <w:p w:rsidR="00FC1CD8" w:rsidRPr="00FC1CD8" w:rsidRDefault="00FC1CD8" w:rsidP="00FC1CD8">
      <w:pPr>
        <w:rPr>
          <w:rFonts w:ascii="Arial" w:hAnsi="Arial" w:cs="Arial"/>
          <w:color w:val="000000"/>
          <w:sz w:val="20"/>
          <w:szCs w:val="20"/>
        </w:rPr>
      </w:pPr>
    </w:p>
    <w:p w:rsidR="00C135D9" w:rsidRPr="00C135D9" w:rsidRDefault="00C135D9" w:rsidP="00C135D9"/>
    <w:p w:rsidR="00C135D9" w:rsidRDefault="00C135D9" w:rsidP="00C135D9">
      <w:pPr>
        <w:pStyle w:val="Heading2"/>
        <w:keepNext w:val="0"/>
        <w:spacing w:before="120" w:after="120" w:line="240" w:lineRule="atLeast"/>
        <w:ind w:left="0" w:firstLine="0"/>
        <w:jc w:val="both"/>
      </w:pPr>
      <w:bookmarkStart w:id="469" w:name="_Toc226530547"/>
      <w:r w:rsidRPr="004B3BDF">
        <w:t>Organization Structure</w:t>
      </w:r>
      <w:bookmarkEnd w:id="469"/>
    </w:p>
    <w:p w:rsidR="004C7244" w:rsidRDefault="004C7244" w:rsidP="004C7244">
      <w:pPr>
        <w:pStyle w:val="Heading3"/>
        <w:keepNext w:val="0"/>
        <w:tabs>
          <w:tab w:val="clear" w:pos="6444"/>
          <w:tab w:val="num" w:pos="540"/>
        </w:tabs>
        <w:spacing w:before="120" w:after="120" w:line="240" w:lineRule="atLeast"/>
        <w:ind w:left="0" w:firstLine="0"/>
        <w:jc w:val="both"/>
      </w:pPr>
      <w:r w:rsidRPr="004B3BDF">
        <w:t>Organization Structure</w:t>
      </w:r>
    </w:p>
    <w:p w:rsidR="0040385F" w:rsidRPr="004B3BDF" w:rsidRDefault="0040385F" w:rsidP="00FE4A44">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 pictorial representation of an Asset Management organization can be presented as follows: </w:t>
      </w:r>
    </w:p>
    <w:p w:rsidR="0040385F" w:rsidRPr="004B3BDF" w:rsidRDefault="0040385F" w:rsidP="0040385F">
      <w:pPr>
        <w:pStyle w:val="body"/>
        <w:spacing w:before="120" w:after="120" w:line="240" w:lineRule="atLeast"/>
        <w:jc w:val="both"/>
        <w:rPr>
          <w:rFonts w:ascii="Arial" w:hAnsi="Arial" w:cs="Arial"/>
          <w:szCs w:val="22"/>
        </w:rPr>
      </w:pPr>
      <w:r w:rsidRPr="004B3BDF">
        <w:rPr>
          <w:rFonts w:ascii="Arial" w:hAnsi="Arial" w:cs="Arial"/>
          <w:szCs w:val="22"/>
        </w:rPr>
        <w:lastRenderedPageBreak/>
        <w:t xml:space="preserve"> </w:t>
      </w:r>
      <w:r w:rsidR="00327145" w:rsidRPr="00684FC6">
        <w:rPr>
          <w:rFonts w:cs="Arial"/>
        </w:rPr>
        <w:object w:dxaOrig="9088" w:dyaOrig="5262">
          <v:shape id="_x0000_i1037" type="#_x0000_t75" style="width:454.3pt;height:314.55pt" o:ole="">
            <v:imagedata r:id="rId105" o:title=""/>
          </v:shape>
          <o:OLEObject Type="Embed" ProgID="Visio.Drawing.11" ShapeID="_x0000_i1037" DrawAspect="Content" ObjectID="_1324125800" r:id="rId106"/>
        </w:object>
      </w:r>
    </w:p>
    <w:p w:rsidR="0040385F" w:rsidRPr="004B3BDF" w:rsidRDefault="0040385F" w:rsidP="0040385F">
      <w:pPr>
        <w:pStyle w:val="Caption"/>
        <w:jc w:val="center"/>
        <w:rPr>
          <w:rFonts w:ascii="Arial" w:hAnsi="Arial" w:cs="Arial"/>
        </w:rPr>
      </w:pPr>
      <w:bookmarkStart w:id="470" w:name="_Toc199669760"/>
      <w:bookmarkStart w:id="471" w:name="_Toc207007217"/>
      <w:r w:rsidRPr="004B3BDF">
        <w:rPr>
          <w:rFonts w:ascii="Arial" w:hAnsi="Arial" w:cs="Arial"/>
        </w:rPr>
        <w:t xml:space="preserve">Figure </w:t>
      </w:r>
      <w:r w:rsidR="00FC0435" w:rsidRPr="004B3BDF">
        <w:rPr>
          <w:rFonts w:ascii="Arial" w:hAnsi="Arial" w:cs="Arial"/>
        </w:rPr>
        <w:fldChar w:fldCharType="begin"/>
      </w:r>
      <w:r w:rsidRPr="004B3BDF">
        <w:rPr>
          <w:rFonts w:ascii="Arial" w:hAnsi="Arial" w:cs="Arial"/>
        </w:rPr>
        <w:instrText xml:space="preserve"> STYLEREF 1 \s </w:instrText>
      </w:r>
      <w:r w:rsidR="00FC0435" w:rsidRPr="004B3BDF">
        <w:rPr>
          <w:rFonts w:ascii="Arial" w:hAnsi="Arial" w:cs="Arial"/>
        </w:rPr>
        <w:fldChar w:fldCharType="separate"/>
      </w:r>
      <w:r w:rsidR="0060131C">
        <w:rPr>
          <w:rFonts w:ascii="Arial" w:hAnsi="Arial" w:cs="Arial"/>
          <w:noProof/>
        </w:rPr>
        <w:t>8</w:t>
      </w:r>
      <w:r w:rsidR="00FC0435" w:rsidRPr="004B3BDF">
        <w:rPr>
          <w:rFonts w:ascii="Arial" w:hAnsi="Arial" w:cs="Arial"/>
        </w:rPr>
        <w:fldChar w:fldCharType="end"/>
      </w:r>
      <w:r w:rsidRPr="004B3BDF">
        <w:rPr>
          <w:rFonts w:ascii="Arial" w:hAnsi="Arial" w:cs="Arial"/>
        </w:rPr>
        <w:noBreakHyphen/>
      </w:r>
      <w:r w:rsidR="00FC0435" w:rsidRPr="004B3BDF">
        <w:rPr>
          <w:rFonts w:ascii="Arial" w:hAnsi="Arial" w:cs="Arial"/>
        </w:rPr>
        <w:fldChar w:fldCharType="begin"/>
      </w:r>
      <w:r w:rsidRPr="004B3BDF">
        <w:rPr>
          <w:rFonts w:ascii="Arial" w:hAnsi="Arial" w:cs="Arial"/>
        </w:rPr>
        <w:instrText xml:space="preserve"> SEQ Figure \* ARABIC \s 1 </w:instrText>
      </w:r>
      <w:r w:rsidR="00FC0435" w:rsidRPr="004B3BDF">
        <w:rPr>
          <w:rFonts w:ascii="Arial" w:hAnsi="Arial" w:cs="Arial"/>
        </w:rPr>
        <w:fldChar w:fldCharType="separate"/>
      </w:r>
      <w:r w:rsidR="0060131C">
        <w:rPr>
          <w:rFonts w:ascii="Arial" w:hAnsi="Arial" w:cs="Arial"/>
          <w:noProof/>
        </w:rPr>
        <w:t>1</w:t>
      </w:r>
      <w:r w:rsidR="00FC0435" w:rsidRPr="004B3BDF">
        <w:rPr>
          <w:rFonts w:ascii="Arial" w:hAnsi="Arial" w:cs="Arial"/>
        </w:rPr>
        <w:fldChar w:fldCharType="end"/>
      </w:r>
      <w:r w:rsidRPr="004B3BDF">
        <w:rPr>
          <w:rFonts w:ascii="Arial" w:hAnsi="Arial" w:cs="Arial"/>
        </w:rPr>
        <w:t>: Asset Management Business Organization</w:t>
      </w:r>
      <w:bookmarkEnd w:id="470"/>
      <w:bookmarkEnd w:id="471"/>
    </w:p>
    <w:p w:rsidR="0040385F" w:rsidRPr="004B3BDF" w:rsidRDefault="0040385F" w:rsidP="00FE4A44">
      <w:pPr>
        <w:pStyle w:val="body"/>
        <w:spacing w:before="120" w:after="120" w:line="240" w:lineRule="auto"/>
        <w:jc w:val="both"/>
        <w:rPr>
          <w:rFonts w:ascii="Arial" w:hAnsi="Arial" w:cs="Arial"/>
          <w:sz w:val="20"/>
          <w:szCs w:val="20"/>
        </w:rPr>
      </w:pPr>
      <w:r w:rsidRPr="004B3BDF">
        <w:rPr>
          <w:rFonts w:ascii="Arial" w:hAnsi="Arial" w:cs="Arial"/>
          <w:sz w:val="20"/>
          <w:szCs w:val="20"/>
        </w:rPr>
        <w:t>The entire Asset Management business can be segregated into the following broad operational areas:</w:t>
      </w:r>
    </w:p>
    <w:p w:rsidR="0040385F" w:rsidRPr="004B3BDF" w:rsidRDefault="0040385F" w:rsidP="00810CCD">
      <w:pPr>
        <w:pStyle w:val="body"/>
        <w:numPr>
          <w:ilvl w:val="0"/>
          <w:numId w:val="6"/>
        </w:numPr>
        <w:spacing w:before="120" w:after="120" w:line="240" w:lineRule="auto"/>
        <w:ind w:left="0" w:firstLine="0"/>
        <w:jc w:val="both"/>
        <w:rPr>
          <w:rFonts w:ascii="Arial" w:hAnsi="Arial" w:cs="Arial"/>
          <w:sz w:val="20"/>
          <w:szCs w:val="20"/>
        </w:rPr>
      </w:pPr>
      <w:r w:rsidRPr="004B3BDF">
        <w:rPr>
          <w:rFonts w:ascii="Arial" w:hAnsi="Arial" w:cs="Arial"/>
          <w:sz w:val="20"/>
          <w:szCs w:val="20"/>
        </w:rPr>
        <w:t>Front Office</w:t>
      </w:r>
    </w:p>
    <w:p w:rsidR="0040385F" w:rsidRPr="004B3BDF" w:rsidRDefault="0040385F" w:rsidP="00810CCD">
      <w:pPr>
        <w:pStyle w:val="body"/>
        <w:numPr>
          <w:ilvl w:val="0"/>
          <w:numId w:val="6"/>
        </w:numPr>
        <w:spacing w:before="120" w:after="120" w:line="240" w:lineRule="auto"/>
        <w:ind w:left="0" w:firstLine="0"/>
        <w:jc w:val="both"/>
        <w:rPr>
          <w:rFonts w:ascii="Arial" w:hAnsi="Arial" w:cs="Arial"/>
          <w:sz w:val="20"/>
          <w:szCs w:val="20"/>
        </w:rPr>
      </w:pPr>
      <w:r w:rsidRPr="004B3BDF">
        <w:rPr>
          <w:rFonts w:ascii="Arial" w:hAnsi="Arial" w:cs="Arial"/>
          <w:sz w:val="20"/>
          <w:szCs w:val="20"/>
        </w:rPr>
        <w:t>Middle Office</w:t>
      </w:r>
    </w:p>
    <w:p w:rsidR="0040385F" w:rsidRPr="004B3BDF" w:rsidRDefault="0040385F" w:rsidP="00810CCD">
      <w:pPr>
        <w:pStyle w:val="body"/>
        <w:numPr>
          <w:ilvl w:val="0"/>
          <w:numId w:val="6"/>
        </w:numPr>
        <w:spacing w:before="120" w:after="120" w:line="240" w:lineRule="auto"/>
        <w:ind w:left="0" w:firstLine="0"/>
        <w:jc w:val="both"/>
        <w:rPr>
          <w:rFonts w:ascii="Arial" w:hAnsi="Arial" w:cs="Arial"/>
          <w:sz w:val="20"/>
          <w:szCs w:val="20"/>
        </w:rPr>
      </w:pPr>
      <w:r w:rsidRPr="004B3BDF">
        <w:rPr>
          <w:rFonts w:ascii="Arial" w:hAnsi="Arial" w:cs="Arial"/>
          <w:sz w:val="20"/>
          <w:szCs w:val="20"/>
        </w:rPr>
        <w:t>Back Office</w:t>
      </w:r>
    </w:p>
    <w:p w:rsidR="0040385F" w:rsidRPr="004C7244" w:rsidRDefault="0040385F" w:rsidP="004C7244">
      <w:pPr>
        <w:rPr>
          <w:rFonts w:ascii="Arial" w:hAnsi="Arial"/>
          <w:b/>
          <w:i/>
          <w:sz w:val="20"/>
          <w:szCs w:val="20"/>
        </w:rPr>
      </w:pPr>
      <w:r w:rsidRPr="004C7244">
        <w:rPr>
          <w:rFonts w:ascii="Arial" w:hAnsi="Arial"/>
          <w:b/>
          <w:i/>
          <w:sz w:val="20"/>
          <w:szCs w:val="20"/>
        </w:rPr>
        <w:t>Front Office</w:t>
      </w:r>
    </w:p>
    <w:p w:rsidR="0040385F" w:rsidRPr="004B3BDF" w:rsidRDefault="0040385F" w:rsidP="00FE4A44">
      <w:pPr>
        <w:pStyle w:val="body"/>
        <w:spacing w:before="120" w:after="120" w:line="240" w:lineRule="auto"/>
        <w:jc w:val="both"/>
        <w:rPr>
          <w:rFonts w:ascii="Arial" w:hAnsi="Arial" w:cs="Arial"/>
          <w:sz w:val="20"/>
          <w:szCs w:val="20"/>
        </w:rPr>
      </w:pPr>
      <w:r w:rsidRPr="004B3BDF">
        <w:rPr>
          <w:rFonts w:ascii="Arial" w:hAnsi="Arial" w:cs="Arial"/>
          <w:sz w:val="20"/>
          <w:szCs w:val="20"/>
        </w:rPr>
        <w:t>As the name suggests, Front Office is the organization’s interface with the outside world. They deal with management reporting to client, marketing new products, portfolio management strategies, initiation of trades etc.  The basic activities of Front Office can be broken down into the following areas:</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t>Sales -</w:t>
      </w:r>
      <w:r w:rsidRPr="004B3BDF">
        <w:rPr>
          <w:rFonts w:ascii="Arial" w:hAnsi="Arial" w:cs="Arial"/>
          <w:sz w:val="20"/>
          <w:szCs w:val="20"/>
        </w:rPr>
        <w:t xml:space="preserve"> This particular function relates to Account Opening, Relationship Management and transmitting of research information to the clients.</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t>Client Service -</w:t>
      </w:r>
      <w:r w:rsidRPr="004B3BDF">
        <w:rPr>
          <w:rFonts w:ascii="Arial" w:hAnsi="Arial" w:cs="Arial"/>
          <w:sz w:val="20"/>
          <w:szCs w:val="20"/>
        </w:rPr>
        <w:t xml:space="preserve"> The client service team looks after the day-to-day requirements of the Institutional investors. It does the cash management, reporting and takes care of the issues that arise in the account operation.</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lastRenderedPageBreak/>
        <w:t>Portfolio Management -</w:t>
      </w:r>
      <w:r w:rsidRPr="004B3BDF">
        <w:rPr>
          <w:rFonts w:ascii="Arial" w:hAnsi="Arial" w:cs="Arial"/>
          <w:sz w:val="20"/>
          <w:szCs w:val="20"/>
        </w:rPr>
        <w:t xml:space="preserve"> Portfolio Management refers to the indispensable task of advising and designing a portfolio depending upon the in-house research and client mandate. It is a combination of investment views and risk analysis which then goes into designing a portfolio of various securities for a client. Financial advisors are a part of this team.</w:t>
      </w:r>
    </w:p>
    <w:p w:rsidR="0040385F" w:rsidRPr="004C7244" w:rsidRDefault="0040385F" w:rsidP="004C7244">
      <w:pPr>
        <w:rPr>
          <w:rFonts w:ascii="Arial" w:hAnsi="Arial"/>
          <w:b/>
          <w:i/>
          <w:sz w:val="20"/>
          <w:szCs w:val="20"/>
        </w:rPr>
      </w:pPr>
      <w:r w:rsidRPr="004C7244">
        <w:rPr>
          <w:rFonts w:ascii="Arial" w:hAnsi="Arial"/>
          <w:b/>
          <w:i/>
          <w:sz w:val="20"/>
          <w:szCs w:val="20"/>
        </w:rPr>
        <w:t>Middle Office</w:t>
      </w:r>
    </w:p>
    <w:p w:rsidR="0040385F" w:rsidRPr="004B3BDF" w:rsidRDefault="0040385F" w:rsidP="00FE4A44">
      <w:pPr>
        <w:pStyle w:val="body"/>
        <w:spacing w:before="120" w:after="120" w:line="240" w:lineRule="auto"/>
        <w:jc w:val="both"/>
        <w:rPr>
          <w:rFonts w:ascii="Arial" w:hAnsi="Arial" w:cs="Arial"/>
          <w:sz w:val="20"/>
          <w:szCs w:val="20"/>
        </w:rPr>
      </w:pPr>
      <w:r w:rsidRPr="004B3BDF">
        <w:rPr>
          <w:rFonts w:ascii="Arial" w:hAnsi="Arial" w:cs="Arial"/>
          <w:sz w:val="20"/>
          <w:szCs w:val="20"/>
        </w:rPr>
        <w:t>Middle office personnel are involved in Order management, Trade settlement and Risk management. Apart from this, middle office reconciles all disputes with external parties including data vendors, brokerage firms and custodian etc. The basic activities of the Middle Office are the following:</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t>Order Management -</w:t>
      </w:r>
      <w:r w:rsidRPr="004B3BDF">
        <w:rPr>
          <w:rFonts w:ascii="Arial" w:hAnsi="Arial" w:cs="Arial"/>
          <w:sz w:val="20"/>
          <w:szCs w:val="20"/>
        </w:rPr>
        <w:t xml:space="preserve"> Once the order is placed in the system for any particular transaction (Buy / Sell / Cancel) it is the responsibility of the middle office to execute the orders. It ensures that the order is sent to the exchange, relevant confirmation is received and databases updated. </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t>Risk Management -</w:t>
      </w:r>
      <w:r w:rsidRPr="004B3BDF">
        <w:rPr>
          <w:rFonts w:ascii="Arial" w:hAnsi="Arial" w:cs="Arial"/>
          <w:sz w:val="20"/>
          <w:szCs w:val="20"/>
        </w:rPr>
        <w:t xml:space="preserve"> The risk management function has the responsibility of performing all the necessary Pre-Trade and Post-Trade compliance checks in order to ensure that the orders executed meet the specific requirement set down by the institution as well as to ensure that the executed orders are well within the limits and norms laid down both by the institution and the regulator. Risk Analysis also conducts periodical risk monitoring with respect to the overall variability of the portfolio and recommends desired changes in positions.</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t>Research -</w:t>
      </w:r>
      <w:r w:rsidRPr="004B3BDF">
        <w:rPr>
          <w:rFonts w:ascii="Arial" w:hAnsi="Arial" w:cs="Arial"/>
          <w:sz w:val="20"/>
          <w:szCs w:val="20"/>
        </w:rPr>
        <w:t xml:space="preserve"> The middle office is also responsible for conducting the all-important function of research. This research then goes in as an input for the portfolio manager’s decision making and arriving at a decision for buy/sell of a particular security.</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t>Trade Settlement and Reporting -</w:t>
      </w:r>
      <w:r w:rsidRPr="004B3BDF">
        <w:rPr>
          <w:rFonts w:ascii="Arial" w:hAnsi="Arial" w:cs="Arial"/>
          <w:sz w:val="20"/>
          <w:szCs w:val="20"/>
        </w:rPr>
        <w:t xml:space="preserve"> Once the trade is executed, the same has to be settled and reported to the relevant systems. This critical activity is performed by the Middle Office and involves </w:t>
      </w:r>
      <w:proofErr w:type="spellStart"/>
      <w:r w:rsidRPr="004B3BDF">
        <w:rPr>
          <w:rFonts w:ascii="Arial" w:hAnsi="Arial" w:cs="Arial"/>
          <w:sz w:val="20"/>
          <w:szCs w:val="20"/>
        </w:rPr>
        <w:t>liasoning</w:t>
      </w:r>
      <w:proofErr w:type="spellEnd"/>
      <w:r w:rsidRPr="004B3BDF">
        <w:rPr>
          <w:rFonts w:ascii="Arial" w:hAnsi="Arial" w:cs="Arial"/>
          <w:sz w:val="20"/>
          <w:szCs w:val="20"/>
        </w:rPr>
        <w:t xml:space="preserve"> with the outside world represented by the Stock Exchange, Clearing Agency, Depositories and Custodians.</w:t>
      </w:r>
    </w:p>
    <w:p w:rsidR="0040385F" w:rsidRPr="004C7244" w:rsidRDefault="0040385F" w:rsidP="004C7244">
      <w:pPr>
        <w:rPr>
          <w:rFonts w:ascii="Arial" w:hAnsi="Arial"/>
          <w:b/>
          <w:i/>
          <w:sz w:val="20"/>
          <w:szCs w:val="20"/>
        </w:rPr>
      </w:pPr>
      <w:r w:rsidRPr="004C7244">
        <w:rPr>
          <w:rFonts w:ascii="Arial" w:hAnsi="Arial"/>
          <w:b/>
          <w:i/>
          <w:sz w:val="20"/>
          <w:szCs w:val="20"/>
        </w:rPr>
        <w:t>Back Office</w:t>
      </w:r>
    </w:p>
    <w:p w:rsidR="0040385F" w:rsidRPr="004B3BDF" w:rsidRDefault="0040385F" w:rsidP="00FE4A44">
      <w:pPr>
        <w:pStyle w:val="body"/>
        <w:spacing w:before="120" w:after="120" w:line="240" w:lineRule="auto"/>
        <w:jc w:val="both"/>
        <w:rPr>
          <w:rFonts w:ascii="Arial" w:hAnsi="Arial" w:cs="Arial"/>
          <w:sz w:val="20"/>
          <w:szCs w:val="20"/>
        </w:rPr>
      </w:pPr>
      <w:r w:rsidRPr="004B3BDF">
        <w:rPr>
          <w:rFonts w:ascii="Arial" w:hAnsi="Arial" w:cs="Arial"/>
          <w:sz w:val="20"/>
          <w:szCs w:val="20"/>
        </w:rPr>
        <w:t>Back office personnel take care of Portfolio Accounting, Financial Accounting and managing data repository for asset, reference, party and positions.</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t>Financial Accounting -</w:t>
      </w:r>
      <w:r w:rsidRPr="004B3BDF">
        <w:rPr>
          <w:rFonts w:ascii="Arial" w:hAnsi="Arial" w:cs="Arial"/>
          <w:sz w:val="20"/>
          <w:szCs w:val="20"/>
        </w:rPr>
        <w:t xml:space="preserve"> The Financial accounting function involves the traditional book keeping function, fees Calculations and computation of daily P&amp;L Statements. It keeps a close tab on the financial position of as such and performs the task of calculating and determining the profitability of the Asset Management function.</w:t>
      </w:r>
    </w:p>
    <w:p w:rsidR="0040385F" w:rsidRPr="004B3BDF" w:rsidRDefault="0040385F" w:rsidP="009A6173">
      <w:pPr>
        <w:pStyle w:val="body"/>
        <w:spacing w:before="120" w:after="120" w:line="240" w:lineRule="auto"/>
        <w:ind w:left="576"/>
        <w:jc w:val="both"/>
        <w:rPr>
          <w:rFonts w:ascii="Arial" w:hAnsi="Arial" w:cs="Arial"/>
          <w:sz w:val="20"/>
          <w:szCs w:val="20"/>
        </w:rPr>
      </w:pPr>
      <w:r w:rsidRPr="00554B32">
        <w:rPr>
          <w:rFonts w:ascii="Arial" w:hAnsi="Arial" w:cs="Arial"/>
          <w:i/>
          <w:sz w:val="20"/>
          <w:szCs w:val="20"/>
        </w:rPr>
        <w:t>Portfolio Accounting -</w:t>
      </w:r>
      <w:r w:rsidRPr="004B3BDF">
        <w:rPr>
          <w:rFonts w:ascii="Arial" w:hAnsi="Arial" w:cs="Arial"/>
          <w:sz w:val="20"/>
          <w:szCs w:val="20"/>
        </w:rPr>
        <w:t xml:space="preserve"> The Back office also provides various miscellaneous services to the investor with respect to the monitoring of Securities, funds, corporate actions and margin maintenance. All these form a critical part of any assert management workflow and are handled by the Back Office arm. </w:t>
      </w:r>
    </w:p>
    <w:p w:rsidR="0040385F" w:rsidRPr="004B3BDF" w:rsidRDefault="0040385F" w:rsidP="00FE4A44">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As we can see from the diagram above, the various sections of the organization interact with each other and ensure that the entire process for the investment decisions get completed </w:t>
      </w:r>
      <w:r w:rsidRPr="004B3BDF">
        <w:rPr>
          <w:rFonts w:ascii="Arial" w:hAnsi="Arial" w:cs="Arial"/>
          <w:sz w:val="20"/>
          <w:szCs w:val="20"/>
        </w:rPr>
        <w:lastRenderedPageBreak/>
        <w:t xml:space="preserve">smoothly. In the process they also interact with external systems like the Depositories and Custodians. </w:t>
      </w:r>
    </w:p>
    <w:p w:rsidR="0040385F" w:rsidRDefault="0040385F" w:rsidP="00FE4A44">
      <w:pPr>
        <w:pStyle w:val="body"/>
        <w:spacing w:before="120" w:after="120" w:line="240" w:lineRule="auto"/>
        <w:jc w:val="both"/>
        <w:rPr>
          <w:rFonts w:ascii="Arial" w:hAnsi="Arial" w:cs="Arial"/>
          <w:sz w:val="20"/>
          <w:szCs w:val="20"/>
        </w:rPr>
      </w:pPr>
      <w:r w:rsidRPr="004B3BDF">
        <w:rPr>
          <w:rFonts w:ascii="Arial" w:hAnsi="Arial" w:cs="Arial"/>
          <w:sz w:val="20"/>
          <w:szCs w:val="20"/>
        </w:rPr>
        <w:t>The various functions of the Front, Middle and the Back office may also overlap in a few cases. Though the description is by and large true, what is important here is to realize that the above schema represents a broad break-up of activities and is in no sense watertight in its classification between various groups.</w:t>
      </w:r>
    </w:p>
    <w:p w:rsidR="004C7244" w:rsidRPr="00BF50FB" w:rsidRDefault="004C7244" w:rsidP="004C7244">
      <w:pPr>
        <w:pStyle w:val="Heading3"/>
        <w:keepNext w:val="0"/>
        <w:tabs>
          <w:tab w:val="clear" w:pos="6444"/>
          <w:tab w:val="num" w:pos="540"/>
        </w:tabs>
        <w:spacing w:before="120" w:after="120" w:line="240" w:lineRule="atLeast"/>
        <w:ind w:left="0" w:firstLine="0"/>
        <w:jc w:val="both"/>
        <w:rPr>
          <w:i w:val="0"/>
          <w:color w:val="000000"/>
        </w:rPr>
      </w:pPr>
      <w:r w:rsidRPr="00BF50FB">
        <w:rPr>
          <w:i w:val="0"/>
          <w:color w:val="000000"/>
        </w:rPr>
        <w:t>Eco-system &amp; Interfaces</w:t>
      </w:r>
    </w:p>
    <w:p w:rsidR="004C7244" w:rsidRPr="00C135D9" w:rsidRDefault="004C7244" w:rsidP="004C7244">
      <w:pPr>
        <w:jc w:val="both"/>
        <w:rPr>
          <w:rFonts w:ascii="Arial" w:hAnsi="Arial" w:cs="Arial"/>
          <w:color w:val="000000"/>
          <w:sz w:val="20"/>
          <w:szCs w:val="20"/>
        </w:rPr>
      </w:pPr>
      <w:r w:rsidRPr="00C135D9">
        <w:rPr>
          <w:rFonts w:ascii="Arial" w:hAnsi="Arial" w:cs="Arial"/>
          <w:color w:val="000000"/>
          <w:sz w:val="20"/>
          <w:szCs w:val="20"/>
        </w:rPr>
        <w:t>The following figure shows the typical IT systems view of Institutional Asset Management:</w:t>
      </w:r>
    </w:p>
    <w:p w:rsidR="004C7244" w:rsidRDefault="00C164AF" w:rsidP="004C7244">
      <w:pPr>
        <w:jc w:val="both"/>
        <w:rPr>
          <w:rFonts w:cs="Arial"/>
        </w:rPr>
      </w:pPr>
      <w:r>
        <w:rPr>
          <w:rFonts w:cs="Arial"/>
          <w:noProof/>
        </w:rPr>
        <w:drawing>
          <wp:inline distT="0" distB="0" distL="0" distR="0">
            <wp:extent cx="5572125" cy="4276725"/>
            <wp:effectExtent l="19050" t="0" r="9525" b="0"/>
            <wp:docPr id="14" name="Picture 14" descr="IT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T Pro"/>
                    <pic:cNvPicPr>
                      <a:picLocks noChangeAspect="1" noChangeArrowheads="1"/>
                    </pic:cNvPicPr>
                  </pic:nvPicPr>
                  <pic:blipFill>
                    <a:blip r:embed="rId107" cstate="print"/>
                    <a:srcRect/>
                    <a:stretch>
                      <a:fillRect/>
                    </a:stretch>
                  </pic:blipFill>
                  <pic:spPr bwMode="auto">
                    <a:xfrm>
                      <a:off x="0" y="0"/>
                      <a:ext cx="5572125" cy="4276725"/>
                    </a:xfrm>
                    <a:prstGeom prst="rect">
                      <a:avLst/>
                    </a:prstGeom>
                    <a:noFill/>
                    <a:ln w="9525">
                      <a:noFill/>
                      <a:miter lim="800000"/>
                      <a:headEnd/>
                      <a:tailEnd/>
                    </a:ln>
                  </pic:spPr>
                </pic:pic>
              </a:graphicData>
            </a:graphic>
          </wp:inline>
        </w:drawing>
      </w:r>
    </w:p>
    <w:p w:rsidR="004C7244" w:rsidRPr="006901E2" w:rsidRDefault="004C7244" w:rsidP="004C7244">
      <w:pPr>
        <w:jc w:val="both"/>
        <w:rPr>
          <w:rFonts w:ascii="Arial" w:hAnsi="Arial" w:cs="Arial"/>
          <w:sz w:val="20"/>
          <w:szCs w:val="20"/>
        </w:rPr>
      </w:pPr>
      <w:r w:rsidRPr="006901E2">
        <w:rPr>
          <w:rFonts w:ascii="Arial" w:hAnsi="Arial" w:cs="Arial"/>
          <w:sz w:val="20"/>
          <w:szCs w:val="20"/>
        </w:rPr>
        <w:t>An Institutional Asset Management firm uses many applications, which takes care of the entire system. IT systems are typically required to capture, analyze, and report data to make the processes more efficient. The firm handles loads of data, which takes the form of a data warehouse at any moment. Thus an effective IT system becomes essential.</w:t>
      </w:r>
    </w:p>
    <w:p w:rsidR="004C7244" w:rsidRPr="006901E2" w:rsidRDefault="004C7244" w:rsidP="004C7244">
      <w:pPr>
        <w:jc w:val="both"/>
        <w:rPr>
          <w:rFonts w:ascii="Arial" w:hAnsi="Arial" w:cs="Arial"/>
          <w:sz w:val="20"/>
          <w:szCs w:val="20"/>
        </w:rPr>
      </w:pPr>
      <w:r w:rsidRPr="006901E2">
        <w:rPr>
          <w:rFonts w:ascii="Arial" w:hAnsi="Arial" w:cs="Arial"/>
          <w:color w:val="000000"/>
          <w:sz w:val="20"/>
          <w:szCs w:val="20"/>
        </w:rPr>
        <w:t>The following section gives brief description of the constituent applications and sub-systems of the IT system for institutional asset management. In terms of actual deployment, applications that combine the roles of one or many of the sub-systems may exist.</w:t>
      </w:r>
    </w:p>
    <w:p w:rsidR="004C7244" w:rsidRPr="006901E2" w:rsidRDefault="004C7244" w:rsidP="004C7244">
      <w:pPr>
        <w:jc w:val="both"/>
        <w:rPr>
          <w:rFonts w:ascii="Arial" w:hAnsi="Arial" w:cs="Arial"/>
          <w:color w:val="000000"/>
          <w:sz w:val="20"/>
          <w:szCs w:val="20"/>
        </w:rPr>
      </w:pPr>
      <w:r w:rsidRPr="006901E2">
        <w:rPr>
          <w:rFonts w:ascii="Arial" w:hAnsi="Arial" w:cs="Arial"/>
          <w:i/>
          <w:sz w:val="20"/>
          <w:szCs w:val="20"/>
        </w:rPr>
        <w:t>Investor Profiling System:</w:t>
      </w:r>
      <w:r w:rsidRPr="006901E2">
        <w:rPr>
          <w:rFonts w:ascii="Arial" w:hAnsi="Arial" w:cs="Arial"/>
          <w:sz w:val="20"/>
          <w:szCs w:val="20"/>
        </w:rPr>
        <w:t xml:space="preserve"> </w:t>
      </w:r>
      <w:r w:rsidRPr="006901E2">
        <w:rPr>
          <w:rFonts w:ascii="Arial" w:hAnsi="Arial" w:cs="Arial"/>
          <w:color w:val="000000"/>
          <w:sz w:val="20"/>
          <w:szCs w:val="20"/>
        </w:rPr>
        <w:t>These applications interface with the various channels such as Internet, Fax, Portal, Branch Applications and the various protocols that the channels may be using and convert the messages to a format that can be accepted by the internal systems.</w:t>
      </w:r>
    </w:p>
    <w:p w:rsidR="004C7244" w:rsidRPr="006901E2" w:rsidRDefault="004C7244" w:rsidP="004C7244">
      <w:pPr>
        <w:jc w:val="both"/>
        <w:rPr>
          <w:rFonts w:ascii="Arial" w:hAnsi="Arial" w:cs="Arial"/>
          <w:color w:val="000000"/>
          <w:sz w:val="20"/>
          <w:szCs w:val="20"/>
        </w:rPr>
      </w:pPr>
      <w:r w:rsidRPr="006901E2">
        <w:rPr>
          <w:rFonts w:ascii="Arial" w:hAnsi="Arial" w:cs="Arial"/>
          <w:i/>
          <w:color w:val="000000"/>
          <w:sz w:val="20"/>
          <w:szCs w:val="20"/>
        </w:rPr>
        <w:t>Portfolio Management System:</w:t>
      </w:r>
      <w:r w:rsidRPr="006901E2">
        <w:rPr>
          <w:rFonts w:ascii="Arial" w:hAnsi="Arial" w:cs="Arial"/>
          <w:color w:val="000000"/>
          <w:sz w:val="20"/>
          <w:szCs w:val="20"/>
        </w:rPr>
        <w:t xml:space="preserve"> Data Capture application is used to capture data from the interface and its core responsibility is to make the data available to the </w:t>
      </w:r>
      <w:proofErr w:type="spellStart"/>
      <w:r w:rsidRPr="006901E2">
        <w:rPr>
          <w:rFonts w:ascii="Arial" w:hAnsi="Arial" w:cs="Arial"/>
          <w:color w:val="000000"/>
          <w:sz w:val="20"/>
          <w:szCs w:val="20"/>
        </w:rPr>
        <w:t>down stream</w:t>
      </w:r>
      <w:proofErr w:type="spellEnd"/>
      <w:r w:rsidRPr="006901E2">
        <w:rPr>
          <w:rFonts w:ascii="Arial" w:hAnsi="Arial" w:cs="Arial"/>
          <w:color w:val="000000"/>
          <w:sz w:val="20"/>
          <w:szCs w:val="20"/>
        </w:rPr>
        <w:t xml:space="preserve"> internal systems in proper format.</w:t>
      </w:r>
      <w:r>
        <w:rPr>
          <w:rFonts w:ascii="Arial" w:hAnsi="Arial" w:cs="Arial"/>
          <w:color w:val="000000"/>
          <w:sz w:val="20"/>
          <w:szCs w:val="20"/>
        </w:rPr>
        <w:t xml:space="preserve"> </w:t>
      </w:r>
      <w:r w:rsidRPr="006901E2">
        <w:rPr>
          <w:rFonts w:ascii="Arial" w:hAnsi="Arial" w:cs="Arial"/>
          <w:color w:val="000000"/>
          <w:sz w:val="20"/>
          <w:szCs w:val="20"/>
        </w:rPr>
        <w:t xml:space="preserve">Once proper data about investor’s profile is available, Allocation application feeds in data from rating agencies and data vendors (external systems). Allocation </w:t>
      </w:r>
      <w:r w:rsidRPr="006901E2">
        <w:rPr>
          <w:rFonts w:ascii="Arial" w:hAnsi="Arial" w:cs="Arial"/>
          <w:color w:val="000000"/>
          <w:sz w:val="20"/>
          <w:szCs w:val="20"/>
        </w:rPr>
        <w:lastRenderedPageBreak/>
        <w:t>system will use the various inputs to allocate assets for the investors’ portfolio. The application will then initiate the order management system to generate portfolio orders.</w:t>
      </w:r>
    </w:p>
    <w:p w:rsidR="004C7244" w:rsidRPr="006901E2" w:rsidRDefault="004C7244" w:rsidP="004C7244">
      <w:pPr>
        <w:jc w:val="both"/>
        <w:rPr>
          <w:rFonts w:ascii="Arial" w:hAnsi="Arial" w:cs="Arial"/>
          <w:color w:val="000000"/>
          <w:sz w:val="20"/>
          <w:szCs w:val="20"/>
        </w:rPr>
      </w:pPr>
      <w:r w:rsidRPr="006901E2">
        <w:rPr>
          <w:rFonts w:ascii="Arial" w:hAnsi="Arial" w:cs="Arial"/>
          <w:color w:val="000000"/>
          <w:sz w:val="20"/>
          <w:szCs w:val="20"/>
        </w:rPr>
        <w:t>Evaluation system will use the inputs from order management system and allocation to evaluate the performance of the portfolio. It will also take feeds from external data vendors who provide information on various indices and peer portfolios.</w:t>
      </w:r>
    </w:p>
    <w:p w:rsidR="004C7244" w:rsidRPr="006901E2" w:rsidRDefault="004C7244" w:rsidP="004C7244">
      <w:pPr>
        <w:jc w:val="both"/>
        <w:rPr>
          <w:rFonts w:ascii="Arial" w:hAnsi="Arial" w:cs="Arial"/>
          <w:sz w:val="20"/>
          <w:szCs w:val="20"/>
        </w:rPr>
      </w:pPr>
      <w:r w:rsidRPr="006901E2">
        <w:rPr>
          <w:rFonts w:ascii="Arial" w:hAnsi="Arial" w:cs="Arial"/>
          <w:sz w:val="20"/>
          <w:szCs w:val="20"/>
        </w:rPr>
        <w:t>Based on the evaluation report, revision application will again initiate the allocation application to revise the contents of the portfolio.</w:t>
      </w:r>
    </w:p>
    <w:p w:rsidR="004C7244" w:rsidRPr="006901E2" w:rsidRDefault="004C7244" w:rsidP="004C7244">
      <w:pPr>
        <w:jc w:val="both"/>
        <w:rPr>
          <w:rFonts w:ascii="Arial" w:hAnsi="Arial" w:cs="Arial"/>
          <w:sz w:val="20"/>
          <w:szCs w:val="20"/>
        </w:rPr>
      </w:pPr>
      <w:r w:rsidRPr="006901E2">
        <w:rPr>
          <w:rFonts w:ascii="Arial" w:hAnsi="Arial" w:cs="Arial"/>
          <w:i/>
          <w:sz w:val="20"/>
          <w:szCs w:val="20"/>
        </w:rPr>
        <w:t>Order Management System:</w:t>
      </w:r>
      <w:r w:rsidRPr="006901E2">
        <w:rPr>
          <w:rFonts w:ascii="Arial" w:hAnsi="Arial" w:cs="Arial"/>
          <w:b/>
          <w:sz w:val="20"/>
          <w:szCs w:val="20"/>
        </w:rPr>
        <w:t xml:space="preserve"> </w:t>
      </w:r>
      <w:r w:rsidRPr="006901E2">
        <w:rPr>
          <w:rFonts w:ascii="Arial" w:hAnsi="Arial" w:cs="Arial"/>
          <w:sz w:val="20"/>
          <w:szCs w:val="20"/>
        </w:rPr>
        <w:t xml:space="preserve">Portfolio order generator will initiate the trade order generator, which will enable placing of orders to the exchange via a broker/dealer. </w:t>
      </w:r>
    </w:p>
    <w:p w:rsidR="004C7244" w:rsidRPr="006901E2" w:rsidRDefault="004C7244" w:rsidP="004C7244">
      <w:pPr>
        <w:jc w:val="both"/>
        <w:rPr>
          <w:rFonts w:ascii="Arial" w:hAnsi="Arial" w:cs="Arial"/>
          <w:sz w:val="20"/>
          <w:szCs w:val="20"/>
        </w:rPr>
      </w:pPr>
      <w:r w:rsidRPr="006901E2">
        <w:rPr>
          <w:rFonts w:ascii="Arial" w:hAnsi="Arial" w:cs="Arial"/>
          <w:sz w:val="20"/>
          <w:szCs w:val="20"/>
        </w:rPr>
        <w:t>The responsibility of the settlement system will be to ensure the movement of appropriate securities and cash in order to settle the transaction. Once settlement is done, the application will update the database and clients’ account with appropriate records.</w:t>
      </w:r>
    </w:p>
    <w:p w:rsidR="004C7244" w:rsidRPr="006901E2" w:rsidRDefault="004C7244" w:rsidP="004C7244">
      <w:pPr>
        <w:jc w:val="both"/>
        <w:rPr>
          <w:rFonts w:ascii="Arial" w:hAnsi="Arial" w:cs="Arial"/>
          <w:sz w:val="20"/>
          <w:szCs w:val="20"/>
        </w:rPr>
      </w:pPr>
    </w:p>
    <w:p w:rsidR="004C7244" w:rsidRPr="006901E2" w:rsidRDefault="004C7244" w:rsidP="004C7244">
      <w:pPr>
        <w:jc w:val="both"/>
        <w:rPr>
          <w:rFonts w:ascii="Arial" w:hAnsi="Arial" w:cs="Arial"/>
          <w:sz w:val="20"/>
          <w:szCs w:val="20"/>
        </w:rPr>
      </w:pPr>
      <w:r w:rsidRPr="006901E2">
        <w:rPr>
          <w:rFonts w:ascii="Arial" w:hAnsi="Arial" w:cs="Arial"/>
          <w:i/>
          <w:sz w:val="20"/>
          <w:szCs w:val="20"/>
        </w:rPr>
        <w:t>Reporting System:</w:t>
      </w:r>
      <w:r w:rsidRPr="006901E2">
        <w:rPr>
          <w:rFonts w:ascii="Arial" w:hAnsi="Arial" w:cs="Arial"/>
          <w:sz w:val="20"/>
          <w:szCs w:val="20"/>
        </w:rPr>
        <w:t xml:space="preserve"> Data capture will capture all the essential performance data, trading data, fees and expense, and all other relevant data required for accounting purpose. </w:t>
      </w:r>
    </w:p>
    <w:p w:rsidR="004C7244" w:rsidRPr="006901E2" w:rsidRDefault="004C7244" w:rsidP="004C7244">
      <w:pPr>
        <w:jc w:val="both"/>
        <w:rPr>
          <w:rFonts w:ascii="Arial" w:hAnsi="Arial" w:cs="Arial"/>
          <w:sz w:val="20"/>
          <w:szCs w:val="20"/>
        </w:rPr>
      </w:pPr>
      <w:r w:rsidRPr="006901E2">
        <w:rPr>
          <w:rFonts w:ascii="Arial" w:hAnsi="Arial" w:cs="Arial"/>
          <w:sz w:val="20"/>
          <w:szCs w:val="20"/>
        </w:rPr>
        <w:t>The accounting application performs the all-important function of tracking the performance of the firm and drawing up its P&amp;L. It calculates the fees, charges and other such heads that are to be recovered from the clients. The accounting application ensures that the overall financial impact of all the activities of the Institutional Asset Management firm is recorded and taken into account.</w:t>
      </w:r>
    </w:p>
    <w:p w:rsidR="004C7244" w:rsidRPr="006901E2" w:rsidRDefault="004C7244" w:rsidP="004C7244">
      <w:pPr>
        <w:jc w:val="both"/>
        <w:rPr>
          <w:rFonts w:ascii="Arial" w:hAnsi="Arial" w:cs="Arial"/>
          <w:sz w:val="20"/>
          <w:szCs w:val="20"/>
        </w:rPr>
      </w:pPr>
      <w:r w:rsidRPr="006901E2">
        <w:rPr>
          <w:rFonts w:ascii="Arial" w:hAnsi="Arial" w:cs="Arial"/>
          <w:sz w:val="20"/>
          <w:szCs w:val="20"/>
        </w:rPr>
        <w:t>Once the accounting reports are available to the investment manager, he can generate reports from the report generator application. The reports will be generated for various regulators and investors.</w:t>
      </w:r>
    </w:p>
    <w:p w:rsidR="004C7244" w:rsidRPr="006901E2" w:rsidRDefault="004C7244" w:rsidP="004C7244">
      <w:pPr>
        <w:jc w:val="both"/>
        <w:rPr>
          <w:rFonts w:ascii="Arial" w:hAnsi="Arial" w:cs="Arial"/>
          <w:b/>
          <w:sz w:val="20"/>
          <w:szCs w:val="20"/>
        </w:rPr>
      </w:pPr>
      <w:r w:rsidRPr="006901E2">
        <w:rPr>
          <w:rFonts w:ascii="Arial" w:hAnsi="Arial" w:cs="Arial"/>
          <w:i/>
          <w:sz w:val="20"/>
          <w:szCs w:val="20"/>
        </w:rPr>
        <w:t>Servicing System</w:t>
      </w:r>
      <w:r w:rsidRPr="006901E2">
        <w:rPr>
          <w:rFonts w:ascii="Arial" w:hAnsi="Arial" w:cs="Arial"/>
          <w:sz w:val="20"/>
          <w:szCs w:val="20"/>
        </w:rPr>
        <w:t>:</w:t>
      </w:r>
      <w:r w:rsidRPr="006901E2">
        <w:rPr>
          <w:rFonts w:ascii="Arial" w:hAnsi="Arial" w:cs="Arial"/>
          <w:b/>
          <w:sz w:val="20"/>
          <w:szCs w:val="20"/>
        </w:rPr>
        <w:t xml:space="preserve"> </w:t>
      </w:r>
      <w:r w:rsidRPr="006901E2">
        <w:rPr>
          <w:rFonts w:ascii="Arial" w:hAnsi="Arial" w:cs="Arial"/>
          <w:sz w:val="20"/>
          <w:szCs w:val="20"/>
        </w:rPr>
        <w:t>Shareholder services take care of customer account maintenance, maintaining shareholder and employee information, payment, administration, solicitation and communication services. Apart from that it integrates account management, book-entry services, annual and special meeting services, abandoned property services and investment plan services. The application also caters to administrative functions.</w:t>
      </w:r>
      <w:r>
        <w:rPr>
          <w:rFonts w:ascii="Arial" w:hAnsi="Arial" w:cs="Arial"/>
          <w:sz w:val="20"/>
          <w:szCs w:val="20"/>
        </w:rPr>
        <w:t xml:space="preserve"> </w:t>
      </w:r>
      <w:r w:rsidRPr="006901E2">
        <w:rPr>
          <w:rFonts w:ascii="Arial" w:hAnsi="Arial" w:cs="Arial"/>
          <w:sz w:val="20"/>
          <w:szCs w:val="20"/>
        </w:rPr>
        <w:t>Treasury services will create the appropriate link between the internal system and banks for the proper movement of cash and securities to appropriate accounts.</w:t>
      </w:r>
    </w:p>
    <w:p w:rsidR="00CD2B14" w:rsidRDefault="00CD2B14" w:rsidP="0058535D">
      <w:pPr>
        <w:pStyle w:val="Heading2"/>
        <w:keepNext w:val="0"/>
        <w:spacing w:before="120" w:after="120" w:line="240" w:lineRule="atLeast"/>
        <w:ind w:left="0" w:firstLine="0"/>
        <w:jc w:val="both"/>
        <w:rPr>
          <w:szCs w:val="22"/>
        </w:rPr>
      </w:pPr>
      <w:bookmarkStart w:id="472" w:name="_Toc226530548"/>
      <w:r>
        <w:rPr>
          <w:szCs w:val="22"/>
        </w:rPr>
        <w:t>Products and Services</w:t>
      </w:r>
      <w:bookmarkEnd w:id="472"/>
    </w:p>
    <w:p w:rsidR="00CD2B14" w:rsidRPr="00CD2B14" w:rsidRDefault="00CD2B14" w:rsidP="00CD2B14">
      <w:pPr>
        <w:spacing w:before="120" w:after="120"/>
        <w:jc w:val="both"/>
        <w:rPr>
          <w:rFonts w:ascii="Arial" w:hAnsi="Arial" w:cs="Arial"/>
          <w:sz w:val="20"/>
          <w:szCs w:val="20"/>
        </w:rPr>
      </w:pPr>
      <w:r w:rsidRPr="00CD2B14">
        <w:rPr>
          <w:rFonts w:ascii="Arial" w:hAnsi="Arial" w:cs="Arial"/>
          <w:sz w:val="20"/>
          <w:szCs w:val="20"/>
        </w:rPr>
        <w:t>Depending on the risk appetite and return requirement of the institutional investors, the asset management firms offer a broad range of sophisticated strategies and investment solutions for institutions, intermediaries and retail clients.</w:t>
      </w:r>
    </w:p>
    <w:p w:rsidR="00CD2B14" w:rsidRPr="00D20E7A" w:rsidRDefault="00CD2B14" w:rsidP="00CD2B14">
      <w:pPr>
        <w:spacing w:before="120"/>
        <w:jc w:val="both"/>
        <w:rPr>
          <w:rFonts w:ascii="Arial" w:hAnsi="Arial" w:cs="Arial"/>
          <w:b/>
          <w:i/>
          <w:sz w:val="20"/>
          <w:szCs w:val="20"/>
        </w:rPr>
      </w:pPr>
      <w:bookmarkStart w:id="473" w:name="_Toc148438131"/>
      <w:r w:rsidRPr="00D20E7A">
        <w:rPr>
          <w:rFonts w:ascii="Arial" w:hAnsi="Arial" w:cs="Arial"/>
          <w:b/>
          <w:i/>
          <w:sz w:val="20"/>
          <w:szCs w:val="20"/>
        </w:rPr>
        <w:t>Products</w:t>
      </w:r>
      <w:bookmarkEnd w:id="473"/>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In order to fulfill the needs of different business segments, the products are tailored to include actively managed and risk-controlled investment disciplines across all major asset classes. The various products that the institutional investment management firms offer arise out of the different investment styles that they specialize in. Each investment style has a distinct investment objective and this essentially implies the level of risk associated with it. An investment style defines the nature of investments that would be made and essentially specifies the portfolio composition. Some of the most common investment styles that define the product categories are:</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Large Cap Growth</w:t>
      </w:r>
      <w:r w:rsidRPr="00CD2B14">
        <w:rPr>
          <w:rFonts w:ascii="Arial" w:hAnsi="Arial" w:cs="Arial"/>
          <w:sz w:val="20"/>
          <w:szCs w:val="20"/>
        </w:rPr>
        <w:t xml:space="preserve"> – This investment style focuses on investments in equities with a large market capitalization and that have demonstrated a high growth historically and consistently outperformed the Index (for e.g. Microsoft, IBM etc.). E.g. Structured Large Cap Growth Fund of Goldman Sachs &amp; Co is a foundation </w:t>
      </w:r>
      <w:smartTag w:uri="urn:schemas-microsoft-com:office:smarttags" w:element="place">
        <w:smartTag w:uri="urn:schemas-microsoft-com:office:smarttags" w:element="country-region">
          <w:r w:rsidRPr="00CD2B14">
            <w:rPr>
              <w:rFonts w:ascii="Arial" w:hAnsi="Arial" w:cs="Arial"/>
              <w:sz w:val="20"/>
              <w:szCs w:val="20"/>
            </w:rPr>
            <w:t>U.S.</w:t>
          </w:r>
        </w:smartTag>
      </w:smartTag>
      <w:r w:rsidRPr="00CD2B14">
        <w:rPr>
          <w:rFonts w:ascii="Arial" w:hAnsi="Arial" w:cs="Arial"/>
          <w:sz w:val="20"/>
          <w:szCs w:val="20"/>
        </w:rPr>
        <w:t xml:space="preserve"> large-cap growth investment, benchmarked to the Russell 1000 Growth Index. The fund is managed to have similar risk, capitalization, industry exposure and style characteristics to its benchmark, while seeking to add incremental return through better stock selection. The objective of the fund is to have a long-term growth of capital while income is a secondary consideration.</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Large Cap Value</w:t>
      </w:r>
      <w:r w:rsidRPr="00CD2B14">
        <w:rPr>
          <w:rFonts w:ascii="Arial" w:hAnsi="Arial" w:cs="Arial"/>
          <w:sz w:val="20"/>
          <w:szCs w:val="20"/>
        </w:rPr>
        <w:t xml:space="preserve"> - These investments focus on equities with large market </w:t>
      </w:r>
      <w:r w:rsidRPr="00CD2B14">
        <w:rPr>
          <w:rFonts w:ascii="Arial" w:hAnsi="Arial" w:cs="Arial"/>
          <w:sz w:val="20"/>
          <w:szCs w:val="20"/>
        </w:rPr>
        <w:lastRenderedPageBreak/>
        <w:t>capitalization and that have shown consistent performance. E.g. The Large Cap Value Fund of Goldman, Sachs &amp; Co invests primarily in large-capitalization U.S. equity investments and is subject to market risks so that the value of the securities in which it invests may go up or down in response to the prospects of individual companies, particular industry sectors and/or general economic conditions. The objective of the fund is long-term capital appreciation.</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Mid-Cap Growth</w:t>
      </w:r>
      <w:r w:rsidRPr="00CD2B14">
        <w:rPr>
          <w:rFonts w:ascii="Arial" w:hAnsi="Arial" w:cs="Arial"/>
          <w:sz w:val="20"/>
          <w:szCs w:val="20"/>
        </w:rPr>
        <w:t xml:space="preserve"> - This style seeks investments in mid cap stocks that have consistently outperformed the benchmarks. E.g. Vanguard Mid-Cap Growth Fund invests in mid-cap stocks. Advisors use fundamental bottom-up stock selection to analyze and identify companies that they believe have outstanding management and catalysts for growth, such as new products, market share gains and improving cost structure. Advisors look for EPS growth and proven and sustainable competitive advantages.</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Fixed Income</w:t>
      </w:r>
      <w:r w:rsidRPr="00CD2B14">
        <w:rPr>
          <w:rFonts w:ascii="Arial" w:hAnsi="Arial" w:cs="Arial"/>
          <w:sz w:val="20"/>
          <w:szCs w:val="20"/>
        </w:rPr>
        <w:t xml:space="preserve"> - This type focuses on fixed income securities such as corporate bonds, municipal bonds, US Treasuries etc. that would offer a less but assured fixed returns. E.g. Fixed Income fund of Parnassus Investments invests in bonds of companies with generally good credit ratings, (65% of its bonds are rated </w:t>
      </w:r>
      <w:proofErr w:type="gramStart"/>
      <w:r w:rsidRPr="00CD2B14">
        <w:rPr>
          <w:rFonts w:ascii="Arial" w:hAnsi="Arial" w:cs="Arial"/>
          <w:sz w:val="20"/>
          <w:szCs w:val="20"/>
        </w:rPr>
        <w:t>A or</w:t>
      </w:r>
      <w:proofErr w:type="gramEnd"/>
      <w:r w:rsidRPr="00CD2B14">
        <w:rPr>
          <w:rFonts w:ascii="Arial" w:hAnsi="Arial" w:cs="Arial"/>
          <w:sz w:val="20"/>
          <w:szCs w:val="20"/>
        </w:rPr>
        <w:t xml:space="preserve"> better). It invests in corporate bonds and some convertible bonds, as well as securities that finance moderate-income housing. The fund's objective is a high level of current income consistent with the safety and preservation of capital. </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 xml:space="preserve">Balanced </w:t>
      </w:r>
      <w:r w:rsidRPr="00CD2B14">
        <w:rPr>
          <w:rFonts w:ascii="Arial" w:hAnsi="Arial" w:cs="Arial"/>
          <w:sz w:val="20"/>
          <w:szCs w:val="20"/>
        </w:rPr>
        <w:t>- This style offers a blend of equities having the potential to offer high returns and fixed income investments that are relatively safe. E.g. HDFC Prudence Fund is a balanced fund. Its investment objective is to provide periodic returns and capital appreciation over a long period of time, from a judicious mix of equity and debt investments, with the aim to prevent/ minimize any capital erosion.</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Large Cap International</w:t>
      </w:r>
      <w:r w:rsidRPr="00CD2B14">
        <w:rPr>
          <w:rFonts w:ascii="Arial" w:hAnsi="Arial" w:cs="Arial"/>
          <w:sz w:val="20"/>
          <w:szCs w:val="20"/>
        </w:rPr>
        <w:t xml:space="preserve"> - This investment styles offers growth potential by investing in large cap stocks across various countries. E.g. </w:t>
      </w:r>
      <w:proofErr w:type="spellStart"/>
      <w:r w:rsidRPr="00CD2B14">
        <w:rPr>
          <w:rFonts w:ascii="Arial" w:hAnsi="Arial" w:cs="Arial"/>
          <w:sz w:val="20"/>
          <w:szCs w:val="20"/>
        </w:rPr>
        <w:t>Dimensional’s</w:t>
      </w:r>
      <w:proofErr w:type="spellEnd"/>
      <w:r w:rsidRPr="00CD2B14">
        <w:rPr>
          <w:rFonts w:ascii="Arial" w:hAnsi="Arial" w:cs="Arial"/>
          <w:sz w:val="20"/>
          <w:szCs w:val="20"/>
        </w:rPr>
        <w:t xml:space="preserve"> Large Cap International Portfolio is a no-load mutual fund designed to achieve long-term capital appreciation. The Portfolio pursues its objective by investing in the stocks of large non-US companies. Company size is measured on a country- or region-specific basis and based primarily on the market capitalization of operating companies traded on selected exchanges. The minimum market capitalization threshold varies by country or region and will change due to market conditions.</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Real Estate Fund</w:t>
      </w:r>
      <w:r w:rsidRPr="00CD2B14">
        <w:rPr>
          <w:rFonts w:ascii="Arial" w:hAnsi="Arial" w:cs="Arial"/>
          <w:sz w:val="20"/>
          <w:szCs w:val="20"/>
        </w:rPr>
        <w:t xml:space="preserve"> - A real estate is a mutual fund that invests primarily in residential and/or commercial real estate to produce income and capital gains for its unit holders. </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Commodity Fund</w:t>
      </w:r>
      <w:r w:rsidRPr="00CD2B14">
        <w:rPr>
          <w:rFonts w:ascii="Arial" w:hAnsi="Arial" w:cs="Arial"/>
          <w:sz w:val="20"/>
          <w:szCs w:val="20"/>
        </w:rPr>
        <w:t xml:space="preserve"> – These funds are a potentially rewarding way to diversify the investment portfolio beyond stocks and bonds.  That's because commodities act as a hedge against inflation. This means that the prices of commodities tend to rise in step with inflation.  This movement trends to run counter to stock prices. E.g. The Goldman Sachs Commodity Index (GSCI) is designed to provide investors with a reliable and publicly available benchmark for investment performance in the commodity markets comparable to the S&amp;P 500 or FT equity indices. The GSCI is a composite index of commodity sector returns, representing an unleveraged, long-only investment in commodity futures that is broadly diversified across the spectrum of commodities. The returns are calculated on a fully-collateralized basis with full reinvestment. The combination of these attributes provides investors with a representative and realistic picture of realizable returns attainable in the commodities markets. </w:t>
      </w:r>
    </w:p>
    <w:p w:rsidR="00CD2B14" w:rsidRPr="00CD2B14" w:rsidRDefault="00CD2B14" w:rsidP="00CD2B14">
      <w:pPr>
        <w:widowControl w:val="0"/>
        <w:numPr>
          <w:ilvl w:val="0"/>
          <w:numId w:val="62"/>
        </w:numPr>
        <w:spacing w:before="120"/>
        <w:ind w:right="115"/>
        <w:jc w:val="both"/>
        <w:rPr>
          <w:rFonts w:ascii="Arial" w:hAnsi="Arial" w:cs="Arial"/>
          <w:sz w:val="20"/>
          <w:szCs w:val="20"/>
        </w:rPr>
      </w:pPr>
      <w:r w:rsidRPr="003541AF">
        <w:rPr>
          <w:rFonts w:ascii="Arial" w:hAnsi="Arial" w:cs="Arial"/>
          <w:i/>
          <w:sz w:val="20"/>
          <w:szCs w:val="20"/>
        </w:rPr>
        <w:t>Currency Fund</w:t>
      </w:r>
      <w:r w:rsidRPr="00CD2B14">
        <w:rPr>
          <w:rFonts w:ascii="Arial" w:hAnsi="Arial" w:cs="Arial"/>
          <w:sz w:val="20"/>
          <w:szCs w:val="20"/>
        </w:rPr>
        <w:t xml:space="preserve"> – This type of investment style aims at investing in currencies of other countries in order to mitigate the risks associated with the depreciation of the </w:t>
      </w:r>
      <w:r w:rsidRPr="00CD2B14">
        <w:rPr>
          <w:rFonts w:ascii="Arial" w:hAnsi="Arial" w:cs="Arial"/>
          <w:sz w:val="20"/>
          <w:szCs w:val="20"/>
        </w:rPr>
        <w:lastRenderedPageBreak/>
        <w:t xml:space="preserve">domestic currency vis-à-vis the other currencies. E.g. The </w:t>
      </w:r>
      <w:proofErr w:type="spellStart"/>
      <w:r w:rsidRPr="00CD2B14">
        <w:rPr>
          <w:rFonts w:ascii="Arial" w:hAnsi="Arial" w:cs="Arial"/>
          <w:sz w:val="20"/>
          <w:szCs w:val="20"/>
        </w:rPr>
        <w:t>Merk</w:t>
      </w:r>
      <w:proofErr w:type="spellEnd"/>
      <w:r w:rsidRPr="00CD2B14">
        <w:rPr>
          <w:rFonts w:ascii="Arial" w:hAnsi="Arial" w:cs="Arial"/>
          <w:sz w:val="20"/>
          <w:szCs w:val="20"/>
        </w:rPr>
        <w:t xml:space="preserve"> Hard Currency Fund (MERKX) is a no-load mutual fund that invests in a basket of hard currencies from countries with strong monetary policies assembled to protect against the depreciation of the U.S. dollar relative to other currencies. </w:t>
      </w:r>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Commingled Vehicle: Like the 2a-7 funds (A 2A-7 is a SEC registered vehicle governed by the Rule SEC 2A-7 in the US, which being registered under 2A-7 are subject to detailed parameters on market &amp; operational risk that are set out in these regulations.) A commingled vehicle is an actively managed investment account by one, or more investment manager(s). They differ from the 2a-7 funds in their investment characteristics because they are not limited in average maturity and security selection. The potentially longer weighted average maturity may allow these funds to offer higher returns than the 2a-7 products, but may also change the risk profile of the investment. Although the longer maturity and lesser limitations on security selection allow for more diversified investing, the institution’s oversight is heightened due to these funds’ ability to invest in more complex securities. Most commingled investment vehicles are either registered SEC mutual funds or common trust accounts. They may have fluctuating unit values, or daily pricing, and each have specific or unique investment goals. Most colleges and universities utilize a commingled vehicle; however, treasury managers need to be familiar with the investment guidelines and maintain confidence in the investment manager(s).</w:t>
      </w:r>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 xml:space="preserve">Separately Managed Accounts: Apart from the above investment styles, the client might require a unique portfolio for specific tax and investment needs. In other words, the institutional asset managers must provide separately managed accounts for their clients’ specific needs. </w:t>
      </w:r>
    </w:p>
    <w:p w:rsidR="00CD2B14" w:rsidRPr="00CD2B14" w:rsidRDefault="00CD2B14" w:rsidP="00CD2B14">
      <w:pPr>
        <w:pStyle w:val="body"/>
        <w:spacing w:before="120" w:after="120" w:line="240" w:lineRule="auto"/>
        <w:jc w:val="both"/>
        <w:rPr>
          <w:rFonts w:ascii="Arial" w:hAnsi="Arial" w:cs="Arial"/>
          <w:color w:val="auto"/>
          <w:sz w:val="20"/>
          <w:szCs w:val="20"/>
        </w:rPr>
      </w:pPr>
      <w:r w:rsidRPr="00CD2B14">
        <w:rPr>
          <w:rFonts w:ascii="Arial" w:hAnsi="Arial" w:cs="Arial"/>
          <w:color w:val="auto"/>
          <w:sz w:val="20"/>
          <w:szCs w:val="20"/>
        </w:rPr>
        <w:t xml:space="preserve">A separately managed account is a portfolio of securities owned directly by the investor and managed by professional money manager for an asset-based fee. SMA or the separately managed accounts provides the individual investors the same quality of service as offered to institutional investors. The key features of SMA are – direct ownership, exclusivity, customization, and tax advantages. </w:t>
      </w:r>
    </w:p>
    <w:p w:rsidR="00CD2B14" w:rsidRPr="00CD2B14" w:rsidRDefault="00CD2B14" w:rsidP="00CD2B14">
      <w:pPr>
        <w:autoSpaceDE w:val="0"/>
        <w:autoSpaceDN w:val="0"/>
        <w:adjustRightInd w:val="0"/>
        <w:jc w:val="both"/>
        <w:rPr>
          <w:rFonts w:ascii="Arial" w:hAnsi="Arial" w:cs="Arial"/>
          <w:sz w:val="20"/>
          <w:szCs w:val="20"/>
        </w:rPr>
      </w:pPr>
      <w:r w:rsidRPr="00CD2B14">
        <w:rPr>
          <w:rFonts w:ascii="Arial" w:hAnsi="Arial" w:cs="Arial"/>
          <w:sz w:val="20"/>
          <w:szCs w:val="20"/>
        </w:rPr>
        <w:t>Separately managed accounts help investors build and manage their wealth by focusing on the investor's individual investment goals, time horizon, and risk tolerance. To determine these, a risk profile questionnaire is used. Clients receive a personalized Investment Policy Statement that outlines goals and the investment vehicles necessary to help achieve them. From there, the financial consultant chooses an asset allocation strategy that is used as a road map to achieve objectives. The financial consultant then recommends the investment managers’ best suited to manage the overall portfolio. Lastly, ongoing monitoring and review of the portfolio takes place at both the financial consultant and investment manager level.</w:t>
      </w:r>
    </w:p>
    <w:p w:rsidR="00CD2B14" w:rsidRPr="00CD2B14" w:rsidRDefault="00CD2B14" w:rsidP="00CD2B14">
      <w:pPr>
        <w:spacing w:before="120"/>
        <w:jc w:val="both"/>
        <w:rPr>
          <w:rFonts w:ascii="Arial" w:hAnsi="Arial" w:cs="Arial"/>
          <w:sz w:val="20"/>
          <w:szCs w:val="20"/>
        </w:rPr>
      </w:pPr>
      <w:bookmarkStart w:id="474" w:name="_Toc148438132"/>
      <w:r w:rsidRPr="00CD2B14">
        <w:rPr>
          <w:rFonts w:ascii="Arial" w:hAnsi="Arial" w:cs="Arial"/>
          <w:sz w:val="20"/>
          <w:szCs w:val="20"/>
        </w:rPr>
        <w:t>Services</w:t>
      </w:r>
      <w:bookmarkEnd w:id="474"/>
    </w:p>
    <w:p w:rsidR="00CD2B14" w:rsidRPr="00D20E7A" w:rsidRDefault="00CD2B14" w:rsidP="00CD2B14">
      <w:pPr>
        <w:spacing w:before="120"/>
        <w:jc w:val="both"/>
        <w:rPr>
          <w:rFonts w:ascii="Arial" w:hAnsi="Arial" w:cs="Arial"/>
          <w:b/>
          <w:i/>
          <w:sz w:val="20"/>
          <w:szCs w:val="20"/>
        </w:rPr>
      </w:pPr>
      <w:r w:rsidRPr="00D20E7A">
        <w:rPr>
          <w:rFonts w:ascii="Arial" w:hAnsi="Arial" w:cs="Arial"/>
          <w:b/>
          <w:i/>
          <w:sz w:val="20"/>
          <w:szCs w:val="20"/>
        </w:rPr>
        <w:t>Investment Advisory and Research Services</w:t>
      </w:r>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Investment advisors guide the investors with their investment decisions. With a varied array of investment products available, the investment advisor helps the investor with the right investment choices after studying the investor’s risk profile and investment objectives.</w:t>
      </w:r>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The following are the activities included within the investment advisory and research services:</w:t>
      </w:r>
    </w:p>
    <w:p w:rsidR="00CD2B14" w:rsidRPr="00CD2B14" w:rsidRDefault="00CD2B14" w:rsidP="00CD2B14">
      <w:pPr>
        <w:widowControl w:val="0"/>
        <w:numPr>
          <w:ilvl w:val="0"/>
          <w:numId w:val="63"/>
        </w:numPr>
        <w:spacing w:before="120"/>
        <w:ind w:right="115"/>
        <w:jc w:val="both"/>
        <w:rPr>
          <w:rFonts w:ascii="Arial" w:hAnsi="Arial" w:cs="Arial"/>
          <w:sz w:val="20"/>
          <w:szCs w:val="20"/>
        </w:rPr>
      </w:pPr>
      <w:r w:rsidRPr="00CD2B14">
        <w:rPr>
          <w:rFonts w:ascii="Arial" w:hAnsi="Arial" w:cs="Arial"/>
          <w:sz w:val="20"/>
          <w:szCs w:val="20"/>
        </w:rPr>
        <w:t>Designing an investment policy that balances long-term needs and risk tolerance</w:t>
      </w:r>
    </w:p>
    <w:p w:rsidR="00CD2B14" w:rsidRPr="00CD2B14" w:rsidRDefault="00CD2B14" w:rsidP="00CD2B14">
      <w:pPr>
        <w:widowControl w:val="0"/>
        <w:numPr>
          <w:ilvl w:val="0"/>
          <w:numId w:val="63"/>
        </w:numPr>
        <w:spacing w:before="120"/>
        <w:ind w:right="115"/>
        <w:jc w:val="both"/>
        <w:rPr>
          <w:rFonts w:ascii="Arial" w:hAnsi="Arial" w:cs="Arial"/>
          <w:sz w:val="20"/>
          <w:szCs w:val="20"/>
        </w:rPr>
      </w:pPr>
      <w:r w:rsidRPr="00CD2B14">
        <w:rPr>
          <w:rFonts w:ascii="Arial" w:hAnsi="Arial" w:cs="Arial"/>
          <w:sz w:val="20"/>
          <w:szCs w:val="20"/>
        </w:rPr>
        <w:t>Helping implement an asset allocation strategy</w:t>
      </w:r>
    </w:p>
    <w:p w:rsidR="00CD2B14" w:rsidRPr="00CD2B14" w:rsidRDefault="00CD2B14" w:rsidP="00CD2B14">
      <w:pPr>
        <w:widowControl w:val="0"/>
        <w:numPr>
          <w:ilvl w:val="0"/>
          <w:numId w:val="63"/>
        </w:numPr>
        <w:spacing w:before="120"/>
        <w:ind w:right="115"/>
        <w:jc w:val="both"/>
        <w:rPr>
          <w:rFonts w:ascii="Arial" w:hAnsi="Arial" w:cs="Arial"/>
          <w:sz w:val="20"/>
          <w:szCs w:val="20"/>
        </w:rPr>
      </w:pPr>
      <w:r w:rsidRPr="00CD2B14">
        <w:rPr>
          <w:rFonts w:ascii="Arial" w:hAnsi="Arial" w:cs="Arial"/>
          <w:sz w:val="20"/>
          <w:szCs w:val="20"/>
        </w:rPr>
        <w:t>Assisting in the selection of mutual funds and separate account managers focused on after-tax results, and, in some cases, reduce investment minimums and management fees</w:t>
      </w:r>
    </w:p>
    <w:p w:rsidR="00CD2B14" w:rsidRPr="00CD2B14" w:rsidRDefault="00CD2B14" w:rsidP="00CD2B14">
      <w:pPr>
        <w:widowControl w:val="0"/>
        <w:numPr>
          <w:ilvl w:val="0"/>
          <w:numId w:val="63"/>
        </w:numPr>
        <w:spacing w:before="120"/>
        <w:ind w:right="115"/>
        <w:jc w:val="both"/>
        <w:rPr>
          <w:rFonts w:ascii="Arial" w:hAnsi="Arial" w:cs="Arial"/>
          <w:sz w:val="20"/>
          <w:szCs w:val="20"/>
        </w:rPr>
      </w:pPr>
      <w:r w:rsidRPr="00CD2B14">
        <w:rPr>
          <w:rFonts w:ascii="Arial" w:hAnsi="Arial" w:cs="Arial"/>
          <w:sz w:val="20"/>
          <w:szCs w:val="20"/>
        </w:rPr>
        <w:t>Assessing the ongoing portfolio performance and helping evaluate the need for adjustments in the investment policy</w:t>
      </w:r>
    </w:p>
    <w:p w:rsidR="00CD2B14" w:rsidRPr="00D20E7A" w:rsidRDefault="00CD2B14" w:rsidP="00CD2B14">
      <w:pPr>
        <w:spacing w:before="120"/>
        <w:jc w:val="both"/>
        <w:rPr>
          <w:rFonts w:ascii="Arial" w:hAnsi="Arial" w:cs="Arial"/>
          <w:b/>
          <w:i/>
          <w:sz w:val="20"/>
          <w:szCs w:val="20"/>
        </w:rPr>
      </w:pPr>
      <w:r w:rsidRPr="00D20E7A">
        <w:rPr>
          <w:rFonts w:ascii="Arial" w:hAnsi="Arial" w:cs="Arial"/>
          <w:b/>
          <w:i/>
          <w:sz w:val="20"/>
          <w:szCs w:val="20"/>
        </w:rPr>
        <w:lastRenderedPageBreak/>
        <w:t>Portfolio and Risk Management</w:t>
      </w:r>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Portfolio and risk management services are provided to manage the portfolio of the investor. These services help the portfolio manager or investment manager to make sophisticated investment decisions that permit to classify, estimate, and control both the kind and amount of expected risk and return.</w:t>
      </w:r>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Portfolios are created after the asset allocation has been finalized. Portfolios are created by rational selection of stocks and other financial instruments that should form part of the intended investment basket.  Thereafter, a constant monitoring and tracking of the portfolio is done in order ensure the consistent performance of the portfolio and manage risks.  Activities under portfolio and risk management services include:</w:t>
      </w:r>
    </w:p>
    <w:p w:rsidR="00CD2B14" w:rsidRPr="00CD2B14" w:rsidRDefault="00CD2B14" w:rsidP="00CD2B14">
      <w:pPr>
        <w:widowControl w:val="0"/>
        <w:numPr>
          <w:ilvl w:val="0"/>
          <w:numId w:val="64"/>
        </w:numPr>
        <w:spacing w:before="120"/>
        <w:ind w:right="115"/>
        <w:jc w:val="both"/>
        <w:rPr>
          <w:rFonts w:ascii="Arial" w:hAnsi="Arial" w:cs="Arial"/>
          <w:sz w:val="20"/>
          <w:szCs w:val="20"/>
        </w:rPr>
      </w:pPr>
      <w:r w:rsidRPr="00CD2B14">
        <w:rPr>
          <w:rFonts w:ascii="Arial" w:hAnsi="Arial" w:cs="Arial"/>
          <w:sz w:val="20"/>
          <w:szCs w:val="20"/>
        </w:rPr>
        <w:t>Choosing an asset allocation model that has the highest likelihood of helping investors achieve their financial goals within their risk appetite. As the investor’s life situation and tolerance for risk changes, asset allocations are adjusted</w:t>
      </w:r>
    </w:p>
    <w:p w:rsidR="00CD2B14" w:rsidRPr="00CD2B14" w:rsidRDefault="00CD2B14" w:rsidP="00CD2B14">
      <w:pPr>
        <w:widowControl w:val="0"/>
        <w:numPr>
          <w:ilvl w:val="0"/>
          <w:numId w:val="64"/>
        </w:numPr>
        <w:spacing w:before="120"/>
        <w:ind w:right="115"/>
        <w:jc w:val="both"/>
        <w:rPr>
          <w:rFonts w:ascii="Arial" w:hAnsi="Arial" w:cs="Arial"/>
          <w:sz w:val="20"/>
          <w:szCs w:val="20"/>
        </w:rPr>
      </w:pPr>
      <w:r w:rsidRPr="00CD2B14">
        <w:rPr>
          <w:rFonts w:ascii="Arial" w:hAnsi="Arial" w:cs="Arial"/>
          <w:sz w:val="20"/>
          <w:szCs w:val="20"/>
        </w:rPr>
        <w:t>Posting and Balance Maintenance</w:t>
      </w:r>
    </w:p>
    <w:p w:rsidR="00CD2B14" w:rsidRPr="00CD2B14" w:rsidRDefault="00CD2B14" w:rsidP="00CD2B14">
      <w:pPr>
        <w:widowControl w:val="0"/>
        <w:numPr>
          <w:ilvl w:val="0"/>
          <w:numId w:val="64"/>
        </w:numPr>
        <w:spacing w:before="120"/>
        <w:ind w:right="115"/>
        <w:jc w:val="both"/>
        <w:rPr>
          <w:rFonts w:ascii="Arial" w:hAnsi="Arial" w:cs="Arial"/>
          <w:sz w:val="20"/>
          <w:szCs w:val="20"/>
        </w:rPr>
      </w:pPr>
      <w:r w:rsidRPr="00CD2B14">
        <w:rPr>
          <w:rFonts w:ascii="Arial" w:hAnsi="Arial" w:cs="Arial"/>
          <w:sz w:val="20"/>
          <w:szCs w:val="20"/>
        </w:rPr>
        <w:t>Investment Accounting</w:t>
      </w:r>
    </w:p>
    <w:p w:rsidR="00CD2B14" w:rsidRPr="00CD2B14" w:rsidRDefault="00CD2B14" w:rsidP="00CD2B14">
      <w:pPr>
        <w:widowControl w:val="0"/>
        <w:numPr>
          <w:ilvl w:val="0"/>
          <w:numId w:val="64"/>
        </w:numPr>
        <w:spacing w:before="120"/>
        <w:ind w:right="115"/>
        <w:jc w:val="both"/>
        <w:rPr>
          <w:rFonts w:ascii="Arial" w:hAnsi="Arial" w:cs="Arial"/>
          <w:sz w:val="20"/>
          <w:szCs w:val="20"/>
        </w:rPr>
      </w:pPr>
      <w:r w:rsidRPr="00CD2B14">
        <w:rPr>
          <w:rFonts w:ascii="Arial" w:hAnsi="Arial" w:cs="Arial"/>
          <w:sz w:val="20"/>
          <w:szCs w:val="20"/>
        </w:rPr>
        <w:t>Performance Measurement</w:t>
      </w:r>
    </w:p>
    <w:p w:rsidR="00CD2B14" w:rsidRPr="00CD2B14" w:rsidRDefault="00CD2B14" w:rsidP="00CD2B14">
      <w:pPr>
        <w:widowControl w:val="0"/>
        <w:numPr>
          <w:ilvl w:val="0"/>
          <w:numId w:val="64"/>
        </w:numPr>
        <w:spacing w:before="120"/>
        <w:ind w:right="115"/>
        <w:jc w:val="both"/>
        <w:rPr>
          <w:rFonts w:ascii="Arial" w:hAnsi="Arial" w:cs="Arial"/>
          <w:sz w:val="20"/>
          <w:szCs w:val="20"/>
        </w:rPr>
      </w:pPr>
      <w:r w:rsidRPr="00CD2B14">
        <w:rPr>
          <w:rFonts w:ascii="Arial" w:hAnsi="Arial" w:cs="Arial"/>
          <w:sz w:val="20"/>
          <w:szCs w:val="20"/>
        </w:rPr>
        <w:t xml:space="preserve">Data management </w:t>
      </w:r>
    </w:p>
    <w:p w:rsidR="00CD2B14" w:rsidRPr="00CD2B14" w:rsidRDefault="00CD2B14" w:rsidP="00CD2B14">
      <w:pPr>
        <w:widowControl w:val="0"/>
        <w:numPr>
          <w:ilvl w:val="0"/>
          <w:numId w:val="64"/>
        </w:numPr>
        <w:spacing w:before="120"/>
        <w:ind w:right="115"/>
        <w:jc w:val="both"/>
        <w:rPr>
          <w:rFonts w:ascii="Arial" w:hAnsi="Arial" w:cs="Arial"/>
          <w:sz w:val="20"/>
          <w:szCs w:val="20"/>
        </w:rPr>
      </w:pPr>
      <w:r w:rsidRPr="00CD2B14">
        <w:rPr>
          <w:rFonts w:ascii="Arial" w:hAnsi="Arial" w:cs="Arial"/>
          <w:sz w:val="20"/>
          <w:szCs w:val="20"/>
        </w:rPr>
        <w:t xml:space="preserve">Portfolio Performance Reporting </w:t>
      </w:r>
    </w:p>
    <w:p w:rsidR="00CD2B14" w:rsidRPr="00CD2B14" w:rsidRDefault="00CD2B14" w:rsidP="00CD2B14">
      <w:pPr>
        <w:widowControl w:val="0"/>
        <w:numPr>
          <w:ilvl w:val="0"/>
          <w:numId w:val="64"/>
        </w:numPr>
        <w:spacing w:before="120"/>
        <w:ind w:right="115"/>
        <w:jc w:val="both"/>
        <w:rPr>
          <w:rFonts w:ascii="Arial" w:hAnsi="Arial" w:cs="Arial"/>
          <w:sz w:val="20"/>
          <w:szCs w:val="20"/>
        </w:rPr>
      </w:pPr>
      <w:r w:rsidRPr="00CD2B14">
        <w:rPr>
          <w:rFonts w:ascii="Arial" w:hAnsi="Arial" w:cs="Arial"/>
          <w:sz w:val="20"/>
          <w:szCs w:val="20"/>
        </w:rPr>
        <w:t xml:space="preserve">Risk Management </w:t>
      </w:r>
    </w:p>
    <w:p w:rsidR="00CD2B14" w:rsidRPr="00CD2B14" w:rsidRDefault="00CD2B14" w:rsidP="00CD2B14">
      <w:pPr>
        <w:spacing w:before="120"/>
        <w:jc w:val="both"/>
        <w:rPr>
          <w:rFonts w:ascii="Arial" w:hAnsi="Arial" w:cs="Arial"/>
          <w:sz w:val="20"/>
          <w:szCs w:val="20"/>
        </w:rPr>
      </w:pPr>
    </w:p>
    <w:p w:rsidR="00CD2B14" w:rsidRPr="00D20E7A" w:rsidRDefault="00CD2B14" w:rsidP="00CD2B14">
      <w:pPr>
        <w:spacing w:before="120"/>
        <w:jc w:val="both"/>
        <w:rPr>
          <w:rFonts w:ascii="Arial" w:hAnsi="Arial" w:cs="Arial"/>
          <w:b/>
          <w:i/>
          <w:sz w:val="20"/>
          <w:szCs w:val="20"/>
        </w:rPr>
      </w:pPr>
      <w:r w:rsidRPr="00D20E7A">
        <w:rPr>
          <w:rFonts w:ascii="Arial" w:hAnsi="Arial" w:cs="Arial"/>
          <w:b/>
          <w:i/>
          <w:sz w:val="20"/>
          <w:szCs w:val="20"/>
        </w:rPr>
        <w:t>Brokerage Services</w:t>
      </w:r>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 xml:space="preserve">Asset management firms ensure smooth trading of the investor’s securities through brokerage services. The typical activities under this type of services are mentioned below. </w:t>
      </w:r>
    </w:p>
    <w:p w:rsidR="00CD2B14" w:rsidRPr="00CD2B14" w:rsidRDefault="00CD2B14" w:rsidP="00CD2B14">
      <w:pPr>
        <w:widowControl w:val="0"/>
        <w:numPr>
          <w:ilvl w:val="0"/>
          <w:numId w:val="65"/>
        </w:numPr>
        <w:spacing w:before="120"/>
        <w:ind w:right="115"/>
        <w:jc w:val="both"/>
        <w:rPr>
          <w:rFonts w:ascii="Arial" w:hAnsi="Arial" w:cs="Arial"/>
          <w:sz w:val="20"/>
          <w:szCs w:val="20"/>
        </w:rPr>
      </w:pPr>
      <w:r w:rsidRPr="00CD2B14">
        <w:rPr>
          <w:rFonts w:ascii="Arial" w:hAnsi="Arial" w:cs="Arial"/>
          <w:sz w:val="20"/>
          <w:szCs w:val="20"/>
        </w:rPr>
        <w:t>Order and Trade Management</w:t>
      </w:r>
    </w:p>
    <w:p w:rsidR="00CD2B14" w:rsidRPr="00CD2B14" w:rsidRDefault="00CD2B14" w:rsidP="00CD2B14">
      <w:pPr>
        <w:widowControl w:val="0"/>
        <w:numPr>
          <w:ilvl w:val="0"/>
          <w:numId w:val="65"/>
        </w:numPr>
        <w:spacing w:before="120"/>
        <w:ind w:right="115"/>
        <w:jc w:val="both"/>
        <w:rPr>
          <w:rFonts w:ascii="Arial" w:hAnsi="Arial" w:cs="Arial"/>
          <w:sz w:val="20"/>
          <w:szCs w:val="20"/>
        </w:rPr>
      </w:pPr>
      <w:r w:rsidRPr="00CD2B14">
        <w:rPr>
          <w:rFonts w:ascii="Arial" w:hAnsi="Arial" w:cs="Arial"/>
          <w:sz w:val="20"/>
          <w:szCs w:val="20"/>
        </w:rPr>
        <w:t>Trade Settlement and Reporting</w:t>
      </w:r>
    </w:p>
    <w:p w:rsidR="00CD2B14" w:rsidRPr="00CD2B14" w:rsidRDefault="00FC0435" w:rsidP="00CD2B14">
      <w:pPr>
        <w:widowControl w:val="0"/>
        <w:numPr>
          <w:ilvl w:val="0"/>
          <w:numId w:val="65"/>
        </w:numPr>
        <w:spacing w:before="120"/>
        <w:ind w:right="115"/>
        <w:jc w:val="both"/>
        <w:rPr>
          <w:rFonts w:ascii="Arial" w:hAnsi="Arial" w:cs="Arial"/>
          <w:sz w:val="20"/>
          <w:szCs w:val="20"/>
        </w:rPr>
      </w:pPr>
      <w:hyperlink r:id="rId108" w:history="1">
        <w:r w:rsidR="00CD2B14" w:rsidRPr="00CD2B14">
          <w:rPr>
            <w:rFonts w:ascii="Arial" w:hAnsi="Arial" w:cs="Arial"/>
            <w:sz w:val="20"/>
            <w:szCs w:val="20"/>
          </w:rPr>
          <w:t>Transition Management</w:t>
        </w:r>
      </w:hyperlink>
    </w:p>
    <w:p w:rsidR="00CD2B14" w:rsidRPr="00CD2B14" w:rsidRDefault="00CD2B14" w:rsidP="00CD2B14">
      <w:pPr>
        <w:widowControl w:val="0"/>
        <w:numPr>
          <w:ilvl w:val="0"/>
          <w:numId w:val="65"/>
        </w:numPr>
        <w:spacing w:before="120"/>
        <w:ind w:right="115"/>
        <w:jc w:val="both"/>
        <w:rPr>
          <w:rFonts w:ascii="Arial" w:hAnsi="Arial" w:cs="Arial"/>
          <w:sz w:val="20"/>
          <w:szCs w:val="20"/>
        </w:rPr>
      </w:pPr>
      <w:r w:rsidRPr="00CD2B14">
        <w:rPr>
          <w:rFonts w:ascii="Arial" w:hAnsi="Arial" w:cs="Arial"/>
          <w:sz w:val="20"/>
          <w:szCs w:val="20"/>
        </w:rPr>
        <w:t xml:space="preserve">Liquidating to cash </w:t>
      </w:r>
    </w:p>
    <w:p w:rsidR="00CD2B14" w:rsidRPr="00CD2B14" w:rsidRDefault="00CD2B14" w:rsidP="00CD2B14">
      <w:pPr>
        <w:widowControl w:val="0"/>
        <w:numPr>
          <w:ilvl w:val="0"/>
          <w:numId w:val="65"/>
        </w:numPr>
        <w:spacing w:before="120"/>
        <w:ind w:right="115"/>
        <w:jc w:val="both"/>
        <w:rPr>
          <w:rFonts w:ascii="Arial" w:hAnsi="Arial" w:cs="Arial"/>
          <w:sz w:val="20"/>
          <w:szCs w:val="20"/>
        </w:rPr>
      </w:pPr>
      <w:r w:rsidRPr="00CD2B14">
        <w:rPr>
          <w:rFonts w:ascii="Arial" w:hAnsi="Arial" w:cs="Arial"/>
          <w:sz w:val="20"/>
          <w:szCs w:val="20"/>
        </w:rPr>
        <w:t xml:space="preserve">Restructuring within similar asset classes </w:t>
      </w:r>
    </w:p>
    <w:p w:rsidR="00CD2B14" w:rsidRPr="00CD2B14" w:rsidRDefault="00CD2B14" w:rsidP="00CD2B14">
      <w:pPr>
        <w:widowControl w:val="0"/>
        <w:numPr>
          <w:ilvl w:val="0"/>
          <w:numId w:val="65"/>
        </w:numPr>
        <w:spacing w:before="120"/>
        <w:ind w:right="115"/>
        <w:jc w:val="both"/>
        <w:rPr>
          <w:rFonts w:ascii="Arial" w:hAnsi="Arial" w:cs="Arial"/>
          <w:sz w:val="20"/>
          <w:szCs w:val="20"/>
        </w:rPr>
      </w:pPr>
      <w:r w:rsidRPr="00CD2B14">
        <w:rPr>
          <w:rFonts w:ascii="Arial" w:hAnsi="Arial" w:cs="Arial"/>
          <w:sz w:val="20"/>
          <w:szCs w:val="20"/>
        </w:rPr>
        <w:t xml:space="preserve">Restructuring across different asset classes </w:t>
      </w:r>
    </w:p>
    <w:p w:rsidR="00CD2B14" w:rsidRPr="00CD2B14" w:rsidRDefault="00CD2B14" w:rsidP="00CD2B14">
      <w:pPr>
        <w:widowControl w:val="0"/>
        <w:numPr>
          <w:ilvl w:val="0"/>
          <w:numId w:val="65"/>
        </w:numPr>
        <w:spacing w:before="120"/>
        <w:ind w:right="115"/>
        <w:jc w:val="both"/>
        <w:rPr>
          <w:rFonts w:ascii="Arial" w:hAnsi="Arial" w:cs="Arial"/>
          <w:sz w:val="20"/>
          <w:szCs w:val="20"/>
        </w:rPr>
      </w:pPr>
      <w:r w:rsidRPr="00CD2B14">
        <w:rPr>
          <w:rFonts w:ascii="Arial" w:hAnsi="Arial" w:cs="Arial"/>
          <w:sz w:val="20"/>
          <w:szCs w:val="20"/>
        </w:rPr>
        <w:t xml:space="preserve">Maintaining equity exposure  </w:t>
      </w:r>
    </w:p>
    <w:p w:rsidR="00CD2B14" w:rsidRPr="00CD2B14" w:rsidRDefault="00CD2B14" w:rsidP="00CD2B14">
      <w:pPr>
        <w:spacing w:before="120"/>
        <w:jc w:val="both"/>
        <w:rPr>
          <w:rFonts w:ascii="Arial" w:hAnsi="Arial" w:cs="Arial"/>
          <w:sz w:val="20"/>
          <w:szCs w:val="20"/>
        </w:rPr>
      </w:pPr>
    </w:p>
    <w:p w:rsidR="00CD2B14" w:rsidRPr="00D20E7A" w:rsidRDefault="00CD2B14" w:rsidP="00CD2B14">
      <w:pPr>
        <w:spacing w:before="120"/>
        <w:jc w:val="both"/>
        <w:rPr>
          <w:rFonts w:ascii="Arial" w:hAnsi="Arial" w:cs="Arial"/>
          <w:b/>
          <w:i/>
          <w:sz w:val="20"/>
          <w:szCs w:val="20"/>
        </w:rPr>
      </w:pPr>
      <w:r w:rsidRPr="00D20E7A">
        <w:rPr>
          <w:rFonts w:ascii="Arial" w:hAnsi="Arial" w:cs="Arial"/>
          <w:b/>
          <w:i/>
          <w:sz w:val="20"/>
          <w:szCs w:val="20"/>
        </w:rPr>
        <w:t>Trust Services</w:t>
      </w:r>
    </w:p>
    <w:p w:rsidR="00CD2B14" w:rsidRPr="00CD2B14" w:rsidRDefault="00CD2B14" w:rsidP="00CD2B14">
      <w:pPr>
        <w:spacing w:before="120"/>
        <w:jc w:val="both"/>
        <w:rPr>
          <w:rFonts w:ascii="Arial" w:hAnsi="Arial" w:cs="Arial"/>
          <w:sz w:val="20"/>
          <w:szCs w:val="20"/>
        </w:rPr>
      </w:pPr>
      <w:r w:rsidRPr="00CD2B14">
        <w:rPr>
          <w:rFonts w:ascii="Arial" w:hAnsi="Arial"/>
          <w:sz w:val="20"/>
          <w:szCs w:val="20"/>
        </w:rPr>
        <w:t>By definition Trust</w:t>
      </w:r>
      <w:r w:rsidRPr="00CD2B14">
        <w:rPr>
          <w:rFonts w:ascii="Arial" w:hAnsi="Arial" w:cs="Arial"/>
          <w:sz w:val="20"/>
          <w:szCs w:val="20"/>
        </w:rPr>
        <w:t xml:space="preserve"> is a legal entity in which one person or institution holds the right to manage property or assets for the benefit of someone else. This category includes the following services for the institutional investors. </w:t>
      </w:r>
    </w:p>
    <w:p w:rsidR="00CD2B14" w:rsidRPr="00CD2B14" w:rsidRDefault="00CD2B14" w:rsidP="00CD2B14">
      <w:pPr>
        <w:widowControl w:val="0"/>
        <w:numPr>
          <w:ilvl w:val="0"/>
          <w:numId w:val="66"/>
        </w:numPr>
        <w:spacing w:before="120"/>
        <w:ind w:right="115"/>
        <w:jc w:val="both"/>
        <w:rPr>
          <w:rFonts w:ascii="Arial" w:hAnsi="Arial" w:cs="Arial"/>
          <w:sz w:val="20"/>
          <w:szCs w:val="20"/>
        </w:rPr>
      </w:pPr>
      <w:r w:rsidRPr="00CD2B14">
        <w:rPr>
          <w:rFonts w:ascii="Arial" w:hAnsi="Arial" w:cs="Arial"/>
          <w:sz w:val="20"/>
          <w:szCs w:val="20"/>
        </w:rPr>
        <w:t xml:space="preserve">Custody Management </w:t>
      </w:r>
    </w:p>
    <w:p w:rsidR="00CD2B14" w:rsidRPr="00CD2B14" w:rsidRDefault="00CD2B14" w:rsidP="00CD2B14">
      <w:pPr>
        <w:widowControl w:val="0"/>
        <w:numPr>
          <w:ilvl w:val="0"/>
          <w:numId w:val="66"/>
        </w:numPr>
        <w:spacing w:before="120"/>
        <w:ind w:right="115"/>
        <w:jc w:val="both"/>
        <w:rPr>
          <w:rFonts w:ascii="Arial" w:hAnsi="Arial" w:cs="Arial"/>
          <w:sz w:val="20"/>
          <w:szCs w:val="20"/>
        </w:rPr>
      </w:pPr>
      <w:r w:rsidRPr="00CD2B14">
        <w:rPr>
          <w:rFonts w:ascii="Arial" w:hAnsi="Arial" w:cs="Arial"/>
          <w:sz w:val="20"/>
          <w:szCs w:val="20"/>
        </w:rPr>
        <w:t>Cash Management</w:t>
      </w:r>
    </w:p>
    <w:p w:rsidR="00CD2B14" w:rsidRPr="00CD2B14" w:rsidRDefault="00CD2B14" w:rsidP="00CD2B14">
      <w:pPr>
        <w:widowControl w:val="0"/>
        <w:numPr>
          <w:ilvl w:val="0"/>
          <w:numId w:val="66"/>
        </w:numPr>
        <w:spacing w:before="120"/>
        <w:ind w:right="115"/>
        <w:jc w:val="both"/>
        <w:rPr>
          <w:rFonts w:ascii="Arial" w:hAnsi="Arial" w:cs="Arial"/>
          <w:sz w:val="20"/>
          <w:szCs w:val="20"/>
        </w:rPr>
      </w:pPr>
      <w:r w:rsidRPr="00CD2B14">
        <w:rPr>
          <w:rFonts w:ascii="Arial" w:hAnsi="Arial" w:cs="Arial"/>
          <w:sz w:val="20"/>
          <w:szCs w:val="20"/>
        </w:rPr>
        <w:t>Tax Reporting</w:t>
      </w:r>
    </w:p>
    <w:p w:rsidR="00CD2B14" w:rsidRPr="00CD2B14" w:rsidRDefault="00CD2B14" w:rsidP="00CD2B14">
      <w:pPr>
        <w:widowControl w:val="0"/>
        <w:numPr>
          <w:ilvl w:val="0"/>
          <w:numId w:val="66"/>
        </w:numPr>
        <w:spacing w:before="120"/>
        <w:ind w:right="115"/>
        <w:jc w:val="both"/>
        <w:rPr>
          <w:rFonts w:ascii="Arial" w:hAnsi="Arial" w:cs="Arial"/>
          <w:sz w:val="20"/>
          <w:szCs w:val="20"/>
        </w:rPr>
      </w:pPr>
      <w:r w:rsidRPr="00CD2B14">
        <w:rPr>
          <w:rFonts w:ascii="Arial" w:hAnsi="Arial" w:cs="Arial"/>
          <w:sz w:val="20"/>
          <w:szCs w:val="20"/>
        </w:rPr>
        <w:t>Investment Accounting</w:t>
      </w:r>
    </w:p>
    <w:p w:rsidR="00CD2B14" w:rsidRPr="00CD2B14" w:rsidRDefault="00CD2B14" w:rsidP="00CD2B14">
      <w:pPr>
        <w:spacing w:before="120"/>
        <w:jc w:val="both"/>
        <w:rPr>
          <w:rFonts w:ascii="Arial" w:hAnsi="Arial" w:cs="Arial"/>
          <w:sz w:val="20"/>
          <w:szCs w:val="20"/>
        </w:rPr>
      </w:pPr>
    </w:p>
    <w:p w:rsidR="00CD2B14" w:rsidRPr="00D20E7A" w:rsidRDefault="00CD2B14" w:rsidP="00CD2B14">
      <w:pPr>
        <w:spacing w:before="120"/>
        <w:jc w:val="both"/>
        <w:rPr>
          <w:rFonts w:ascii="Arial" w:hAnsi="Arial" w:cs="Arial"/>
          <w:b/>
          <w:i/>
          <w:sz w:val="20"/>
          <w:szCs w:val="20"/>
        </w:rPr>
      </w:pPr>
      <w:r w:rsidRPr="00D20E7A">
        <w:rPr>
          <w:rFonts w:ascii="Arial" w:hAnsi="Arial" w:cs="Arial"/>
          <w:b/>
          <w:i/>
          <w:sz w:val="20"/>
          <w:szCs w:val="20"/>
        </w:rPr>
        <w:lastRenderedPageBreak/>
        <w:t>Online Services</w:t>
      </w:r>
    </w:p>
    <w:p w:rsidR="00CD2B14" w:rsidRPr="00CD2B14" w:rsidRDefault="00CD2B14" w:rsidP="00CD2B14">
      <w:pPr>
        <w:widowControl w:val="0"/>
        <w:numPr>
          <w:ilvl w:val="0"/>
          <w:numId w:val="67"/>
        </w:numPr>
        <w:spacing w:before="120"/>
        <w:ind w:right="115"/>
        <w:jc w:val="both"/>
        <w:rPr>
          <w:rFonts w:ascii="Arial" w:hAnsi="Arial" w:cs="Arial"/>
          <w:sz w:val="20"/>
          <w:szCs w:val="20"/>
        </w:rPr>
      </w:pPr>
      <w:r w:rsidRPr="00CD2B14">
        <w:rPr>
          <w:rFonts w:ascii="Arial" w:hAnsi="Arial" w:cs="Arial"/>
          <w:sz w:val="20"/>
          <w:szCs w:val="20"/>
        </w:rPr>
        <w:t xml:space="preserve">Online Account Management: This is Internet-based managed account platform for the investors. This combines professional management, diversification and individual attention to create personalized portfolios of individual securities for each investor. This uses single sign on, password management utilities. </w:t>
      </w:r>
    </w:p>
    <w:p w:rsidR="00CD2B14" w:rsidRPr="00CD2B14" w:rsidRDefault="00CD2B14" w:rsidP="00CD2B14">
      <w:pPr>
        <w:widowControl w:val="0"/>
        <w:numPr>
          <w:ilvl w:val="0"/>
          <w:numId w:val="67"/>
        </w:numPr>
        <w:spacing w:before="120"/>
        <w:ind w:right="115"/>
        <w:jc w:val="both"/>
        <w:rPr>
          <w:rFonts w:ascii="Arial" w:hAnsi="Arial" w:cs="Arial"/>
          <w:sz w:val="20"/>
          <w:szCs w:val="20"/>
        </w:rPr>
      </w:pPr>
      <w:r w:rsidRPr="00CD2B14">
        <w:rPr>
          <w:rFonts w:ascii="Arial" w:hAnsi="Arial" w:cs="Arial"/>
          <w:sz w:val="20"/>
          <w:szCs w:val="20"/>
        </w:rPr>
        <w:t>Account Information: Investors can view timely information about their accounts including:</w:t>
      </w:r>
    </w:p>
    <w:p w:rsidR="00CD2B14" w:rsidRPr="00CD2B14" w:rsidRDefault="00CD2B14" w:rsidP="00CD2B14">
      <w:pPr>
        <w:widowControl w:val="0"/>
        <w:numPr>
          <w:ilvl w:val="1"/>
          <w:numId w:val="67"/>
        </w:numPr>
        <w:spacing w:before="120"/>
        <w:ind w:right="115"/>
        <w:jc w:val="both"/>
        <w:rPr>
          <w:rFonts w:ascii="Arial" w:hAnsi="Arial" w:cs="Arial"/>
          <w:sz w:val="20"/>
          <w:szCs w:val="20"/>
        </w:rPr>
      </w:pPr>
      <w:r w:rsidRPr="00CD2B14">
        <w:rPr>
          <w:rFonts w:ascii="Arial" w:hAnsi="Arial" w:cs="Arial"/>
          <w:sz w:val="20"/>
          <w:szCs w:val="20"/>
        </w:rPr>
        <w:t>Monthly and quarterly performance</w:t>
      </w:r>
    </w:p>
    <w:p w:rsidR="00CD2B14" w:rsidRPr="00CD2B14" w:rsidRDefault="00CD2B14" w:rsidP="00CD2B14">
      <w:pPr>
        <w:widowControl w:val="0"/>
        <w:numPr>
          <w:ilvl w:val="1"/>
          <w:numId w:val="67"/>
        </w:numPr>
        <w:spacing w:before="120"/>
        <w:ind w:right="115"/>
        <w:jc w:val="both"/>
        <w:rPr>
          <w:rFonts w:ascii="Arial" w:hAnsi="Arial" w:cs="Arial"/>
          <w:sz w:val="20"/>
          <w:szCs w:val="20"/>
        </w:rPr>
      </w:pPr>
      <w:r w:rsidRPr="00CD2B14">
        <w:rPr>
          <w:rFonts w:ascii="Arial" w:hAnsi="Arial" w:cs="Arial"/>
          <w:sz w:val="20"/>
          <w:szCs w:val="20"/>
        </w:rPr>
        <w:t xml:space="preserve">Quarterly portfolio investment data: holdings, characteristics, allocations, etc. </w:t>
      </w:r>
    </w:p>
    <w:p w:rsidR="00CD2B14" w:rsidRPr="00CD2B14" w:rsidRDefault="00CD2B14" w:rsidP="00CD2B14">
      <w:pPr>
        <w:widowControl w:val="0"/>
        <w:numPr>
          <w:ilvl w:val="1"/>
          <w:numId w:val="67"/>
        </w:numPr>
        <w:spacing w:before="120"/>
        <w:ind w:right="115"/>
        <w:jc w:val="both"/>
        <w:rPr>
          <w:rFonts w:ascii="Arial" w:hAnsi="Arial" w:cs="Arial"/>
          <w:sz w:val="20"/>
          <w:szCs w:val="20"/>
        </w:rPr>
      </w:pPr>
      <w:r w:rsidRPr="00CD2B14">
        <w:rPr>
          <w:rFonts w:ascii="Arial" w:hAnsi="Arial" w:cs="Arial"/>
          <w:sz w:val="20"/>
          <w:szCs w:val="20"/>
        </w:rPr>
        <w:t>Quarterly portfolio-specific and market commentary</w:t>
      </w:r>
    </w:p>
    <w:p w:rsidR="00CD2B14" w:rsidRPr="00CD2B14" w:rsidRDefault="00CD2B14" w:rsidP="00CD2B14">
      <w:pPr>
        <w:widowControl w:val="0"/>
        <w:numPr>
          <w:ilvl w:val="0"/>
          <w:numId w:val="67"/>
        </w:numPr>
        <w:spacing w:before="120"/>
        <w:ind w:right="115"/>
        <w:jc w:val="both"/>
        <w:rPr>
          <w:rFonts w:ascii="Arial" w:hAnsi="Arial" w:cs="Arial"/>
          <w:sz w:val="20"/>
          <w:szCs w:val="20"/>
        </w:rPr>
      </w:pPr>
      <w:r w:rsidRPr="00CD2B14">
        <w:rPr>
          <w:rFonts w:ascii="Arial" w:hAnsi="Arial" w:cs="Arial"/>
          <w:sz w:val="20"/>
          <w:szCs w:val="20"/>
        </w:rPr>
        <w:t>Account Reports: Investors can view account reports through user friendly online services. Some important account reports are Quarterly Investment Review, Monthly and Annual Accounting Statements etc.</w:t>
      </w:r>
    </w:p>
    <w:p w:rsidR="00CD2B14" w:rsidRPr="00CD2B14" w:rsidRDefault="00CD2B14" w:rsidP="00CD2B14">
      <w:pPr>
        <w:widowControl w:val="0"/>
        <w:numPr>
          <w:ilvl w:val="0"/>
          <w:numId w:val="67"/>
        </w:numPr>
        <w:spacing w:before="120"/>
        <w:ind w:right="115"/>
        <w:jc w:val="both"/>
        <w:rPr>
          <w:rFonts w:ascii="Arial" w:hAnsi="Arial" w:cs="Arial"/>
          <w:sz w:val="20"/>
          <w:szCs w:val="20"/>
        </w:rPr>
      </w:pPr>
      <w:r w:rsidRPr="00CD2B14">
        <w:rPr>
          <w:rFonts w:ascii="Arial" w:hAnsi="Arial" w:cs="Arial"/>
          <w:sz w:val="20"/>
          <w:szCs w:val="20"/>
        </w:rPr>
        <w:t xml:space="preserve">Research Facility: Investors can research and dig out information on Regular updates on available products, including composite performance. Investors can also view relevant journals and whitepapers using this facility. </w:t>
      </w:r>
    </w:p>
    <w:p w:rsidR="00CD2B14" w:rsidRPr="00CD2B14" w:rsidRDefault="00CD2B14" w:rsidP="00CD2B14">
      <w:pPr>
        <w:spacing w:before="120"/>
        <w:jc w:val="both"/>
        <w:rPr>
          <w:rFonts w:ascii="Arial" w:hAnsi="Arial" w:cs="Arial"/>
          <w:sz w:val="20"/>
          <w:szCs w:val="20"/>
        </w:rPr>
      </w:pPr>
    </w:p>
    <w:p w:rsidR="00CD2B14" w:rsidRPr="00D20E7A" w:rsidRDefault="00CD2B14" w:rsidP="00CD2B14">
      <w:pPr>
        <w:spacing w:before="120"/>
        <w:jc w:val="both"/>
        <w:rPr>
          <w:rFonts w:ascii="Arial" w:hAnsi="Arial" w:cs="Arial"/>
          <w:b/>
          <w:i/>
          <w:sz w:val="20"/>
          <w:szCs w:val="20"/>
        </w:rPr>
      </w:pPr>
      <w:r w:rsidRPr="00D20E7A">
        <w:rPr>
          <w:rFonts w:ascii="Arial" w:hAnsi="Arial" w:cs="Arial"/>
          <w:b/>
          <w:i/>
          <w:sz w:val="20"/>
          <w:szCs w:val="20"/>
        </w:rPr>
        <w:t>Reporting Services</w:t>
      </w:r>
    </w:p>
    <w:p w:rsidR="00CD2B14" w:rsidRPr="00CD2B14" w:rsidRDefault="00CD2B14" w:rsidP="00CD2B14">
      <w:pPr>
        <w:spacing w:before="120"/>
        <w:jc w:val="both"/>
        <w:rPr>
          <w:rFonts w:ascii="Arial" w:hAnsi="Arial" w:cs="Arial"/>
          <w:sz w:val="20"/>
          <w:szCs w:val="20"/>
        </w:rPr>
      </w:pPr>
      <w:r w:rsidRPr="00CD2B14">
        <w:rPr>
          <w:rFonts w:ascii="Arial" w:hAnsi="Arial" w:cs="Arial"/>
          <w:sz w:val="20"/>
          <w:szCs w:val="20"/>
        </w:rPr>
        <w:t xml:space="preserve">Following are the various reporting services can be provided by the asset management firm to the institutional investors: </w:t>
      </w:r>
    </w:p>
    <w:p w:rsidR="00CD2B14" w:rsidRPr="00CD2B14" w:rsidRDefault="00CD2B14" w:rsidP="00CD2B14">
      <w:pPr>
        <w:widowControl w:val="0"/>
        <w:numPr>
          <w:ilvl w:val="0"/>
          <w:numId w:val="68"/>
        </w:numPr>
        <w:spacing w:before="120"/>
        <w:ind w:right="115"/>
        <w:jc w:val="both"/>
        <w:rPr>
          <w:rFonts w:ascii="Arial" w:hAnsi="Arial" w:cs="Arial"/>
          <w:sz w:val="20"/>
          <w:szCs w:val="20"/>
        </w:rPr>
      </w:pPr>
      <w:r w:rsidRPr="00CD2B14">
        <w:rPr>
          <w:rFonts w:ascii="Arial" w:hAnsi="Arial" w:cs="Arial"/>
          <w:sz w:val="20"/>
          <w:szCs w:val="20"/>
        </w:rPr>
        <w:t xml:space="preserve">Client reporting – Involves preparation and shipment of Investment Performance reports, Fund fact-sheets, Investment reports etc. to the clients. </w:t>
      </w:r>
    </w:p>
    <w:p w:rsidR="00CD2B14" w:rsidRPr="00CD2B14" w:rsidRDefault="00CD2B14" w:rsidP="00CD2B14">
      <w:pPr>
        <w:widowControl w:val="0"/>
        <w:numPr>
          <w:ilvl w:val="0"/>
          <w:numId w:val="68"/>
        </w:numPr>
        <w:spacing w:before="120"/>
        <w:ind w:right="115"/>
        <w:jc w:val="both"/>
        <w:rPr>
          <w:rFonts w:ascii="Arial" w:hAnsi="Arial" w:cs="Arial"/>
          <w:sz w:val="20"/>
          <w:szCs w:val="20"/>
        </w:rPr>
      </w:pPr>
      <w:r w:rsidRPr="00CD2B14">
        <w:rPr>
          <w:rFonts w:ascii="Arial" w:hAnsi="Arial" w:cs="Arial"/>
          <w:sz w:val="20"/>
          <w:szCs w:val="20"/>
        </w:rPr>
        <w:t xml:space="preserve">Management reporting – Involves preparation of profit and loss (P&amp;L), divisional expense reviews and analysis of expense allocations for the management. </w:t>
      </w:r>
    </w:p>
    <w:p w:rsidR="00CD2B14" w:rsidRPr="00CD2B14" w:rsidRDefault="00CD2B14" w:rsidP="00CD2B14">
      <w:pPr>
        <w:widowControl w:val="0"/>
        <w:numPr>
          <w:ilvl w:val="0"/>
          <w:numId w:val="68"/>
        </w:numPr>
        <w:spacing w:before="120"/>
        <w:ind w:right="115"/>
        <w:jc w:val="both"/>
        <w:rPr>
          <w:rFonts w:ascii="Arial" w:hAnsi="Arial" w:cs="Arial"/>
          <w:sz w:val="20"/>
          <w:szCs w:val="20"/>
        </w:rPr>
      </w:pPr>
      <w:r w:rsidRPr="00CD2B14">
        <w:rPr>
          <w:rFonts w:ascii="Arial" w:hAnsi="Arial" w:cs="Arial"/>
          <w:sz w:val="20"/>
          <w:szCs w:val="20"/>
        </w:rPr>
        <w:t>Compliance Reporting – Sending Compliance reports to the regulatory bodies/government.</w:t>
      </w:r>
    </w:p>
    <w:p w:rsidR="00CD2B14" w:rsidRPr="00CD2B14" w:rsidRDefault="00CD2B14" w:rsidP="00CD2B14">
      <w:pPr>
        <w:widowControl w:val="0"/>
        <w:numPr>
          <w:ilvl w:val="0"/>
          <w:numId w:val="68"/>
        </w:numPr>
        <w:spacing w:before="120"/>
        <w:ind w:right="115"/>
        <w:jc w:val="both"/>
        <w:rPr>
          <w:rFonts w:ascii="Arial" w:hAnsi="Arial" w:cs="Arial"/>
          <w:sz w:val="20"/>
          <w:szCs w:val="20"/>
        </w:rPr>
      </w:pPr>
      <w:r w:rsidRPr="00CD2B14">
        <w:rPr>
          <w:rFonts w:ascii="Arial" w:hAnsi="Arial" w:cs="Arial"/>
          <w:sz w:val="20"/>
          <w:szCs w:val="20"/>
        </w:rPr>
        <w:t xml:space="preserve">Portal Reporting – Providing accessibility of reports to the relevant entities through web portal. </w:t>
      </w:r>
    </w:p>
    <w:p w:rsidR="0058535D" w:rsidRPr="004B3BDF" w:rsidRDefault="0058535D" w:rsidP="00503EF2">
      <w:pPr>
        <w:pStyle w:val="Heading2"/>
        <w:keepNext w:val="0"/>
        <w:numPr>
          <w:ilvl w:val="0"/>
          <w:numId w:val="0"/>
        </w:numPr>
        <w:spacing w:before="120" w:after="120" w:line="240" w:lineRule="atLeast"/>
        <w:jc w:val="both"/>
        <w:rPr>
          <w:szCs w:val="22"/>
        </w:rPr>
      </w:pPr>
    </w:p>
    <w:p w:rsidR="0058535D" w:rsidRDefault="0058535D" w:rsidP="0058535D"/>
    <w:p w:rsidR="00ED2A0A" w:rsidRDefault="00ED2A0A" w:rsidP="0058535D">
      <w:pPr>
        <w:autoSpaceDE w:val="0"/>
        <w:autoSpaceDN w:val="0"/>
        <w:adjustRightInd w:val="0"/>
        <w:jc w:val="both"/>
        <w:rPr>
          <w:rFonts w:ascii="Arial" w:hAnsi="Arial" w:cs="Arial"/>
          <w:sz w:val="20"/>
          <w:szCs w:val="20"/>
        </w:rPr>
      </w:pPr>
    </w:p>
    <w:p w:rsidR="00ED2A0A" w:rsidRDefault="00ED2A0A" w:rsidP="0058535D">
      <w:pPr>
        <w:autoSpaceDE w:val="0"/>
        <w:autoSpaceDN w:val="0"/>
        <w:adjustRightInd w:val="0"/>
        <w:jc w:val="both"/>
        <w:rPr>
          <w:rFonts w:ascii="Arial" w:hAnsi="Arial" w:cs="Arial"/>
          <w:sz w:val="20"/>
          <w:szCs w:val="20"/>
        </w:rPr>
      </w:pPr>
    </w:p>
    <w:p w:rsidR="00ED2A0A" w:rsidRDefault="00ED2A0A" w:rsidP="0058535D">
      <w:pPr>
        <w:autoSpaceDE w:val="0"/>
        <w:autoSpaceDN w:val="0"/>
        <w:adjustRightInd w:val="0"/>
        <w:jc w:val="both"/>
        <w:rPr>
          <w:rFonts w:ascii="Arial" w:hAnsi="Arial" w:cs="Arial"/>
          <w:sz w:val="20"/>
          <w:szCs w:val="20"/>
        </w:rPr>
      </w:pPr>
    </w:p>
    <w:p w:rsidR="00ED2A0A" w:rsidRDefault="00ED2A0A" w:rsidP="0058535D">
      <w:pPr>
        <w:autoSpaceDE w:val="0"/>
        <w:autoSpaceDN w:val="0"/>
        <w:adjustRightInd w:val="0"/>
        <w:jc w:val="both"/>
        <w:rPr>
          <w:rFonts w:ascii="Arial" w:hAnsi="Arial" w:cs="Arial"/>
          <w:sz w:val="20"/>
          <w:szCs w:val="20"/>
        </w:rPr>
      </w:pPr>
    </w:p>
    <w:p w:rsidR="00ED2A0A" w:rsidRDefault="00ED2A0A" w:rsidP="0058535D">
      <w:pPr>
        <w:autoSpaceDE w:val="0"/>
        <w:autoSpaceDN w:val="0"/>
        <w:adjustRightInd w:val="0"/>
        <w:jc w:val="both"/>
        <w:rPr>
          <w:rFonts w:ascii="Arial" w:hAnsi="Arial" w:cs="Arial"/>
          <w:sz w:val="20"/>
          <w:szCs w:val="20"/>
        </w:rPr>
      </w:pPr>
    </w:p>
    <w:p w:rsidR="00ED2A0A" w:rsidRDefault="00ED2A0A" w:rsidP="0058535D">
      <w:pPr>
        <w:autoSpaceDE w:val="0"/>
        <w:autoSpaceDN w:val="0"/>
        <w:adjustRightInd w:val="0"/>
        <w:jc w:val="both"/>
        <w:rPr>
          <w:rFonts w:ascii="Arial" w:hAnsi="Arial" w:cs="Arial"/>
          <w:sz w:val="20"/>
          <w:szCs w:val="20"/>
        </w:rPr>
      </w:pPr>
    </w:p>
    <w:p w:rsidR="00ED2A0A" w:rsidRDefault="00ED2A0A" w:rsidP="0058535D">
      <w:pPr>
        <w:autoSpaceDE w:val="0"/>
        <w:autoSpaceDN w:val="0"/>
        <w:adjustRightInd w:val="0"/>
        <w:jc w:val="both"/>
        <w:rPr>
          <w:rFonts w:ascii="Arial" w:hAnsi="Arial" w:cs="Arial"/>
          <w:sz w:val="20"/>
          <w:szCs w:val="20"/>
        </w:rPr>
      </w:pPr>
    </w:p>
    <w:p w:rsidR="00ED2A0A" w:rsidRDefault="00ED2A0A" w:rsidP="0058535D">
      <w:pPr>
        <w:autoSpaceDE w:val="0"/>
        <w:autoSpaceDN w:val="0"/>
        <w:adjustRightInd w:val="0"/>
        <w:jc w:val="both"/>
        <w:rPr>
          <w:rFonts w:ascii="Arial" w:hAnsi="Arial" w:cs="Arial"/>
          <w:sz w:val="20"/>
          <w:szCs w:val="20"/>
        </w:rPr>
      </w:pPr>
    </w:p>
    <w:p w:rsidR="00ED2A0A" w:rsidRPr="00BF50FB" w:rsidRDefault="00ED2A0A" w:rsidP="0058535D">
      <w:pPr>
        <w:autoSpaceDE w:val="0"/>
        <w:autoSpaceDN w:val="0"/>
        <w:adjustRightInd w:val="0"/>
        <w:jc w:val="both"/>
        <w:rPr>
          <w:rFonts w:ascii="Arial" w:hAnsi="Arial" w:cs="Arial"/>
          <w:sz w:val="20"/>
          <w:szCs w:val="20"/>
        </w:rPr>
      </w:pPr>
      <w:r>
        <w:rPr>
          <w:rFonts w:ascii="Arial" w:hAnsi="Arial" w:cs="Arial"/>
          <w:sz w:val="20"/>
          <w:szCs w:val="20"/>
        </w:rPr>
        <w:br w:type="page"/>
      </w:r>
    </w:p>
    <w:p w:rsidR="0040385F" w:rsidRPr="004B3BDF" w:rsidRDefault="0040385F" w:rsidP="0040385F">
      <w:pPr>
        <w:pStyle w:val="Heading1"/>
        <w:keepNext w:val="0"/>
        <w:pageBreakBefore w:val="0"/>
        <w:spacing w:before="120" w:after="120" w:line="240" w:lineRule="atLeast"/>
        <w:ind w:left="0" w:firstLine="0"/>
        <w:jc w:val="both"/>
        <w:rPr>
          <w:szCs w:val="22"/>
        </w:rPr>
      </w:pPr>
      <w:bookmarkStart w:id="475" w:name="_Toc203551706"/>
      <w:bookmarkStart w:id="476" w:name="_Toc203552158"/>
      <w:bookmarkStart w:id="477" w:name="_Toc203552396"/>
      <w:bookmarkStart w:id="478" w:name="_Toc203552560"/>
      <w:bookmarkStart w:id="479" w:name="_Toc203552701"/>
      <w:bookmarkStart w:id="480" w:name="_Toc203552842"/>
      <w:bookmarkStart w:id="481" w:name="_Toc203555124"/>
      <w:bookmarkStart w:id="482" w:name="_Toc203555798"/>
      <w:bookmarkStart w:id="483" w:name="_Toc203556189"/>
      <w:bookmarkStart w:id="484" w:name="_Toc203556330"/>
      <w:bookmarkStart w:id="485" w:name="_Toc203556471"/>
      <w:bookmarkStart w:id="486" w:name="_Toc203793814"/>
      <w:bookmarkStart w:id="487" w:name="_Toc203793962"/>
      <w:bookmarkStart w:id="488" w:name="_Toc203794381"/>
      <w:bookmarkStart w:id="489" w:name="_Toc203794711"/>
      <w:bookmarkStart w:id="490" w:name="_Toc203795265"/>
      <w:bookmarkStart w:id="491" w:name="_Toc203798893"/>
      <w:bookmarkStart w:id="492" w:name="_Toc204420354"/>
      <w:bookmarkStart w:id="493" w:name="_Toc199669388"/>
      <w:bookmarkStart w:id="494" w:name="_Toc226530549"/>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r w:rsidRPr="004B3BDF">
        <w:lastRenderedPageBreak/>
        <w:t>Mutual Funds</w:t>
      </w:r>
      <w:bookmarkEnd w:id="493"/>
      <w:bookmarkEnd w:id="494"/>
    </w:p>
    <w:p w:rsidR="0040385F" w:rsidRPr="004B3BDF" w:rsidRDefault="0040385F" w:rsidP="0040385F">
      <w:pPr>
        <w:pStyle w:val="Heading2"/>
        <w:keepNext w:val="0"/>
        <w:spacing w:before="120" w:after="120" w:line="240" w:lineRule="atLeast"/>
        <w:ind w:left="0" w:firstLine="0"/>
        <w:jc w:val="both"/>
      </w:pPr>
      <w:bookmarkStart w:id="495" w:name="_Toc199669389"/>
      <w:bookmarkStart w:id="496" w:name="_Toc226530550"/>
      <w:r w:rsidRPr="004B3BDF">
        <w:t>Introduction</w:t>
      </w:r>
      <w:bookmarkEnd w:id="495"/>
      <w:bookmarkEnd w:id="496"/>
      <w:r w:rsidRPr="004B3BDF">
        <w:t xml:space="preserve"> </w:t>
      </w:r>
    </w:p>
    <w:p w:rsidR="0040385F" w:rsidRPr="004B3BDF" w:rsidRDefault="0040385F" w:rsidP="009113E7">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 Mutual Fund (MF) is a type of Investment Company that pools the money of many investors – shareholders and collectively invests that money in stocks, bonds, or money market instruments. When an investor subscribes to a MF, he or she buys a part of the assets or the pool of funds that are outstanding at that time. In the </w:t>
      </w:r>
      <w:smartTag w:uri="urn:schemas-microsoft-com:office:smarttags" w:element="place">
        <w:smartTag w:uri="urn:schemas-microsoft-com:office:smarttags" w:element="country-region">
          <w:r w:rsidRPr="004B3BDF">
            <w:rPr>
              <w:rFonts w:ascii="Arial" w:hAnsi="Arial" w:cs="Arial"/>
              <w:sz w:val="20"/>
              <w:szCs w:val="20"/>
            </w:rPr>
            <w:t>U.S.A.</w:t>
          </w:r>
        </w:smartTag>
      </w:smartTag>
      <w:r w:rsidRPr="004B3BDF">
        <w:rPr>
          <w:rFonts w:ascii="Arial" w:hAnsi="Arial" w:cs="Arial"/>
          <w:sz w:val="20"/>
          <w:szCs w:val="20"/>
        </w:rPr>
        <w:t xml:space="preserve"> a mutual fund is constituted as an investment company and the investor “buys into the fund”, meaning he buys shares of the fund. In </w:t>
      </w:r>
      <w:smartTag w:uri="urn:schemas-microsoft-com:office:smarttags" w:element="place">
        <w:smartTag w:uri="urn:schemas-microsoft-com:office:smarttags" w:element="country-region">
          <w:r w:rsidRPr="004B3BDF">
            <w:rPr>
              <w:rFonts w:ascii="Arial" w:hAnsi="Arial" w:cs="Arial"/>
              <w:sz w:val="20"/>
              <w:szCs w:val="20"/>
            </w:rPr>
            <w:t>India</w:t>
          </w:r>
        </w:smartTag>
      </w:smartTag>
      <w:r w:rsidRPr="004B3BDF">
        <w:rPr>
          <w:rFonts w:ascii="Arial" w:hAnsi="Arial" w:cs="Arial"/>
          <w:sz w:val="20"/>
          <w:szCs w:val="20"/>
        </w:rPr>
        <w:t>, a mutual fund is constituted as a Trust and the investor subscribes to the units issued by the fund.</w:t>
      </w:r>
      <w:r w:rsidR="008B7738">
        <w:rPr>
          <w:rFonts w:ascii="Arial" w:hAnsi="Arial" w:cs="Arial"/>
          <w:sz w:val="20"/>
          <w:szCs w:val="20"/>
        </w:rPr>
        <w:t xml:space="preserve"> </w:t>
      </w:r>
      <w:r w:rsidRPr="004B3BDF">
        <w:rPr>
          <w:rFonts w:ascii="Arial" w:hAnsi="Arial" w:cs="Arial"/>
          <w:sz w:val="20"/>
          <w:szCs w:val="20"/>
        </w:rPr>
        <w:t>Since each owner is a part owner of a mutual fund, it is necessary to establish the value of his part</w:t>
      </w:r>
      <w:r w:rsidR="00C41644">
        <w:rPr>
          <w:rFonts w:ascii="Arial" w:hAnsi="Arial" w:cs="Arial"/>
          <w:sz w:val="20"/>
          <w:szCs w:val="20"/>
        </w:rPr>
        <w:t>.</w:t>
      </w:r>
      <w:r w:rsidRPr="004B3BDF">
        <w:rPr>
          <w:rFonts w:ascii="Arial" w:hAnsi="Arial" w:cs="Arial"/>
          <w:sz w:val="20"/>
          <w:szCs w:val="20"/>
        </w:rPr>
        <w:t xml:space="preserve"> Since the shares/units held by an investor evidence the ownership of the fund’s assets, the value of the total assets of the fund when divided by the total number of units issued by the mutual fund gives us the value of each </w:t>
      </w:r>
      <w:r w:rsidR="00A814DF" w:rsidRPr="004B3BDF">
        <w:rPr>
          <w:rFonts w:ascii="Arial" w:hAnsi="Arial" w:cs="Arial"/>
          <w:sz w:val="20"/>
          <w:szCs w:val="20"/>
        </w:rPr>
        <w:t>unit. This</w:t>
      </w:r>
      <w:r w:rsidRPr="004B3BDF">
        <w:rPr>
          <w:rFonts w:ascii="Arial" w:hAnsi="Arial" w:cs="Arial"/>
          <w:sz w:val="20"/>
          <w:szCs w:val="20"/>
        </w:rPr>
        <w:t xml:space="preserve"> is generally called the Net Asset Value (NAV) of one unit or one share. </w:t>
      </w:r>
      <w:r w:rsidR="00A814DF">
        <w:rPr>
          <w:rFonts w:ascii="Arial" w:hAnsi="Arial" w:cs="Arial"/>
          <w:sz w:val="20"/>
          <w:szCs w:val="20"/>
        </w:rPr>
        <w:t xml:space="preserve"> </w:t>
      </w:r>
      <w:r w:rsidRPr="004B3BDF">
        <w:rPr>
          <w:rFonts w:ascii="Arial" w:hAnsi="Arial" w:cs="Arial"/>
          <w:sz w:val="20"/>
          <w:szCs w:val="20"/>
        </w:rPr>
        <w:t xml:space="preserve">MF is typically externally managed, to carry out its business activities, such as investing in </w:t>
      </w:r>
      <w:r w:rsidR="00A814DF" w:rsidRPr="004B3BDF">
        <w:rPr>
          <w:rFonts w:ascii="Arial" w:hAnsi="Arial" w:cs="Arial"/>
          <w:sz w:val="20"/>
          <w:szCs w:val="20"/>
        </w:rPr>
        <w:t>securities. It</w:t>
      </w:r>
      <w:r w:rsidRPr="004B3BDF">
        <w:rPr>
          <w:rFonts w:ascii="Arial" w:hAnsi="Arial" w:cs="Arial"/>
          <w:sz w:val="20"/>
          <w:szCs w:val="20"/>
        </w:rPr>
        <w:t xml:space="preserve"> is through sales of shares/units that a mutual fund raises the cash used to invest in its portfolio of stocks, bonds, and other securities.</w:t>
      </w:r>
      <w:r w:rsidR="00C41644">
        <w:rPr>
          <w:rFonts w:ascii="Arial" w:hAnsi="Arial" w:cs="Arial"/>
          <w:sz w:val="20"/>
          <w:szCs w:val="20"/>
        </w:rPr>
        <w:t xml:space="preserve"> </w:t>
      </w:r>
      <w:r w:rsidRPr="004B3BDF">
        <w:rPr>
          <w:rFonts w:ascii="Arial" w:hAnsi="Arial" w:cs="Arial"/>
          <w:sz w:val="20"/>
          <w:szCs w:val="20"/>
        </w:rPr>
        <w:t>A mutual fund, by its very nature, is diversified</w:t>
      </w:r>
      <w:r w:rsidR="00C41644">
        <w:rPr>
          <w:rFonts w:ascii="Arial" w:hAnsi="Arial" w:cs="Arial"/>
          <w:sz w:val="20"/>
          <w:szCs w:val="20"/>
        </w:rPr>
        <w:t>;</w:t>
      </w:r>
      <w:r w:rsidRPr="004B3BDF">
        <w:rPr>
          <w:rFonts w:ascii="Arial" w:hAnsi="Arial" w:cs="Arial"/>
          <w:sz w:val="20"/>
          <w:szCs w:val="20"/>
        </w:rPr>
        <w:t xml:space="preserve"> its assets are invested in many different securities.</w:t>
      </w:r>
    </w:p>
    <w:p w:rsidR="006671BF" w:rsidRDefault="005806C2" w:rsidP="009525AC">
      <w:pPr>
        <w:pStyle w:val="Heading2"/>
        <w:keepNext w:val="0"/>
        <w:spacing w:before="120" w:after="120" w:line="240" w:lineRule="atLeast"/>
        <w:ind w:left="0" w:firstLine="0"/>
        <w:jc w:val="both"/>
      </w:pPr>
      <w:bookmarkStart w:id="497" w:name="_Toc226530551"/>
      <w:r>
        <w:t xml:space="preserve">Business </w:t>
      </w:r>
      <w:r w:rsidR="006671BF">
        <w:t>Overview</w:t>
      </w:r>
      <w:bookmarkEnd w:id="497"/>
    </w:p>
    <w:p w:rsidR="00814BEB" w:rsidRDefault="00031053">
      <w:pPr>
        <w:pStyle w:val="Heading3"/>
        <w:tabs>
          <w:tab w:val="clear" w:pos="6444"/>
        </w:tabs>
        <w:ind w:left="540"/>
      </w:pPr>
      <w:r>
        <w:t>Growth and Growth Drivers</w:t>
      </w:r>
    </w:p>
    <w:p w:rsidR="006671BF" w:rsidRPr="006671BF" w:rsidRDefault="006671BF" w:rsidP="006671BF">
      <w:pPr>
        <w:autoSpaceDE w:val="0"/>
        <w:autoSpaceDN w:val="0"/>
        <w:adjustRightInd w:val="0"/>
        <w:jc w:val="both"/>
        <w:rPr>
          <w:rFonts w:ascii="Arial" w:hAnsi="Arial" w:cs="Arial"/>
          <w:color w:val="000000"/>
          <w:sz w:val="20"/>
          <w:szCs w:val="20"/>
        </w:rPr>
      </w:pPr>
      <w:r w:rsidRPr="006671BF">
        <w:rPr>
          <w:rFonts w:ascii="Arial" w:hAnsi="Arial" w:cs="Arial"/>
          <w:color w:val="000000"/>
          <w:sz w:val="20"/>
          <w:szCs w:val="20"/>
        </w:rPr>
        <w:t xml:space="preserve">The mutual fund industry traces its roots to </w:t>
      </w:r>
      <w:smartTag w:uri="urn:schemas-microsoft-com:office:smarttags" w:element="place">
        <w:smartTag w:uri="urn:schemas-microsoft-com:office:smarttags" w:element="country-region">
          <w:r w:rsidRPr="006671BF">
            <w:rPr>
              <w:rFonts w:ascii="Arial" w:hAnsi="Arial" w:cs="Arial"/>
              <w:color w:val="000000"/>
              <w:sz w:val="20"/>
              <w:szCs w:val="20"/>
            </w:rPr>
            <w:t>England</w:t>
          </w:r>
        </w:smartTag>
      </w:smartTag>
      <w:r w:rsidRPr="006671BF">
        <w:rPr>
          <w:rFonts w:ascii="Arial" w:hAnsi="Arial" w:cs="Arial"/>
          <w:color w:val="000000"/>
          <w:sz w:val="20"/>
          <w:szCs w:val="20"/>
        </w:rPr>
        <w:t xml:space="preserve"> in the mid-1800s. The enactment of two British laws, the Joint Stock Companies Acts of 1862 and 1867, permitted investors, for the first time, to share in the profits of an investment enterprise, and limited investor liability to the amount of investment capital devoted to the enterprise. Shortly thereafter, in 1868, the Foreign and Colonial Government Trust formed in </w:t>
      </w:r>
      <w:smartTag w:uri="urn:schemas-microsoft-com:office:smarttags" w:element="place">
        <w:smartTag w:uri="urn:schemas-microsoft-com:office:smarttags" w:element="City">
          <w:r w:rsidRPr="006671BF">
            <w:rPr>
              <w:rFonts w:ascii="Arial" w:hAnsi="Arial" w:cs="Arial"/>
              <w:color w:val="000000"/>
              <w:sz w:val="20"/>
              <w:szCs w:val="20"/>
            </w:rPr>
            <w:t>London</w:t>
          </w:r>
        </w:smartTag>
      </w:smartTag>
      <w:r w:rsidRPr="006671BF">
        <w:rPr>
          <w:rFonts w:ascii="Arial" w:hAnsi="Arial" w:cs="Arial"/>
          <w:color w:val="000000"/>
          <w:sz w:val="20"/>
          <w:szCs w:val="20"/>
        </w:rPr>
        <w:t xml:space="preserve">. This trust resembled a mutual fund in basic structure, providing “the investor of moderate means the same advantages as the large capitalists ... by spreading the investment over a number of different stocks.” </w:t>
      </w:r>
    </w:p>
    <w:p w:rsidR="006671BF" w:rsidRDefault="006671BF" w:rsidP="006671BF">
      <w:pPr>
        <w:autoSpaceDE w:val="0"/>
        <w:autoSpaceDN w:val="0"/>
        <w:adjustRightInd w:val="0"/>
        <w:jc w:val="both"/>
        <w:rPr>
          <w:rFonts w:ascii="Arial" w:hAnsi="Arial" w:cs="Arial"/>
          <w:color w:val="000000"/>
          <w:sz w:val="20"/>
          <w:szCs w:val="20"/>
        </w:rPr>
      </w:pPr>
      <w:r w:rsidRPr="006671BF">
        <w:rPr>
          <w:rFonts w:ascii="Arial" w:hAnsi="Arial" w:cs="Arial"/>
          <w:color w:val="000000"/>
          <w:sz w:val="20"/>
          <w:szCs w:val="20"/>
        </w:rPr>
        <w:t xml:space="preserve">This concept of offering the investment potential of financial markets to all individuals spawned additional “investment companies” in </w:t>
      </w:r>
      <w:smartTag w:uri="urn:schemas-microsoft-com:office:smarttags" w:element="country-region">
        <w:r w:rsidRPr="006671BF">
          <w:rPr>
            <w:rFonts w:ascii="Arial" w:hAnsi="Arial" w:cs="Arial"/>
            <w:color w:val="000000"/>
            <w:sz w:val="20"/>
            <w:szCs w:val="20"/>
          </w:rPr>
          <w:t>Britain</w:t>
        </w:r>
      </w:smartTag>
      <w:r w:rsidRPr="006671BF">
        <w:rPr>
          <w:rFonts w:ascii="Arial" w:hAnsi="Arial" w:cs="Arial"/>
          <w:color w:val="000000"/>
          <w:sz w:val="20"/>
          <w:szCs w:val="20"/>
        </w:rPr>
        <w:t xml:space="preserve"> and </w:t>
      </w:r>
      <w:smartTag w:uri="urn:schemas-microsoft-com:office:smarttags" w:element="country-region">
        <w:r w:rsidRPr="006671BF">
          <w:rPr>
            <w:rFonts w:ascii="Arial" w:hAnsi="Arial" w:cs="Arial"/>
            <w:color w:val="000000"/>
            <w:sz w:val="20"/>
            <w:szCs w:val="20"/>
          </w:rPr>
          <w:t>Scotland</w:t>
        </w:r>
      </w:smartTag>
      <w:r w:rsidRPr="006671BF">
        <w:rPr>
          <w:rFonts w:ascii="Arial" w:hAnsi="Arial" w:cs="Arial"/>
          <w:color w:val="000000"/>
          <w:sz w:val="20"/>
          <w:szCs w:val="20"/>
        </w:rPr>
        <w:t xml:space="preserve"> and, among other things, helped finance the development of the post-Civil War </w:t>
      </w:r>
      <w:smartTag w:uri="urn:schemas-microsoft-com:office:smarttags" w:element="place">
        <w:smartTag w:uri="urn:schemas-microsoft-com:office:smarttags" w:element="country-region">
          <w:r w:rsidRPr="006671BF">
            <w:rPr>
              <w:rFonts w:ascii="Arial" w:hAnsi="Arial" w:cs="Arial"/>
              <w:color w:val="000000"/>
              <w:sz w:val="20"/>
              <w:szCs w:val="20"/>
            </w:rPr>
            <w:t>U.S.</w:t>
          </w:r>
        </w:smartTag>
      </w:smartTag>
      <w:r w:rsidRPr="006671BF">
        <w:rPr>
          <w:rFonts w:ascii="Arial" w:hAnsi="Arial" w:cs="Arial"/>
          <w:color w:val="000000"/>
          <w:sz w:val="20"/>
          <w:szCs w:val="20"/>
        </w:rPr>
        <w:t xml:space="preserve"> economy. Most of the early British investment companies or trusts resembled today’s closed-end funds by issuing a fixed number of shares to groups of investors whose “pooled” assets were invested in various companies. The Scottish American Investment Trust, formed on February 1, 1873 by fund pioneer Robert Fleming, was significant because it invested in the economic potential of the </w:t>
      </w:r>
      <w:smartTag w:uri="urn:schemas-microsoft-com:office:smarttags" w:element="place">
        <w:smartTag w:uri="urn:schemas-microsoft-com:office:smarttags" w:element="country-region">
          <w:r w:rsidRPr="006671BF">
            <w:rPr>
              <w:rFonts w:ascii="Arial" w:hAnsi="Arial" w:cs="Arial"/>
              <w:color w:val="000000"/>
              <w:sz w:val="20"/>
              <w:szCs w:val="20"/>
            </w:rPr>
            <w:t>United States</w:t>
          </w:r>
        </w:smartTag>
      </w:smartTag>
      <w:r w:rsidRPr="006671BF">
        <w:rPr>
          <w:rFonts w:ascii="Arial" w:hAnsi="Arial" w:cs="Arial"/>
          <w:color w:val="000000"/>
          <w:sz w:val="20"/>
          <w:szCs w:val="20"/>
        </w:rPr>
        <w:t xml:space="preserve">, chiefly through American railroad bonds. Many other trusts followed that not only targeted investment in </w:t>
      </w:r>
      <w:smartTag w:uri="urn:schemas-microsoft-com:office:smarttags" w:element="country-region">
        <w:r w:rsidRPr="006671BF">
          <w:rPr>
            <w:rFonts w:ascii="Arial" w:hAnsi="Arial" w:cs="Arial"/>
            <w:color w:val="000000"/>
            <w:sz w:val="20"/>
            <w:szCs w:val="20"/>
          </w:rPr>
          <w:t>America</w:t>
        </w:r>
      </w:smartTag>
      <w:r w:rsidRPr="006671BF">
        <w:rPr>
          <w:rFonts w:ascii="Arial" w:hAnsi="Arial" w:cs="Arial"/>
          <w:color w:val="000000"/>
          <w:sz w:val="20"/>
          <w:szCs w:val="20"/>
        </w:rPr>
        <w:t xml:space="preserve">, but more importantly, led to the introduction of the investment fund concept on </w:t>
      </w:r>
      <w:smartTag w:uri="urn:schemas-microsoft-com:office:smarttags" w:element="place">
        <w:smartTag w:uri="urn:schemas-microsoft-com:office:smarttags" w:element="country-region">
          <w:r w:rsidRPr="006671BF">
            <w:rPr>
              <w:rFonts w:ascii="Arial" w:hAnsi="Arial" w:cs="Arial"/>
              <w:color w:val="000000"/>
              <w:sz w:val="20"/>
              <w:szCs w:val="20"/>
            </w:rPr>
            <w:t>U.S.</w:t>
          </w:r>
        </w:smartTag>
      </w:smartTag>
      <w:r w:rsidRPr="006671BF">
        <w:rPr>
          <w:rFonts w:ascii="Arial" w:hAnsi="Arial" w:cs="Arial"/>
          <w:color w:val="000000"/>
          <w:sz w:val="20"/>
          <w:szCs w:val="20"/>
        </w:rPr>
        <w:t xml:space="preserve"> shores in the late 1800s and early 1900s.</w:t>
      </w:r>
    </w:p>
    <w:p w:rsidR="005806C2" w:rsidRDefault="005806C2" w:rsidP="005806C2">
      <w:pPr>
        <w:rPr>
          <w:rFonts w:ascii="Arial" w:hAnsi="Arial" w:cs="Arial"/>
          <w:color w:val="000000"/>
          <w:sz w:val="20"/>
          <w:szCs w:val="20"/>
        </w:rPr>
      </w:pPr>
    </w:p>
    <w:p w:rsidR="00814BEB" w:rsidRDefault="005806C2">
      <w:pPr>
        <w:jc w:val="both"/>
        <w:rPr>
          <w:rFonts w:ascii="Arial" w:hAnsi="Arial" w:cs="Arial"/>
          <w:color w:val="000000"/>
          <w:sz w:val="20"/>
          <w:szCs w:val="20"/>
        </w:rPr>
      </w:pPr>
      <w:r>
        <w:rPr>
          <w:rFonts w:ascii="Arial" w:hAnsi="Arial" w:cs="Arial"/>
          <w:color w:val="000000"/>
          <w:sz w:val="20"/>
          <w:szCs w:val="20"/>
        </w:rPr>
        <w:t>Still, t</w:t>
      </w:r>
      <w:r w:rsidRPr="005806C2">
        <w:rPr>
          <w:rFonts w:ascii="Arial" w:hAnsi="Arial" w:cs="Arial"/>
          <w:color w:val="000000"/>
          <w:sz w:val="20"/>
          <w:szCs w:val="20"/>
        </w:rPr>
        <w:t xml:space="preserve">he entire industry, which included a few closed-end </w:t>
      </w:r>
      <w:proofErr w:type="gramStart"/>
      <w:r w:rsidRPr="005806C2">
        <w:rPr>
          <w:rFonts w:ascii="Arial" w:hAnsi="Arial" w:cs="Arial"/>
          <w:color w:val="000000"/>
          <w:sz w:val="20"/>
          <w:szCs w:val="20"/>
        </w:rPr>
        <w:t>funds</w:t>
      </w:r>
      <w:proofErr w:type="gramEnd"/>
      <w:r w:rsidRPr="005806C2">
        <w:rPr>
          <w:rFonts w:ascii="Arial" w:hAnsi="Arial" w:cs="Arial"/>
          <w:color w:val="000000"/>
          <w:sz w:val="20"/>
          <w:szCs w:val="20"/>
        </w:rPr>
        <w:t xml:space="preserve"> represented less than $10 million in 1924.</w:t>
      </w:r>
      <w:r>
        <w:rPr>
          <w:rFonts w:ascii="Arial" w:hAnsi="Arial" w:cs="Arial"/>
          <w:color w:val="000000"/>
          <w:sz w:val="20"/>
          <w:szCs w:val="20"/>
        </w:rPr>
        <w:t xml:space="preserve"> Then came the stock market crash of 1929 and the industry suffered. After the regulations passed by the US Congress restored confidence in the stock markets, mutual funds began growing once again. </w:t>
      </w:r>
      <w:r w:rsidRPr="005806C2">
        <w:rPr>
          <w:rFonts w:ascii="Arial" w:hAnsi="Arial" w:cs="Arial"/>
          <w:color w:val="000000"/>
          <w:sz w:val="20"/>
          <w:szCs w:val="20"/>
        </w:rPr>
        <w:t>By the end of the 1960s, there were approximately 270 funds with $48 billion in assets. A key factor in mutual-fund growth was the 1975 change in the Internal Revenue Code allowing individuals to open individual retirement accounts (IRAs). Even people already enrolled in corporate pension plans could contribute a limited amount (at the time, up to $2,000 a year). Mutual funds are now popular in employer-sponsored "defined-contribution" retirement plans such as (401(k</w:t>
      </w:r>
      <w:proofErr w:type="gramStart"/>
      <w:r w:rsidRPr="005806C2">
        <w:rPr>
          <w:rFonts w:ascii="Arial" w:hAnsi="Arial" w:cs="Arial"/>
          <w:color w:val="000000"/>
          <w:sz w:val="20"/>
          <w:szCs w:val="20"/>
        </w:rPr>
        <w:t>)s</w:t>
      </w:r>
      <w:proofErr w:type="gramEnd"/>
      <w:r w:rsidRPr="005806C2">
        <w:rPr>
          <w:rFonts w:ascii="Arial" w:hAnsi="Arial" w:cs="Arial"/>
          <w:color w:val="000000"/>
          <w:sz w:val="20"/>
          <w:szCs w:val="20"/>
        </w:rPr>
        <w:t>) and 403(b)s as well as IRAs including Roth IRAs.</w:t>
      </w:r>
      <w:r w:rsidR="00031053">
        <w:rPr>
          <w:rFonts w:ascii="Arial" w:hAnsi="Arial" w:cs="Arial"/>
          <w:color w:val="000000"/>
          <w:sz w:val="20"/>
          <w:szCs w:val="20"/>
        </w:rPr>
        <w:t xml:space="preserve"> At the end of 2007, there were more than 12000 mutual funds, 315 closed-end funds, 608 ETFs and 53 Unit Investment Trusts, together having close to USD 13 trillion in assets under management. World-wide Mutual Funds assets grew to USD 26 trillion in 2007.</w:t>
      </w:r>
    </w:p>
    <w:p w:rsidR="00814BEB" w:rsidRDefault="00814BEB">
      <w:pPr>
        <w:jc w:val="both"/>
        <w:rPr>
          <w:rFonts w:ascii="Arial" w:hAnsi="Arial" w:cs="Arial"/>
          <w:color w:val="000000"/>
          <w:sz w:val="20"/>
          <w:szCs w:val="20"/>
        </w:rPr>
      </w:pPr>
    </w:p>
    <w:p w:rsidR="00814BEB" w:rsidRDefault="00E732DA">
      <w:pPr>
        <w:pStyle w:val="Heading3"/>
        <w:tabs>
          <w:tab w:val="clear" w:pos="6444"/>
        </w:tabs>
        <w:ind w:left="540"/>
      </w:pPr>
      <w:r w:rsidRPr="00E732DA">
        <w:lastRenderedPageBreak/>
        <w:t xml:space="preserve">Business Entities </w:t>
      </w:r>
    </w:p>
    <w:p w:rsidR="00814BEB" w:rsidRDefault="00D96C92">
      <w:pPr>
        <w:jc w:val="both"/>
        <w:rPr>
          <w:rFonts w:ascii="Arial" w:hAnsi="Arial" w:cs="Arial"/>
          <w:color w:val="000000"/>
          <w:sz w:val="20"/>
          <w:szCs w:val="20"/>
        </w:rPr>
      </w:pPr>
      <w:r>
        <w:rPr>
          <w:rFonts w:ascii="Arial" w:hAnsi="Arial" w:cs="Arial"/>
          <w:color w:val="000000"/>
          <w:sz w:val="20"/>
          <w:szCs w:val="20"/>
        </w:rPr>
        <w:t xml:space="preserve">The diagram below shows the basic business entities </w:t>
      </w:r>
      <w:r w:rsidR="00C64036">
        <w:rPr>
          <w:rFonts w:ascii="Arial" w:hAnsi="Arial" w:cs="Arial"/>
          <w:color w:val="000000"/>
          <w:sz w:val="20"/>
          <w:szCs w:val="20"/>
        </w:rPr>
        <w:t xml:space="preserve">internal to </w:t>
      </w:r>
      <w:r>
        <w:rPr>
          <w:rFonts w:ascii="Arial" w:hAnsi="Arial" w:cs="Arial"/>
          <w:color w:val="000000"/>
          <w:sz w:val="20"/>
          <w:szCs w:val="20"/>
        </w:rPr>
        <w:t xml:space="preserve">a mutual fund. </w:t>
      </w:r>
    </w:p>
    <w:p w:rsidR="00814BEB" w:rsidRDefault="00BA4674">
      <w:pPr>
        <w:jc w:val="both"/>
        <w:rPr>
          <w:rFonts w:ascii="Arial" w:hAnsi="Arial" w:cs="Arial"/>
          <w:color w:val="000000"/>
          <w:sz w:val="20"/>
          <w:szCs w:val="20"/>
        </w:rPr>
      </w:pPr>
      <w:r w:rsidRPr="00E732DA">
        <w:rPr>
          <w:rFonts w:ascii="Arial" w:hAnsi="Arial" w:cs="Arial"/>
          <w:color w:val="000000"/>
          <w:sz w:val="20"/>
          <w:szCs w:val="20"/>
        </w:rPr>
        <w:object w:dxaOrig="8740" w:dyaOrig="7513">
          <v:shape id="_x0000_i1038" type="#_x0000_t75" style="width:424.3pt;height:301.7pt" o:ole="">
            <v:imagedata r:id="rId109" o:title=""/>
          </v:shape>
          <o:OLEObject Type="Embed" ProgID="Visio.Drawing.11" ShapeID="_x0000_i1038" DrawAspect="Content" ObjectID="_1324125801" r:id="rId110"/>
        </w:object>
      </w:r>
    </w:p>
    <w:p w:rsidR="005806C2" w:rsidRPr="00D96C92" w:rsidRDefault="00E732DA" w:rsidP="006671BF">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Share Class</w:t>
      </w:r>
    </w:p>
    <w:p w:rsidR="00D96C92" w:rsidRDefault="00185FE4" w:rsidP="006671BF">
      <w:pPr>
        <w:autoSpaceDE w:val="0"/>
        <w:autoSpaceDN w:val="0"/>
        <w:adjustRightInd w:val="0"/>
        <w:jc w:val="both"/>
        <w:rPr>
          <w:rFonts w:ascii="Arial" w:hAnsi="Arial" w:cs="Arial"/>
          <w:color w:val="000000"/>
          <w:sz w:val="20"/>
          <w:szCs w:val="20"/>
        </w:rPr>
      </w:pPr>
      <w:r w:rsidRPr="00185FE4">
        <w:rPr>
          <w:rFonts w:ascii="Arial" w:hAnsi="Arial" w:cs="Arial"/>
          <w:color w:val="000000"/>
          <w:sz w:val="20"/>
          <w:szCs w:val="20"/>
        </w:rPr>
        <w:t xml:space="preserve">Each Mutual Fund typically has one or more share classes. Each share class shares the common characteristics of the fund </w:t>
      </w:r>
      <w:r>
        <w:rPr>
          <w:rFonts w:ascii="Arial" w:hAnsi="Arial" w:cs="Arial"/>
          <w:color w:val="000000"/>
          <w:sz w:val="20"/>
          <w:szCs w:val="20"/>
        </w:rPr>
        <w:t xml:space="preserve">and shares the same underlying portfolio </w:t>
      </w:r>
      <w:r w:rsidRPr="00185FE4">
        <w:rPr>
          <w:rFonts w:ascii="Arial" w:hAnsi="Arial" w:cs="Arial"/>
          <w:color w:val="000000"/>
          <w:sz w:val="20"/>
          <w:szCs w:val="20"/>
        </w:rPr>
        <w:t>but has its own unique attributes – such as different fee structure, rules, eligibility - to attract different segments or types of investors. For Mutual Funds, each Share Class has a unique identifier – a CUSIP and/or a Symbol – that is used for trading.</w:t>
      </w:r>
    </w:p>
    <w:p w:rsidR="00560012" w:rsidRDefault="00560012" w:rsidP="006671BF">
      <w:pPr>
        <w:autoSpaceDE w:val="0"/>
        <w:autoSpaceDN w:val="0"/>
        <w:adjustRightInd w:val="0"/>
        <w:jc w:val="both"/>
        <w:rPr>
          <w:rFonts w:ascii="Arial" w:hAnsi="Arial" w:cs="Arial"/>
          <w:color w:val="000000"/>
          <w:sz w:val="20"/>
          <w:szCs w:val="20"/>
        </w:rPr>
      </w:pPr>
    </w:p>
    <w:p w:rsidR="00814BEB" w:rsidRDefault="00560012">
      <w:pPr>
        <w:autoSpaceDE w:val="0"/>
        <w:autoSpaceDN w:val="0"/>
        <w:adjustRightInd w:val="0"/>
        <w:jc w:val="both"/>
        <w:rPr>
          <w:rFonts w:ascii="Arial" w:hAnsi="Arial" w:cs="Arial"/>
          <w:sz w:val="20"/>
          <w:szCs w:val="20"/>
        </w:rPr>
      </w:pPr>
      <w:r w:rsidRPr="00684FC6">
        <w:rPr>
          <w:rFonts w:ascii="Arial" w:hAnsi="Arial" w:cs="Arial"/>
          <w:color w:val="000000"/>
          <w:sz w:val="20"/>
          <w:szCs w:val="20"/>
        </w:rPr>
        <w:t>The capital structure of mutual funds has changed over the past two</w:t>
      </w:r>
      <w:r w:rsidR="00E732DA">
        <w:rPr>
          <w:rFonts w:ascii="Arial" w:hAnsi="Arial" w:cs="Arial"/>
          <w:color w:val="000000"/>
          <w:sz w:val="20"/>
          <w:szCs w:val="20"/>
        </w:rPr>
        <w:t xml:space="preserve"> </w:t>
      </w:r>
      <w:r w:rsidRPr="00684FC6">
        <w:rPr>
          <w:rFonts w:ascii="Arial" w:hAnsi="Arial" w:cs="Arial"/>
          <w:color w:val="000000"/>
          <w:sz w:val="20"/>
          <w:szCs w:val="20"/>
        </w:rPr>
        <w:t>decades from solely single-class funds to a mixture of single- and</w:t>
      </w:r>
      <w:r w:rsidR="00E732DA">
        <w:rPr>
          <w:rFonts w:ascii="Arial" w:hAnsi="Arial" w:cs="Arial"/>
          <w:color w:val="000000"/>
          <w:sz w:val="20"/>
          <w:szCs w:val="20"/>
        </w:rPr>
        <w:t xml:space="preserve"> </w:t>
      </w:r>
      <w:r w:rsidRPr="00684FC6">
        <w:rPr>
          <w:rFonts w:ascii="Arial" w:hAnsi="Arial" w:cs="Arial"/>
          <w:color w:val="000000"/>
          <w:sz w:val="20"/>
          <w:szCs w:val="20"/>
        </w:rPr>
        <w:t>multi-class funds. Each share class is charged the same base fee for the</w:t>
      </w:r>
      <w:r w:rsidR="00E732DA">
        <w:rPr>
          <w:rFonts w:ascii="Arial" w:hAnsi="Arial" w:cs="Arial"/>
          <w:color w:val="000000"/>
          <w:sz w:val="20"/>
          <w:szCs w:val="20"/>
        </w:rPr>
        <w:t xml:space="preserve"> </w:t>
      </w:r>
      <w:r w:rsidRPr="00684FC6">
        <w:rPr>
          <w:rFonts w:ascii="Arial" w:hAnsi="Arial" w:cs="Arial"/>
          <w:color w:val="000000"/>
          <w:sz w:val="20"/>
          <w:szCs w:val="20"/>
        </w:rPr>
        <w:t>management of the fund. Differences in fees, expenses, and sales</w:t>
      </w:r>
      <w:r w:rsidR="00E732DA">
        <w:rPr>
          <w:rFonts w:ascii="Arial" w:hAnsi="Arial" w:cs="Arial"/>
          <w:color w:val="000000"/>
          <w:sz w:val="20"/>
          <w:szCs w:val="20"/>
        </w:rPr>
        <w:t xml:space="preserve"> </w:t>
      </w:r>
      <w:r w:rsidRPr="00684FC6">
        <w:rPr>
          <w:rFonts w:ascii="Arial" w:hAnsi="Arial" w:cs="Arial"/>
          <w:color w:val="000000"/>
          <w:sz w:val="20"/>
          <w:szCs w:val="20"/>
        </w:rPr>
        <w:t>charges reflect differences in the distribution and service arrangements</w:t>
      </w:r>
      <w:r w:rsidR="00E732DA">
        <w:rPr>
          <w:rFonts w:ascii="Arial" w:hAnsi="Arial" w:cs="Arial"/>
          <w:color w:val="000000"/>
          <w:sz w:val="20"/>
          <w:szCs w:val="20"/>
        </w:rPr>
        <w:t xml:space="preserve"> </w:t>
      </w:r>
      <w:r w:rsidRPr="00684FC6">
        <w:rPr>
          <w:rFonts w:ascii="Arial" w:hAnsi="Arial" w:cs="Arial"/>
          <w:color w:val="000000"/>
          <w:sz w:val="20"/>
          <w:szCs w:val="20"/>
        </w:rPr>
        <w:t>available to investors in a particular share class.</w:t>
      </w:r>
    </w:p>
    <w:p w:rsidR="00814BEB" w:rsidRDefault="00814BEB">
      <w:pPr>
        <w:autoSpaceDE w:val="0"/>
        <w:autoSpaceDN w:val="0"/>
        <w:adjustRightInd w:val="0"/>
        <w:jc w:val="both"/>
        <w:rPr>
          <w:rFonts w:ascii="Arial" w:hAnsi="Arial" w:cs="Arial"/>
          <w:sz w:val="20"/>
          <w:szCs w:val="20"/>
        </w:rPr>
      </w:pPr>
    </w:p>
    <w:p w:rsidR="00814BEB" w:rsidRDefault="00560012">
      <w:pPr>
        <w:autoSpaceDE w:val="0"/>
        <w:autoSpaceDN w:val="0"/>
        <w:adjustRightInd w:val="0"/>
        <w:jc w:val="both"/>
        <w:rPr>
          <w:rFonts w:ascii="Arial" w:hAnsi="Arial" w:cs="Arial"/>
          <w:sz w:val="20"/>
          <w:szCs w:val="20"/>
        </w:rPr>
      </w:pPr>
      <w:r w:rsidRPr="00684FC6">
        <w:rPr>
          <w:rFonts w:ascii="Arial" w:hAnsi="Arial" w:cs="Arial"/>
          <w:color w:val="000000"/>
          <w:sz w:val="20"/>
          <w:szCs w:val="20"/>
        </w:rPr>
        <w:t>The most common use</w:t>
      </w:r>
      <w:r w:rsidR="00E732DA">
        <w:rPr>
          <w:rFonts w:ascii="Arial" w:hAnsi="Arial" w:cs="Arial"/>
          <w:color w:val="000000"/>
          <w:sz w:val="20"/>
          <w:szCs w:val="20"/>
        </w:rPr>
        <w:t xml:space="preserve"> involves a group of three classes — A, B, and C shares — that are sold to individuals through stock brokerages. Each share class offers a different method for compensating brokers for advice and assistance. Class A shares rely primarily on front-end loads, whereas class C shares predominantly use asset-based, 12b-1 fees. Class B shares combine 12b-1 fees with declining contingent deferred sales loads that are triggered by redemptions. </w:t>
      </w:r>
    </w:p>
    <w:p w:rsidR="00814BEB" w:rsidRDefault="00814BEB">
      <w:pPr>
        <w:autoSpaceDE w:val="0"/>
        <w:autoSpaceDN w:val="0"/>
        <w:adjustRightInd w:val="0"/>
        <w:jc w:val="both"/>
        <w:rPr>
          <w:rFonts w:ascii="Arial" w:hAnsi="Arial" w:cs="Arial"/>
          <w:sz w:val="20"/>
          <w:szCs w:val="20"/>
        </w:rPr>
      </w:pPr>
    </w:p>
    <w:p w:rsidR="00814BEB" w:rsidRDefault="00E732DA">
      <w:pPr>
        <w:autoSpaceDE w:val="0"/>
        <w:autoSpaceDN w:val="0"/>
        <w:adjustRightInd w:val="0"/>
        <w:jc w:val="both"/>
        <w:rPr>
          <w:rFonts w:ascii="Arial" w:hAnsi="Arial" w:cs="Arial"/>
          <w:sz w:val="20"/>
          <w:szCs w:val="20"/>
        </w:rPr>
      </w:pPr>
      <w:r>
        <w:rPr>
          <w:rFonts w:ascii="Arial" w:hAnsi="Arial" w:cs="Arial"/>
          <w:color w:val="000000"/>
          <w:sz w:val="20"/>
          <w:szCs w:val="20"/>
        </w:rPr>
        <w:t xml:space="preserve">Each mutual fund investor chooses a share class based on individual circumstances, particularly his or her investment horizon and the amount to be invested (since the front-end loads on class </w:t>
      </w:r>
      <w:proofErr w:type="gramStart"/>
      <w:r>
        <w:rPr>
          <w:rFonts w:ascii="Arial" w:hAnsi="Arial" w:cs="Arial"/>
          <w:color w:val="000000"/>
          <w:sz w:val="20"/>
          <w:szCs w:val="20"/>
        </w:rPr>
        <w:t>A</w:t>
      </w:r>
      <w:proofErr w:type="gramEnd"/>
      <w:r>
        <w:rPr>
          <w:rFonts w:ascii="Arial" w:hAnsi="Arial" w:cs="Arial"/>
          <w:color w:val="000000"/>
          <w:sz w:val="20"/>
          <w:szCs w:val="20"/>
        </w:rPr>
        <w:t xml:space="preserve"> shares typically decrease with higher investments - the thresholds are called as “break points”). </w:t>
      </w:r>
    </w:p>
    <w:p w:rsidR="00814BEB" w:rsidRDefault="00E732DA">
      <w:pPr>
        <w:autoSpaceDE w:val="0"/>
        <w:autoSpaceDN w:val="0"/>
        <w:adjustRightInd w:val="0"/>
        <w:jc w:val="both"/>
        <w:rPr>
          <w:rFonts w:ascii="Arial" w:hAnsi="Arial" w:cs="Arial"/>
          <w:sz w:val="20"/>
          <w:szCs w:val="20"/>
        </w:rPr>
      </w:pPr>
      <w:r>
        <w:rPr>
          <w:rFonts w:ascii="Arial" w:hAnsi="Arial" w:cs="Arial"/>
          <w:color w:val="000000"/>
          <w:sz w:val="20"/>
          <w:szCs w:val="20"/>
        </w:rPr>
        <w:t xml:space="preserve">Other important share classes include an institutional share class for defined contribution plans and institutional investors, and an adviser share class that is sold through financial advisers who charge their clients directly for advice and services. Fund companies that sell funds directly to </w:t>
      </w:r>
      <w:r>
        <w:rPr>
          <w:rFonts w:ascii="Arial" w:hAnsi="Arial" w:cs="Arial"/>
          <w:color w:val="000000"/>
          <w:sz w:val="20"/>
          <w:szCs w:val="20"/>
        </w:rPr>
        <w:lastRenderedPageBreak/>
        <w:t>shareholders typically offer a distinct share class or fund for these direct sales. Fund sponsors that sell directly to retail clients might also offer separate share classes to institutional clients and financial advisers.</w:t>
      </w:r>
    </w:p>
    <w:p w:rsidR="00814BEB" w:rsidRDefault="00814BEB">
      <w:pPr>
        <w:autoSpaceDE w:val="0"/>
        <w:autoSpaceDN w:val="0"/>
        <w:adjustRightInd w:val="0"/>
        <w:jc w:val="both"/>
        <w:rPr>
          <w:rFonts w:ascii="Arial" w:hAnsi="Arial" w:cs="Arial"/>
          <w:sz w:val="20"/>
          <w:szCs w:val="20"/>
        </w:rPr>
      </w:pPr>
    </w:p>
    <w:p w:rsidR="00185FE4" w:rsidRPr="0045765D" w:rsidRDefault="00E732DA" w:rsidP="006671BF">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Shareholder</w:t>
      </w:r>
      <w:r w:rsidR="0045765D">
        <w:rPr>
          <w:rFonts w:ascii="Arial" w:hAnsi="Arial" w:cs="Arial"/>
          <w:b/>
          <w:color w:val="000000"/>
          <w:sz w:val="20"/>
          <w:szCs w:val="20"/>
        </w:rPr>
        <w:t xml:space="preserve"> (Investor)</w:t>
      </w:r>
      <w:r w:rsidRPr="00E732DA">
        <w:rPr>
          <w:rFonts w:ascii="Arial" w:hAnsi="Arial" w:cs="Arial"/>
          <w:b/>
          <w:color w:val="000000"/>
          <w:sz w:val="20"/>
          <w:szCs w:val="20"/>
        </w:rPr>
        <w:t xml:space="preserve"> </w:t>
      </w:r>
    </w:p>
    <w:p w:rsidR="0045765D" w:rsidRDefault="0045765D" w:rsidP="006671BF">
      <w:pPr>
        <w:autoSpaceDE w:val="0"/>
        <w:autoSpaceDN w:val="0"/>
        <w:adjustRightInd w:val="0"/>
        <w:jc w:val="both"/>
        <w:rPr>
          <w:rFonts w:ascii="Arial" w:hAnsi="Arial" w:cs="Arial"/>
          <w:color w:val="000000"/>
          <w:sz w:val="20"/>
          <w:szCs w:val="20"/>
        </w:rPr>
      </w:pPr>
      <w:r>
        <w:rPr>
          <w:rFonts w:ascii="Arial" w:hAnsi="Arial" w:cs="Arial"/>
          <w:color w:val="000000"/>
          <w:sz w:val="20"/>
          <w:szCs w:val="20"/>
        </w:rPr>
        <w:t>Shareholders are investors in the mutual fund, retail as well as institutional. Multiple retail shareholders may belong to a Household, linked by various relationships.</w:t>
      </w:r>
    </w:p>
    <w:p w:rsidR="0045765D" w:rsidRDefault="0045765D" w:rsidP="006671BF">
      <w:pPr>
        <w:autoSpaceDE w:val="0"/>
        <w:autoSpaceDN w:val="0"/>
        <w:adjustRightInd w:val="0"/>
        <w:jc w:val="both"/>
        <w:rPr>
          <w:rFonts w:ascii="Arial" w:hAnsi="Arial" w:cs="Arial"/>
          <w:color w:val="000000"/>
          <w:sz w:val="20"/>
          <w:szCs w:val="20"/>
        </w:rPr>
      </w:pPr>
    </w:p>
    <w:p w:rsidR="0045765D" w:rsidRPr="0045765D" w:rsidRDefault="00E732DA" w:rsidP="006671BF">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Shareholder Account</w:t>
      </w:r>
    </w:p>
    <w:p w:rsidR="0045765D" w:rsidRDefault="0045765D" w:rsidP="006671BF">
      <w:pPr>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Account is entity which holds mutual fund investments. Shareholder may have one or more accounts to hold mutual fund investments, perhaps for different purposes or through different routes. For example, a shareholder may hold one account for his retirement savings, another account in which he/she saves for children’s education, and another account purely for personal investment. </w:t>
      </w:r>
    </w:p>
    <w:p w:rsidR="0045765D" w:rsidRDefault="0045765D" w:rsidP="006671BF">
      <w:pPr>
        <w:autoSpaceDE w:val="0"/>
        <w:autoSpaceDN w:val="0"/>
        <w:adjustRightInd w:val="0"/>
        <w:jc w:val="both"/>
        <w:rPr>
          <w:rFonts w:ascii="Arial" w:hAnsi="Arial" w:cs="Arial"/>
          <w:color w:val="000000"/>
          <w:sz w:val="20"/>
          <w:szCs w:val="20"/>
        </w:rPr>
      </w:pPr>
    </w:p>
    <w:p w:rsidR="0045765D" w:rsidRPr="0045765D" w:rsidRDefault="00E732DA" w:rsidP="006671BF">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Shareholder Transactions and Holdings</w:t>
      </w:r>
    </w:p>
    <w:p w:rsidR="0045765D" w:rsidRDefault="0045765D" w:rsidP="006671BF">
      <w:pPr>
        <w:autoSpaceDE w:val="0"/>
        <w:autoSpaceDN w:val="0"/>
        <w:adjustRightInd w:val="0"/>
        <w:jc w:val="both"/>
        <w:rPr>
          <w:rFonts w:ascii="Arial" w:hAnsi="Arial" w:cs="Arial"/>
          <w:color w:val="000000"/>
          <w:sz w:val="20"/>
          <w:szCs w:val="20"/>
        </w:rPr>
      </w:pPr>
      <w:r>
        <w:rPr>
          <w:rFonts w:ascii="Arial" w:hAnsi="Arial" w:cs="Arial"/>
          <w:color w:val="000000"/>
          <w:sz w:val="20"/>
          <w:szCs w:val="20"/>
        </w:rPr>
        <w:t>Shareholder Transactions represents all purchases, sells, exchanges, and other transactions entered into by the shareholder. Shareholder transactions impact the holdings or unit balance in the account. Mutual funds have to appoint a Transfer Agent</w:t>
      </w:r>
      <w:r w:rsidR="006E7F0A">
        <w:rPr>
          <w:rFonts w:ascii="Arial" w:hAnsi="Arial" w:cs="Arial"/>
          <w:color w:val="000000"/>
          <w:sz w:val="20"/>
          <w:szCs w:val="20"/>
        </w:rPr>
        <w:t xml:space="preserve"> (also called a Registrar</w:t>
      </w:r>
      <w:r>
        <w:rPr>
          <w:rFonts w:ascii="Arial" w:hAnsi="Arial" w:cs="Arial"/>
          <w:color w:val="000000"/>
          <w:sz w:val="20"/>
          <w:szCs w:val="20"/>
        </w:rPr>
        <w:t xml:space="preserve"> </w:t>
      </w:r>
      <w:r w:rsidR="006E7F0A">
        <w:rPr>
          <w:rFonts w:ascii="Arial" w:hAnsi="Arial" w:cs="Arial"/>
          <w:color w:val="000000"/>
          <w:sz w:val="20"/>
          <w:szCs w:val="20"/>
        </w:rPr>
        <w:t xml:space="preserve">in some countries) </w:t>
      </w:r>
      <w:r>
        <w:rPr>
          <w:rFonts w:ascii="Arial" w:hAnsi="Arial" w:cs="Arial"/>
          <w:color w:val="000000"/>
          <w:sz w:val="20"/>
          <w:szCs w:val="20"/>
        </w:rPr>
        <w:t xml:space="preserve">who is responsible for maintaining the shareholder accounts, and process the shareholder transactions. </w:t>
      </w:r>
    </w:p>
    <w:p w:rsidR="0045765D" w:rsidRDefault="0045765D" w:rsidP="006671BF">
      <w:pPr>
        <w:autoSpaceDE w:val="0"/>
        <w:autoSpaceDN w:val="0"/>
        <w:adjustRightInd w:val="0"/>
        <w:jc w:val="both"/>
        <w:rPr>
          <w:rFonts w:ascii="Arial" w:hAnsi="Arial" w:cs="Arial"/>
          <w:color w:val="000000"/>
          <w:sz w:val="20"/>
          <w:szCs w:val="20"/>
        </w:rPr>
      </w:pPr>
    </w:p>
    <w:p w:rsidR="0045765D" w:rsidRPr="0045765D" w:rsidRDefault="00E732DA" w:rsidP="006671BF">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Fund Account</w:t>
      </w:r>
      <w:r w:rsidR="00C64036">
        <w:rPr>
          <w:rFonts w:ascii="Arial" w:hAnsi="Arial" w:cs="Arial"/>
          <w:b/>
          <w:color w:val="000000"/>
          <w:sz w:val="20"/>
          <w:szCs w:val="20"/>
        </w:rPr>
        <w:t xml:space="preserve"> </w:t>
      </w:r>
    </w:p>
    <w:p w:rsidR="0045765D" w:rsidRDefault="0045765D" w:rsidP="006671BF">
      <w:pPr>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Similar to the shareholder account, Fund Account holds the fund’s investments (portfolio). </w:t>
      </w:r>
    </w:p>
    <w:p w:rsidR="0045765D" w:rsidRDefault="0045765D" w:rsidP="006671BF">
      <w:pPr>
        <w:autoSpaceDE w:val="0"/>
        <w:autoSpaceDN w:val="0"/>
        <w:adjustRightInd w:val="0"/>
        <w:jc w:val="both"/>
        <w:rPr>
          <w:rFonts w:ascii="Arial" w:hAnsi="Arial" w:cs="Arial"/>
          <w:color w:val="000000"/>
          <w:sz w:val="20"/>
          <w:szCs w:val="20"/>
        </w:rPr>
      </w:pPr>
    </w:p>
    <w:p w:rsidR="0045765D" w:rsidRPr="00C64036" w:rsidRDefault="00E732DA" w:rsidP="006671BF">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Fund Trades and Fund Holdings</w:t>
      </w:r>
    </w:p>
    <w:p w:rsidR="00C64036" w:rsidRDefault="00C64036" w:rsidP="006671BF">
      <w:pPr>
        <w:autoSpaceDE w:val="0"/>
        <w:autoSpaceDN w:val="0"/>
        <w:adjustRightInd w:val="0"/>
        <w:jc w:val="both"/>
        <w:rPr>
          <w:rFonts w:ascii="Arial" w:hAnsi="Arial" w:cs="Arial"/>
          <w:color w:val="000000"/>
          <w:sz w:val="20"/>
          <w:szCs w:val="20"/>
        </w:rPr>
      </w:pPr>
      <w:r>
        <w:rPr>
          <w:rFonts w:ascii="Arial" w:hAnsi="Arial" w:cs="Arial"/>
          <w:color w:val="000000"/>
          <w:sz w:val="20"/>
          <w:szCs w:val="20"/>
        </w:rPr>
        <w:t>Fund Trades represents the investment transactions carried out by the fund manager on the underlying portfolio. Fund trades such as purchases or sells of securities impact fund holdings, i.e. the portfolio.</w:t>
      </w:r>
    </w:p>
    <w:p w:rsidR="00C64036" w:rsidRDefault="00C64036" w:rsidP="006671BF">
      <w:pPr>
        <w:autoSpaceDE w:val="0"/>
        <w:autoSpaceDN w:val="0"/>
        <w:adjustRightInd w:val="0"/>
        <w:jc w:val="both"/>
        <w:rPr>
          <w:rFonts w:ascii="Arial" w:hAnsi="Arial" w:cs="Arial"/>
          <w:color w:val="000000"/>
          <w:sz w:val="20"/>
          <w:szCs w:val="20"/>
        </w:rPr>
      </w:pPr>
    </w:p>
    <w:p w:rsidR="0045765D" w:rsidRPr="00C64036" w:rsidRDefault="00E732DA" w:rsidP="006671BF">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 xml:space="preserve">Security </w:t>
      </w:r>
    </w:p>
    <w:p w:rsidR="00C64036" w:rsidRDefault="00C64036" w:rsidP="006671BF">
      <w:pPr>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Security represents the underlying instruments of the mutual fund portfolios – stocks, bonds, derivatives, and other investments. </w:t>
      </w:r>
    </w:p>
    <w:p w:rsidR="0045765D" w:rsidRDefault="0045765D" w:rsidP="006671BF">
      <w:pPr>
        <w:autoSpaceDE w:val="0"/>
        <w:autoSpaceDN w:val="0"/>
        <w:adjustRightInd w:val="0"/>
        <w:jc w:val="both"/>
        <w:rPr>
          <w:rFonts w:ascii="Arial" w:hAnsi="Arial" w:cs="Arial"/>
          <w:color w:val="000000"/>
          <w:sz w:val="20"/>
          <w:szCs w:val="20"/>
        </w:rPr>
      </w:pPr>
    </w:p>
    <w:p w:rsidR="00C64036" w:rsidRPr="006671BF" w:rsidRDefault="00C64036" w:rsidP="006671BF">
      <w:pPr>
        <w:autoSpaceDE w:val="0"/>
        <w:autoSpaceDN w:val="0"/>
        <w:adjustRightInd w:val="0"/>
        <w:jc w:val="both"/>
        <w:rPr>
          <w:rFonts w:ascii="Arial" w:hAnsi="Arial" w:cs="Arial"/>
          <w:color w:val="000000"/>
          <w:sz w:val="20"/>
          <w:szCs w:val="20"/>
        </w:rPr>
      </w:pPr>
      <w:r w:rsidRPr="00C64036">
        <w:rPr>
          <w:rFonts w:ascii="Arial" w:hAnsi="Arial" w:cs="Arial"/>
          <w:b/>
          <w:color w:val="000000"/>
          <w:sz w:val="20"/>
          <w:szCs w:val="20"/>
        </w:rPr>
        <w:t>Corporate Actions</w:t>
      </w:r>
    </w:p>
    <w:p w:rsidR="00814BEB" w:rsidRDefault="00E732DA">
      <w:pPr>
        <w:autoSpaceDE w:val="0"/>
        <w:autoSpaceDN w:val="0"/>
        <w:adjustRightInd w:val="0"/>
        <w:jc w:val="both"/>
        <w:rPr>
          <w:rFonts w:ascii="Arial" w:hAnsi="Arial" w:cs="Arial"/>
          <w:color w:val="000000"/>
          <w:sz w:val="20"/>
          <w:szCs w:val="20"/>
        </w:rPr>
      </w:pPr>
      <w:r w:rsidRPr="00E732DA">
        <w:rPr>
          <w:rFonts w:ascii="Arial" w:hAnsi="Arial" w:cs="Arial"/>
          <w:color w:val="000000"/>
          <w:sz w:val="20"/>
          <w:szCs w:val="20"/>
        </w:rPr>
        <w:t>Corporate actions</w:t>
      </w:r>
      <w:r w:rsidR="00C64036">
        <w:rPr>
          <w:rFonts w:ascii="Arial" w:hAnsi="Arial" w:cs="Arial"/>
          <w:color w:val="000000"/>
          <w:sz w:val="20"/>
          <w:szCs w:val="20"/>
        </w:rPr>
        <w:t xml:space="preserve"> are events such as dividend and interest distribution, bonus, split, mergers and acquisitions, name change, and so on. Securities in the mutual fund’s underlying portfolio are subject of most of the corporate actions although sometimes mutual funds themselves also declare certain corporate actions such as a bonus, name change or merger of mutual fund schemes.</w:t>
      </w:r>
    </w:p>
    <w:p w:rsidR="00814BEB" w:rsidRDefault="00C64036">
      <w:pPr>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Following are some of the </w:t>
      </w:r>
      <w:r w:rsidR="00E732DA" w:rsidRPr="00E732DA">
        <w:rPr>
          <w:rFonts w:ascii="Arial" w:hAnsi="Arial" w:cs="Arial"/>
          <w:b/>
          <w:color w:val="000000"/>
          <w:sz w:val="20"/>
          <w:szCs w:val="20"/>
        </w:rPr>
        <w:t>external business entities</w:t>
      </w:r>
      <w:r>
        <w:rPr>
          <w:rFonts w:ascii="Arial" w:hAnsi="Arial" w:cs="Arial"/>
          <w:color w:val="000000"/>
          <w:sz w:val="20"/>
          <w:szCs w:val="20"/>
        </w:rPr>
        <w:t xml:space="preserve"> that a mutual fund is associated with:</w:t>
      </w:r>
    </w:p>
    <w:p w:rsidR="00814BEB" w:rsidRDefault="00814BEB">
      <w:pPr>
        <w:autoSpaceDE w:val="0"/>
        <w:autoSpaceDN w:val="0"/>
        <w:adjustRightInd w:val="0"/>
        <w:jc w:val="both"/>
        <w:rPr>
          <w:rFonts w:ascii="Arial" w:hAnsi="Arial" w:cs="Arial"/>
          <w:color w:val="000000"/>
          <w:sz w:val="20"/>
          <w:szCs w:val="20"/>
        </w:rPr>
      </w:pPr>
    </w:p>
    <w:p w:rsidR="00814BEB" w:rsidRDefault="00003A84">
      <w:pPr>
        <w:autoSpaceDE w:val="0"/>
        <w:autoSpaceDN w:val="0"/>
        <w:adjustRightInd w:val="0"/>
        <w:jc w:val="both"/>
        <w:rPr>
          <w:rFonts w:ascii="Arial" w:hAnsi="Arial" w:cs="Arial"/>
          <w:color w:val="000000"/>
          <w:sz w:val="20"/>
          <w:szCs w:val="20"/>
        </w:rPr>
      </w:pPr>
      <w:r w:rsidRPr="00E732DA">
        <w:rPr>
          <w:rFonts w:ascii="Arial" w:hAnsi="Arial" w:cs="Arial"/>
          <w:color w:val="000000"/>
          <w:sz w:val="20"/>
          <w:szCs w:val="20"/>
        </w:rPr>
        <w:object w:dxaOrig="12508" w:dyaOrig="6923">
          <v:shape id="_x0000_i1039" type="#_x0000_t75" style="width:6in;height:239.15pt" o:ole="">
            <v:imagedata r:id="rId111" o:title=""/>
          </v:shape>
          <o:OLEObject Type="Embed" ProgID="Visio.Drawing.11" ShapeID="_x0000_i1039" DrawAspect="Content" ObjectID="_1324125802" r:id="rId112"/>
        </w:object>
      </w:r>
    </w:p>
    <w:p w:rsidR="00814BEB" w:rsidRDefault="00814BEB">
      <w:pPr>
        <w:autoSpaceDE w:val="0"/>
        <w:autoSpaceDN w:val="0"/>
        <w:adjustRightInd w:val="0"/>
        <w:jc w:val="both"/>
        <w:rPr>
          <w:rFonts w:ascii="Arial" w:hAnsi="Arial" w:cs="Arial"/>
          <w:color w:val="000000"/>
          <w:sz w:val="20"/>
          <w:szCs w:val="20"/>
        </w:rPr>
      </w:pPr>
    </w:p>
    <w:p w:rsidR="00814BEB" w:rsidRDefault="00E732DA">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Transfer Agent</w:t>
      </w:r>
      <w:r w:rsidR="006E7F0A">
        <w:rPr>
          <w:rFonts w:ascii="Arial" w:hAnsi="Arial" w:cs="Arial"/>
          <w:b/>
          <w:color w:val="000000"/>
          <w:sz w:val="20"/>
          <w:szCs w:val="20"/>
        </w:rPr>
        <w:t xml:space="preserve"> (Registrar)</w:t>
      </w:r>
    </w:p>
    <w:p w:rsidR="00814BEB" w:rsidRDefault="00003A84">
      <w:pPr>
        <w:autoSpaceDE w:val="0"/>
        <w:autoSpaceDN w:val="0"/>
        <w:adjustRightInd w:val="0"/>
        <w:jc w:val="both"/>
        <w:rPr>
          <w:rFonts w:ascii="Arial" w:hAnsi="Arial" w:cs="Arial"/>
          <w:color w:val="000000"/>
          <w:sz w:val="20"/>
          <w:szCs w:val="20"/>
        </w:rPr>
      </w:pPr>
      <w:r w:rsidRPr="00003A84">
        <w:rPr>
          <w:rFonts w:ascii="Arial" w:hAnsi="Arial" w:cs="Arial"/>
          <w:color w:val="000000"/>
          <w:sz w:val="20"/>
          <w:szCs w:val="20"/>
        </w:rPr>
        <w:t>Generally Transfer Agent is a trust company, bank or similar financial institution assigned by a corporation to maintain records of investors and account balances and transactions, to cancel and issue certificates, to process investor mailings and to deal with any associated problems (i.e. lost or stolen certificates).</w:t>
      </w:r>
    </w:p>
    <w:p w:rsidR="00814BEB" w:rsidRDefault="00814BEB">
      <w:pPr>
        <w:autoSpaceDE w:val="0"/>
        <w:autoSpaceDN w:val="0"/>
        <w:adjustRightInd w:val="0"/>
        <w:jc w:val="both"/>
        <w:rPr>
          <w:rFonts w:ascii="Arial" w:hAnsi="Arial" w:cs="Arial"/>
          <w:color w:val="000000"/>
          <w:sz w:val="20"/>
          <w:szCs w:val="20"/>
        </w:rPr>
      </w:pPr>
    </w:p>
    <w:p w:rsidR="00814BEB" w:rsidRDefault="00E732DA">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Distributor</w:t>
      </w:r>
    </w:p>
    <w:p w:rsidR="00814BEB" w:rsidRDefault="00003A84">
      <w:pPr>
        <w:autoSpaceDE w:val="0"/>
        <w:autoSpaceDN w:val="0"/>
        <w:adjustRightInd w:val="0"/>
        <w:jc w:val="both"/>
        <w:rPr>
          <w:rFonts w:ascii="Arial" w:hAnsi="Arial" w:cs="Arial"/>
          <w:color w:val="000000"/>
          <w:sz w:val="20"/>
          <w:szCs w:val="20"/>
        </w:rPr>
      </w:pPr>
      <w:r>
        <w:rPr>
          <w:rFonts w:ascii="Arial" w:hAnsi="Arial" w:cs="Arial"/>
          <w:color w:val="000000"/>
          <w:sz w:val="20"/>
          <w:szCs w:val="20"/>
        </w:rPr>
        <w:t>Distributors sell third party mutual funds for a commission. See section 9.6 on Mutual Fund Distribution.</w:t>
      </w:r>
    </w:p>
    <w:p w:rsidR="00814BEB" w:rsidRDefault="00814BEB">
      <w:pPr>
        <w:autoSpaceDE w:val="0"/>
        <w:autoSpaceDN w:val="0"/>
        <w:adjustRightInd w:val="0"/>
        <w:jc w:val="both"/>
        <w:rPr>
          <w:rFonts w:ascii="Arial" w:hAnsi="Arial" w:cs="Arial"/>
          <w:color w:val="000000"/>
          <w:sz w:val="20"/>
          <w:szCs w:val="20"/>
        </w:rPr>
      </w:pPr>
    </w:p>
    <w:p w:rsidR="00814BEB" w:rsidRDefault="00E732DA">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Investment Advisors</w:t>
      </w:r>
    </w:p>
    <w:p w:rsidR="00814BEB" w:rsidRDefault="00003A84">
      <w:pPr>
        <w:autoSpaceDE w:val="0"/>
        <w:autoSpaceDN w:val="0"/>
        <w:adjustRightInd w:val="0"/>
        <w:jc w:val="both"/>
        <w:rPr>
          <w:rFonts w:ascii="Arial" w:hAnsi="Arial" w:cs="Arial"/>
          <w:color w:val="000000"/>
          <w:sz w:val="20"/>
          <w:szCs w:val="20"/>
        </w:rPr>
      </w:pPr>
      <w:r>
        <w:rPr>
          <w:rFonts w:ascii="Arial" w:hAnsi="Arial" w:cs="Arial"/>
          <w:color w:val="000000"/>
          <w:sz w:val="20"/>
          <w:szCs w:val="20"/>
        </w:rPr>
        <w:t xml:space="preserve">Investment Advisor </w:t>
      </w:r>
      <w:r w:rsidRPr="00003A84">
        <w:rPr>
          <w:rFonts w:ascii="Arial" w:hAnsi="Arial" w:cs="Arial"/>
          <w:color w:val="000000"/>
          <w:sz w:val="20"/>
          <w:szCs w:val="20"/>
        </w:rPr>
        <w:t>is a SEC-registered individual or firm that acts as an investment adviser. The investment advisor provides investment advice, research services, and certain administrative services under a contract, commonly referred to as the investment advisory agreement. The scope of the advisor’s services differs from fund to fund.</w:t>
      </w:r>
    </w:p>
    <w:p w:rsidR="00814BEB" w:rsidRDefault="00814BEB">
      <w:pPr>
        <w:autoSpaceDE w:val="0"/>
        <w:autoSpaceDN w:val="0"/>
        <w:adjustRightInd w:val="0"/>
        <w:jc w:val="both"/>
        <w:rPr>
          <w:rFonts w:ascii="Arial" w:hAnsi="Arial" w:cs="Arial"/>
          <w:color w:val="000000"/>
          <w:sz w:val="20"/>
          <w:szCs w:val="20"/>
        </w:rPr>
      </w:pPr>
    </w:p>
    <w:p w:rsidR="00814BEB" w:rsidRDefault="00E732DA">
      <w:pPr>
        <w:autoSpaceDE w:val="0"/>
        <w:autoSpaceDN w:val="0"/>
        <w:adjustRightInd w:val="0"/>
        <w:jc w:val="both"/>
        <w:rPr>
          <w:color w:val="000000"/>
          <w:sz w:val="20"/>
          <w:szCs w:val="20"/>
        </w:rPr>
      </w:pPr>
      <w:bookmarkStart w:id="498" w:name="_Toc131329222"/>
      <w:r w:rsidRPr="00E732DA">
        <w:rPr>
          <w:rFonts w:ascii="Arial" w:hAnsi="Arial" w:cs="Arial"/>
          <w:b/>
          <w:color w:val="000000"/>
          <w:sz w:val="20"/>
          <w:szCs w:val="20"/>
        </w:rPr>
        <w:t>Custodian</w:t>
      </w:r>
      <w:bookmarkEnd w:id="498"/>
      <w:r w:rsidRPr="00E732DA">
        <w:rPr>
          <w:rFonts w:ascii="Arial" w:hAnsi="Arial" w:cs="Arial"/>
          <w:b/>
          <w:color w:val="000000"/>
          <w:sz w:val="20"/>
          <w:szCs w:val="20"/>
        </w:rPr>
        <w:t xml:space="preserve"> </w:t>
      </w:r>
    </w:p>
    <w:p w:rsidR="00814BEB" w:rsidRDefault="00E732DA">
      <w:pPr>
        <w:autoSpaceDE w:val="0"/>
        <w:autoSpaceDN w:val="0"/>
        <w:adjustRightInd w:val="0"/>
        <w:jc w:val="both"/>
        <w:rPr>
          <w:rFonts w:ascii="Arial" w:hAnsi="Arial" w:cs="Arial"/>
          <w:color w:val="000000"/>
          <w:sz w:val="20"/>
          <w:szCs w:val="20"/>
        </w:rPr>
      </w:pPr>
      <w:r w:rsidRPr="00E732DA">
        <w:rPr>
          <w:rFonts w:ascii="Arial" w:hAnsi="Arial" w:cs="Arial"/>
          <w:color w:val="000000"/>
          <w:sz w:val="20"/>
          <w:szCs w:val="20"/>
        </w:rPr>
        <w:t>Custodian is a financial institution, which holds stocks, bonds and other securities for guaranteed safekeeping. Related services include the collection of income on custody securities, the settlement of transactions, the investment of cash overnight and the provision of accounting reports.</w:t>
      </w:r>
    </w:p>
    <w:p w:rsidR="00003A84" w:rsidRPr="00F27DE7" w:rsidRDefault="00003A84" w:rsidP="00003A84">
      <w:pPr>
        <w:jc w:val="both"/>
        <w:rPr>
          <w:rFonts w:ascii="Verdana" w:hAnsi="Verdana" w:cs="Arial"/>
        </w:rPr>
      </w:pPr>
    </w:p>
    <w:p w:rsidR="00814BEB" w:rsidRDefault="00E732DA">
      <w:pPr>
        <w:autoSpaceDE w:val="0"/>
        <w:autoSpaceDN w:val="0"/>
        <w:adjustRightInd w:val="0"/>
        <w:jc w:val="both"/>
        <w:rPr>
          <w:color w:val="000000"/>
          <w:sz w:val="20"/>
          <w:szCs w:val="20"/>
        </w:rPr>
      </w:pPr>
      <w:bookmarkStart w:id="499" w:name="_Toc131329224"/>
      <w:r w:rsidRPr="00E732DA">
        <w:rPr>
          <w:rFonts w:ascii="Arial" w:hAnsi="Arial" w:cs="Arial"/>
          <w:b/>
          <w:color w:val="000000"/>
          <w:sz w:val="20"/>
          <w:szCs w:val="20"/>
        </w:rPr>
        <w:t>Executing Broker / Dealer</w:t>
      </w:r>
      <w:bookmarkEnd w:id="499"/>
    </w:p>
    <w:p w:rsidR="00003A84" w:rsidRPr="00476281" w:rsidRDefault="00E732DA" w:rsidP="00003A84">
      <w:pPr>
        <w:autoSpaceDE w:val="0"/>
        <w:autoSpaceDN w:val="0"/>
        <w:adjustRightInd w:val="0"/>
        <w:jc w:val="both"/>
        <w:rPr>
          <w:rFonts w:ascii="Arial" w:hAnsi="Arial" w:cs="Arial"/>
          <w:color w:val="000000"/>
          <w:sz w:val="20"/>
          <w:szCs w:val="20"/>
        </w:rPr>
      </w:pPr>
      <w:r w:rsidRPr="00E732DA">
        <w:rPr>
          <w:rFonts w:ascii="Arial" w:hAnsi="Arial" w:cs="Arial"/>
          <w:color w:val="000000"/>
          <w:sz w:val="20"/>
          <w:szCs w:val="20"/>
        </w:rPr>
        <w:t>Broker/Dealer is an individual or institution that acts as a principal in securities transaction. Broker/Dealers take the orders to the exchanges / ECNs for execution and trade for their own account and risk. When buying from a broker acting as a dealer, a customer receives securities from that firm's inventory. Since most brokerage firms operate both as a broker and as a Principal (dealer), the term broker/dealer is commonly used.</w:t>
      </w:r>
    </w:p>
    <w:p w:rsidR="00003A84" w:rsidRDefault="00003A84" w:rsidP="00003A84">
      <w:pPr>
        <w:autoSpaceDE w:val="0"/>
        <w:autoSpaceDN w:val="0"/>
        <w:adjustRightInd w:val="0"/>
        <w:jc w:val="both"/>
        <w:rPr>
          <w:rFonts w:ascii="Verdana" w:hAnsi="Verdana" w:cs="Verdana"/>
          <w:color w:val="000000"/>
        </w:rPr>
      </w:pPr>
    </w:p>
    <w:p w:rsidR="00814BEB" w:rsidRDefault="00E732DA">
      <w:pPr>
        <w:autoSpaceDE w:val="0"/>
        <w:autoSpaceDN w:val="0"/>
        <w:adjustRightInd w:val="0"/>
        <w:jc w:val="both"/>
        <w:rPr>
          <w:color w:val="000000"/>
          <w:sz w:val="20"/>
          <w:szCs w:val="20"/>
        </w:rPr>
      </w:pPr>
      <w:bookmarkStart w:id="500" w:name="_Toc131329225"/>
      <w:r w:rsidRPr="00E732DA">
        <w:rPr>
          <w:rFonts w:ascii="Arial" w:hAnsi="Arial" w:cs="Arial"/>
          <w:b/>
          <w:color w:val="000000"/>
          <w:sz w:val="20"/>
          <w:szCs w:val="20"/>
        </w:rPr>
        <w:t>Fund Administrator</w:t>
      </w:r>
      <w:bookmarkEnd w:id="500"/>
      <w:r w:rsidRPr="00E732DA">
        <w:rPr>
          <w:rFonts w:ascii="Arial" w:hAnsi="Arial" w:cs="Arial"/>
          <w:b/>
          <w:color w:val="000000"/>
          <w:sz w:val="20"/>
          <w:szCs w:val="20"/>
        </w:rPr>
        <w:t xml:space="preserve"> </w:t>
      </w:r>
    </w:p>
    <w:p w:rsidR="00814BEB" w:rsidRDefault="00E732DA">
      <w:pPr>
        <w:autoSpaceDE w:val="0"/>
        <w:autoSpaceDN w:val="0"/>
        <w:adjustRightInd w:val="0"/>
        <w:jc w:val="both"/>
        <w:rPr>
          <w:rFonts w:ascii="Arial" w:hAnsi="Arial" w:cs="Arial"/>
          <w:color w:val="000000"/>
          <w:sz w:val="20"/>
          <w:szCs w:val="20"/>
        </w:rPr>
      </w:pPr>
      <w:r w:rsidRPr="00E732DA">
        <w:rPr>
          <w:rFonts w:ascii="Arial" w:hAnsi="Arial" w:cs="Arial"/>
          <w:color w:val="000000"/>
          <w:sz w:val="20"/>
          <w:szCs w:val="20"/>
        </w:rPr>
        <w:lastRenderedPageBreak/>
        <w:t>Under the Uniform Securities Act, Administrator is an entity that enforces the rules and regulations, including registration requirements and post-registration requirements, of investment advisory professionals.</w:t>
      </w:r>
    </w:p>
    <w:p w:rsidR="00003A84" w:rsidRDefault="00003A84" w:rsidP="00003A84">
      <w:pPr>
        <w:jc w:val="both"/>
        <w:rPr>
          <w:rFonts w:ascii="Verdana" w:hAnsi="Verdana" w:cs="Arial"/>
        </w:rPr>
      </w:pPr>
    </w:p>
    <w:p w:rsidR="00814BEB" w:rsidRDefault="00C64036">
      <w:pPr>
        <w:pStyle w:val="Heading3"/>
        <w:tabs>
          <w:tab w:val="clear" w:pos="6444"/>
        </w:tabs>
        <w:ind w:left="540"/>
      </w:pPr>
      <w:r>
        <w:t>Key Terms</w:t>
      </w:r>
    </w:p>
    <w:p w:rsidR="00814BEB" w:rsidRDefault="00E732DA">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Net Asset Value</w:t>
      </w:r>
    </w:p>
    <w:p w:rsidR="00814BEB" w:rsidRDefault="00FE129F">
      <w:pPr>
        <w:autoSpaceDE w:val="0"/>
        <w:autoSpaceDN w:val="0"/>
        <w:adjustRightInd w:val="0"/>
        <w:jc w:val="both"/>
        <w:rPr>
          <w:rFonts w:ascii="Arial" w:hAnsi="Arial" w:cs="Arial"/>
          <w:color w:val="000000"/>
          <w:sz w:val="20"/>
          <w:szCs w:val="20"/>
        </w:rPr>
      </w:pPr>
      <w:r w:rsidRPr="00FE129F">
        <w:rPr>
          <w:rFonts w:ascii="Arial" w:hAnsi="Arial" w:cs="Arial"/>
          <w:color w:val="000000"/>
          <w:sz w:val="20"/>
          <w:szCs w:val="20"/>
        </w:rPr>
        <w:t>The net asset value, or NAV, is the current market value of a fund's holdings, less the fund's liabilities, usually expressed as a per-share amount. For most funds, the NAV is determined daily, after the close of trading on some specified financial exchange, but some funds update their NAV multiple times during the trading day.</w:t>
      </w:r>
      <w:r>
        <w:rPr>
          <w:rFonts w:ascii="Arial" w:hAnsi="Arial" w:cs="Arial"/>
          <w:color w:val="000000"/>
          <w:sz w:val="20"/>
          <w:szCs w:val="20"/>
        </w:rPr>
        <w:t xml:space="preserve"> The price at which mutual fund purchase transactions for that day are settled depends upon NAV for the day plus a sales charge (or entry load). Similarly the price for redemptions for the day is NAV minus the deferred sales charge (or exit load).</w:t>
      </w:r>
      <w:r w:rsidR="005D6698">
        <w:rPr>
          <w:rFonts w:ascii="Arial" w:hAnsi="Arial" w:cs="Arial"/>
          <w:color w:val="000000"/>
          <w:sz w:val="20"/>
          <w:szCs w:val="20"/>
        </w:rPr>
        <w:t xml:space="preserve"> As the load structure differs from share class to share class, the price for purchases or redemptions will be different, though the base NAV is same for the mutual fund. Similarly closed-end funds that are traded by investors in the secondary market may trade at a premium or discount to the NAV depending on the demand-supply (or buy-sell) equilibrium but generally the market price will not deviate too much from the NAV.</w:t>
      </w:r>
    </w:p>
    <w:p w:rsidR="00814BEB" w:rsidRDefault="00814BEB">
      <w:pPr>
        <w:autoSpaceDE w:val="0"/>
        <w:autoSpaceDN w:val="0"/>
        <w:adjustRightInd w:val="0"/>
        <w:jc w:val="both"/>
        <w:rPr>
          <w:rFonts w:ascii="Arial" w:hAnsi="Arial" w:cs="Arial"/>
          <w:color w:val="000000"/>
          <w:sz w:val="20"/>
          <w:szCs w:val="20"/>
        </w:rPr>
      </w:pPr>
    </w:p>
    <w:p w:rsidR="00814BEB" w:rsidRDefault="00E732DA">
      <w:pPr>
        <w:autoSpaceDE w:val="0"/>
        <w:autoSpaceDN w:val="0"/>
        <w:adjustRightInd w:val="0"/>
        <w:jc w:val="both"/>
        <w:rPr>
          <w:rFonts w:ascii="Arial" w:hAnsi="Arial" w:cs="Arial"/>
          <w:b/>
          <w:color w:val="000000"/>
          <w:sz w:val="20"/>
          <w:szCs w:val="20"/>
        </w:rPr>
      </w:pPr>
      <w:r w:rsidRPr="00E732DA">
        <w:rPr>
          <w:rFonts w:ascii="Arial" w:hAnsi="Arial" w:cs="Arial"/>
          <w:b/>
          <w:color w:val="000000"/>
          <w:sz w:val="20"/>
          <w:szCs w:val="20"/>
        </w:rPr>
        <w:t>Turnover</w:t>
      </w:r>
    </w:p>
    <w:p w:rsidR="005D6698" w:rsidRDefault="005D6698" w:rsidP="005D6698">
      <w:pPr>
        <w:rPr>
          <w:rFonts w:ascii="Arial" w:hAnsi="Arial" w:cs="Arial"/>
          <w:color w:val="000000"/>
          <w:sz w:val="20"/>
          <w:szCs w:val="20"/>
        </w:rPr>
      </w:pPr>
      <w:r w:rsidRPr="005D6698">
        <w:rPr>
          <w:rFonts w:ascii="Arial" w:hAnsi="Arial" w:cs="Arial"/>
          <w:color w:val="000000"/>
          <w:sz w:val="20"/>
          <w:szCs w:val="20"/>
        </w:rPr>
        <w:t>Turnover is a measure of the fund's securities transactions, usually calculated over a year's time, and usually expressed as a percentage of net asset value.</w:t>
      </w:r>
      <w:r>
        <w:rPr>
          <w:rFonts w:ascii="Arial" w:hAnsi="Arial" w:cs="Arial"/>
          <w:color w:val="000000"/>
          <w:sz w:val="20"/>
          <w:szCs w:val="20"/>
        </w:rPr>
        <w:t xml:space="preserve"> </w:t>
      </w:r>
      <w:r w:rsidRPr="005D6698">
        <w:rPr>
          <w:rFonts w:ascii="Arial" w:hAnsi="Arial" w:cs="Arial"/>
          <w:color w:val="000000"/>
          <w:sz w:val="20"/>
          <w:szCs w:val="20"/>
        </w:rPr>
        <w:t>This value is usually calculated as the value of all transactions (buying, selling) divided by 2 divided by the fund's total holdings; i.e., the fund counts one security sold and another one bought as one "turnover".</w:t>
      </w:r>
      <w:r>
        <w:rPr>
          <w:rFonts w:ascii="Arial" w:hAnsi="Arial" w:cs="Arial"/>
          <w:color w:val="000000"/>
          <w:sz w:val="20"/>
          <w:szCs w:val="20"/>
        </w:rPr>
        <w:t xml:space="preserve"> In some countries (e.g. Canada) mutual funds are required to disclose the “Turnover Ratio” which is calculated as turnover (or lesser of purchases and sells) divided by the average size of the portfolio (including cash). This is because the fund’s expenses are proportional to the turnover ratio. Additionally, the fund managers are not expected to “time the market” or indulge in speculative trades and are expected to keep the turnover as low as possible.</w:t>
      </w:r>
    </w:p>
    <w:p w:rsidR="00560012" w:rsidRDefault="00560012" w:rsidP="005D6698">
      <w:pPr>
        <w:rPr>
          <w:rFonts w:ascii="Arial" w:hAnsi="Arial" w:cs="Arial"/>
          <w:color w:val="000000"/>
          <w:sz w:val="20"/>
          <w:szCs w:val="20"/>
        </w:rPr>
      </w:pPr>
    </w:p>
    <w:p w:rsidR="00560012" w:rsidRPr="00524288" w:rsidRDefault="00560012" w:rsidP="00560012">
      <w:pPr>
        <w:pStyle w:val="Heading3"/>
        <w:keepNext w:val="0"/>
        <w:tabs>
          <w:tab w:val="clear" w:pos="6444"/>
          <w:tab w:val="num" w:pos="540"/>
        </w:tabs>
        <w:spacing w:before="120" w:after="120" w:line="240" w:lineRule="atLeast"/>
        <w:ind w:left="0" w:firstLine="0"/>
        <w:jc w:val="both"/>
        <w:rPr>
          <w:i w:val="0"/>
          <w:color w:val="000000"/>
        </w:rPr>
      </w:pPr>
      <w:r w:rsidRPr="00524288">
        <w:rPr>
          <w:i w:val="0"/>
          <w:color w:val="000000"/>
        </w:rPr>
        <w:t>Fees and Expenses</w:t>
      </w:r>
    </w:p>
    <w:p w:rsidR="00814BEB" w:rsidRDefault="00E732DA">
      <w:pPr>
        <w:rPr>
          <w:rFonts w:ascii="Arial" w:hAnsi="Arial" w:cs="Arial"/>
          <w:sz w:val="20"/>
          <w:szCs w:val="20"/>
        </w:rPr>
      </w:pPr>
      <w:r>
        <w:rPr>
          <w:rFonts w:ascii="Arial" w:hAnsi="Arial" w:cs="Arial"/>
          <w:color w:val="000000"/>
          <w:sz w:val="20"/>
          <w:szCs w:val="20"/>
        </w:rPr>
        <w:t>Mutual fund investors incur two primary kinds of fees and expenses when investing in mutual funds: sales loads and ongoing expenses. Sales loads are one-time fees that investors pay either at the time of purchase (front loads) or, in some cases, when shares are redeemed (back-end loads). Ongoing expenses are paid from fund assets and investors thus pay these expenses indirectly. Ongoing fund expenses cover portfolio management, fund administration, shareholder services, distribution charges known as 12b-1 fees, and other operating costs.</w:t>
      </w:r>
    </w:p>
    <w:p w:rsidR="00814BEB" w:rsidRDefault="00814BEB">
      <w:pPr>
        <w:rPr>
          <w:rFonts w:ascii="Arial" w:hAnsi="Arial" w:cs="Arial"/>
          <w:sz w:val="20"/>
          <w:szCs w:val="20"/>
        </w:rPr>
      </w:pPr>
    </w:p>
    <w:p w:rsidR="00814BEB" w:rsidRDefault="00E732DA">
      <w:pPr>
        <w:rPr>
          <w:rFonts w:ascii="Arial" w:hAnsi="Arial" w:cs="Arial"/>
          <w:sz w:val="20"/>
          <w:szCs w:val="20"/>
        </w:rPr>
      </w:pPr>
      <w:r>
        <w:rPr>
          <w:rFonts w:ascii="Arial" w:hAnsi="Arial" w:cs="Arial"/>
          <w:color w:val="000000"/>
          <w:sz w:val="20"/>
          <w:szCs w:val="20"/>
        </w:rPr>
        <w:t xml:space="preserve">A variety of factors affect a mutual fund’s fees and expenses, including its investment objective, its assets, the average account balance of its investors, fees that fund investors may pay out of pocket rather than indirectly through the fund, and whether the fund is a “load” or “no-load” fund. Load funds include fees and expenses to compensate brokers or other financial advisers who provide investors with financial planning, advice, and ongoing service. Load fund investors pay for these services through some combination of front or back-end loads and 12b-1 fees. Investors who do not use a </w:t>
      </w:r>
      <w:proofErr w:type="spellStart"/>
      <w:r>
        <w:rPr>
          <w:rFonts w:ascii="Arial" w:hAnsi="Arial" w:cs="Arial"/>
          <w:color w:val="000000"/>
          <w:sz w:val="20"/>
          <w:szCs w:val="20"/>
        </w:rPr>
        <w:t>fi</w:t>
      </w:r>
      <w:proofErr w:type="spellEnd"/>
      <w:r>
        <w:rPr>
          <w:rFonts w:ascii="Arial" w:hAnsi="Arial" w:cs="Arial"/>
          <w:color w:val="000000"/>
          <w:sz w:val="20"/>
          <w:szCs w:val="20"/>
        </w:rPr>
        <w:t xml:space="preserve"> </w:t>
      </w:r>
      <w:proofErr w:type="spellStart"/>
      <w:r>
        <w:rPr>
          <w:rFonts w:ascii="Arial" w:hAnsi="Arial" w:cs="Arial"/>
          <w:color w:val="000000"/>
          <w:sz w:val="20"/>
          <w:szCs w:val="20"/>
        </w:rPr>
        <w:t>nancial</w:t>
      </w:r>
      <w:proofErr w:type="spellEnd"/>
      <w:r>
        <w:rPr>
          <w:rFonts w:ascii="Arial" w:hAnsi="Arial" w:cs="Arial"/>
          <w:color w:val="000000"/>
          <w:sz w:val="20"/>
          <w:szCs w:val="20"/>
        </w:rPr>
        <w:t xml:space="preserve"> adviser (or who pay the financial adviser directly for services) </w:t>
      </w:r>
      <w:proofErr w:type="gramStart"/>
      <w:r>
        <w:rPr>
          <w:rFonts w:ascii="Arial" w:hAnsi="Arial" w:cs="Arial"/>
          <w:color w:val="000000"/>
          <w:sz w:val="20"/>
          <w:szCs w:val="20"/>
        </w:rPr>
        <w:t>purchase</w:t>
      </w:r>
      <w:proofErr w:type="gramEnd"/>
      <w:r>
        <w:rPr>
          <w:rFonts w:ascii="Arial" w:hAnsi="Arial" w:cs="Arial"/>
          <w:color w:val="000000"/>
          <w:sz w:val="20"/>
          <w:szCs w:val="20"/>
        </w:rPr>
        <w:t xml:space="preserve"> no-load funds, which have no front- or back-end load fees and have low or no 12b-1 fees. Because load funds include compensation to brokers and financial advisers, they typically have higher fees and expenses than no-load funds.</w:t>
      </w:r>
    </w:p>
    <w:p w:rsidR="00814BEB" w:rsidRDefault="00814BEB">
      <w:pPr>
        <w:rPr>
          <w:rFonts w:ascii="Arial" w:hAnsi="Arial" w:cs="Arial"/>
          <w:sz w:val="20"/>
          <w:szCs w:val="20"/>
        </w:rPr>
      </w:pPr>
    </w:p>
    <w:p w:rsidR="00814BEB" w:rsidRDefault="00E732DA">
      <w:pPr>
        <w:rPr>
          <w:rFonts w:ascii="Arial" w:hAnsi="Arial" w:cs="Arial"/>
          <w:sz w:val="20"/>
          <w:szCs w:val="20"/>
        </w:rPr>
      </w:pPr>
      <w:r>
        <w:rPr>
          <w:rFonts w:ascii="Arial" w:hAnsi="Arial" w:cs="Arial"/>
          <w:color w:val="000000"/>
          <w:sz w:val="20"/>
          <w:szCs w:val="20"/>
        </w:rPr>
        <w:t xml:space="preserve">Debate has been raging among experts and industry insiders over the level of loads charged by mutual funds. SEC has ensured transparency in the way the expenses are incurred and charged to the assets. Although the expenses have shown steadily declining trend primarily due to these </w:t>
      </w:r>
      <w:r>
        <w:rPr>
          <w:rFonts w:ascii="Arial" w:hAnsi="Arial" w:cs="Arial"/>
          <w:color w:val="000000"/>
          <w:sz w:val="20"/>
          <w:szCs w:val="20"/>
        </w:rPr>
        <w:lastRenderedPageBreak/>
        <w:t>efforts by the regulator and the industry, automation, and economies of scale, the loads still continue to be high and significantly dent the net-of-fees returns generated by many mutual funds vis-à-vis the benchmarks.</w:t>
      </w:r>
    </w:p>
    <w:p w:rsidR="00560012" w:rsidRDefault="00560012" w:rsidP="005D6698">
      <w:pPr>
        <w:rPr>
          <w:rFonts w:ascii="Arial" w:hAnsi="Arial" w:cs="Arial"/>
          <w:color w:val="000000"/>
          <w:sz w:val="20"/>
          <w:szCs w:val="20"/>
        </w:rPr>
      </w:pPr>
    </w:p>
    <w:p w:rsidR="00814BEB" w:rsidRDefault="00814BEB">
      <w:pPr>
        <w:autoSpaceDE w:val="0"/>
        <w:autoSpaceDN w:val="0"/>
        <w:adjustRightInd w:val="0"/>
        <w:jc w:val="both"/>
        <w:rPr>
          <w:rFonts w:ascii="Arial" w:hAnsi="Arial" w:cs="Arial"/>
          <w:color w:val="000000"/>
          <w:sz w:val="20"/>
          <w:szCs w:val="20"/>
        </w:rPr>
      </w:pPr>
    </w:p>
    <w:p w:rsidR="00754323" w:rsidRDefault="00754323" w:rsidP="00754323">
      <w:pPr>
        <w:pStyle w:val="Heading2"/>
        <w:keepNext w:val="0"/>
        <w:spacing w:before="120" w:after="120" w:line="240" w:lineRule="atLeast"/>
        <w:ind w:left="0" w:firstLine="0"/>
        <w:jc w:val="both"/>
      </w:pPr>
      <w:bookmarkStart w:id="501" w:name="_Toc226530552"/>
      <w:r w:rsidRPr="004B3BDF">
        <w:t>Organization Structure</w:t>
      </w:r>
      <w:bookmarkEnd w:id="501"/>
    </w:p>
    <w:p w:rsidR="00754323" w:rsidRDefault="00C164AF" w:rsidP="0040385F">
      <w:pPr>
        <w:spacing w:before="120" w:after="120" w:line="240" w:lineRule="atLeast"/>
        <w:jc w:val="both"/>
        <w:rPr>
          <w:rFonts w:ascii="Arial" w:hAnsi="Arial" w:cs="Arial"/>
          <w:sz w:val="20"/>
          <w:szCs w:val="20"/>
        </w:rPr>
      </w:pPr>
      <w:r>
        <w:rPr>
          <w:rFonts w:ascii="Arial" w:hAnsi="Arial" w:cs="Arial"/>
          <w:noProof/>
          <w:sz w:val="20"/>
          <w:szCs w:val="20"/>
        </w:rPr>
        <w:drawing>
          <wp:inline distT="0" distB="0" distL="0" distR="0">
            <wp:extent cx="5715000" cy="3200400"/>
            <wp:effectExtent l="0" t="0" r="0" b="0"/>
            <wp:docPr id="266" name="Organization Chart 2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rsidR="00754323" w:rsidRDefault="00754323" w:rsidP="00754323">
      <w:pPr>
        <w:rPr>
          <w:rFonts w:ascii="Arial" w:hAnsi="Arial" w:cs="Arial"/>
          <w:sz w:val="20"/>
          <w:szCs w:val="20"/>
        </w:rPr>
      </w:pPr>
    </w:p>
    <w:p w:rsidR="00754323" w:rsidRPr="00754323" w:rsidRDefault="00754323" w:rsidP="00754323">
      <w:pPr>
        <w:autoSpaceDE w:val="0"/>
        <w:autoSpaceDN w:val="0"/>
        <w:adjustRightInd w:val="0"/>
        <w:jc w:val="both"/>
        <w:rPr>
          <w:rFonts w:ascii="Arial" w:hAnsi="Arial" w:cs="Arial"/>
          <w:sz w:val="20"/>
          <w:szCs w:val="20"/>
        </w:rPr>
      </w:pPr>
      <w:r w:rsidRPr="0038425F">
        <w:rPr>
          <w:rFonts w:ascii="Arial" w:hAnsi="Arial" w:cs="Arial"/>
          <w:i/>
          <w:sz w:val="20"/>
          <w:szCs w:val="20"/>
        </w:rPr>
        <w:t>Research and Development:</w:t>
      </w:r>
      <w:r w:rsidRPr="00754323">
        <w:rPr>
          <w:rFonts w:ascii="Arial" w:hAnsi="Arial" w:cs="Arial"/>
          <w:sz w:val="20"/>
          <w:szCs w:val="20"/>
        </w:rPr>
        <w:t xml:space="preserve"> This group works on providing research and other information to the managers by doing extensive market research and study of the national economy as a whole and also of the various sectors and industries wherein the fund had or will invest the pooled money.</w:t>
      </w:r>
    </w:p>
    <w:p w:rsidR="00754323" w:rsidRPr="00754323" w:rsidRDefault="00754323" w:rsidP="00754323">
      <w:pPr>
        <w:autoSpaceDE w:val="0"/>
        <w:autoSpaceDN w:val="0"/>
        <w:adjustRightInd w:val="0"/>
        <w:jc w:val="both"/>
        <w:rPr>
          <w:rFonts w:ascii="Arial" w:hAnsi="Arial" w:cs="Arial"/>
          <w:sz w:val="20"/>
          <w:szCs w:val="20"/>
        </w:rPr>
      </w:pPr>
    </w:p>
    <w:p w:rsidR="00754323" w:rsidRPr="00754323" w:rsidRDefault="00754323" w:rsidP="00754323">
      <w:pPr>
        <w:jc w:val="both"/>
        <w:rPr>
          <w:rFonts w:ascii="Arial" w:hAnsi="Arial" w:cs="Arial"/>
          <w:sz w:val="20"/>
          <w:szCs w:val="20"/>
        </w:rPr>
      </w:pPr>
      <w:r w:rsidRPr="0038425F">
        <w:rPr>
          <w:rFonts w:ascii="Arial" w:hAnsi="Arial" w:cs="Arial"/>
          <w:i/>
          <w:sz w:val="20"/>
          <w:szCs w:val="20"/>
        </w:rPr>
        <w:t>Sales and Marketing:</w:t>
      </w:r>
      <w:r w:rsidRPr="00A6346A">
        <w:rPr>
          <w:rFonts w:ascii="Arial" w:hAnsi="Arial" w:cs="Arial"/>
          <w:sz w:val="20"/>
          <w:szCs w:val="20"/>
        </w:rPr>
        <w:t xml:space="preserve"> </w:t>
      </w:r>
      <w:r w:rsidRPr="00754323">
        <w:rPr>
          <w:rFonts w:ascii="Arial" w:hAnsi="Arial" w:cs="Arial"/>
          <w:sz w:val="20"/>
          <w:szCs w:val="20"/>
        </w:rPr>
        <w:t>This group works on marketing the programs to the clients, i.e. the investor. This group is responsible for interacting with:</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Media and Advertising Agencies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Public Relations Agencies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All other Collaterals</w:t>
      </w:r>
    </w:p>
    <w:p w:rsidR="00754323" w:rsidRPr="00754323" w:rsidRDefault="00754323" w:rsidP="00754323">
      <w:pPr>
        <w:autoSpaceDE w:val="0"/>
        <w:autoSpaceDN w:val="0"/>
        <w:adjustRightInd w:val="0"/>
        <w:ind w:left="360"/>
        <w:jc w:val="both"/>
        <w:rPr>
          <w:rFonts w:ascii="Arial" w:hAnsi="Arial" w:cs="Arial"/>
          <w:sz w:val="20"/>
          <w:szCs w:val="20"/>
        </w:rPr>
      </w:pPr>
    </w:p>
    <w:p w:rsidR="00754323" w:rsidRPr="00754323" w:rsidRDefault="00754323" w:rsidP="00754323">
      <w:pPr>
        <w:jc w:val="both"/>
        <w:rPr>
          <w:rFonts w:ascii="Arial" w:hAnsi="Arial" w:cs="Arial"/>
          <w:sz w:val="20"/>
          <w:szCs w:val="20"/>
        </w:rPr>
      </w:pPr>
      <w:r w:rsidRPr="0038425F">
        <w:rPr>
          <w:rFonts w:ascii="Arial" w:hAnsi="Arial" w:cs="Arial"/>
          <w:i/>
          <w:sz w:val="20"/>
          <w:szCs w:val="20"/>
        </w:rPr>
        <w:t>Compliance and Reporting:</w:t>
      </w:r>
      <w:r w:rsidRPr="00754323">
        <w:rPr>
          <w:rFonts w:ascii="Arial" w:hAnsi="Arial" w:cs="Arial"/>
          <w:sz w:val="20"/>
          <w:szCs w:val="20"/>
        </w:rPr>
        <w:t xml:space="preserve"> This group is responsible for:</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Preparing the Offer Document</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Vetting with Securities and Exchange Commission</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Tracking and reporting on legal compliance and audit issues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Reporting to Trust, SEC</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Client billing and reporting functions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 xml:space="preserve">Legal, tax, and regulatory compliance and </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Administrative structure for a new fund</w:t>
      </w:r>
    </w:p>
    <w:p w:rsidR="00754323" w:rsidRPr="00754323" w:rsidRDefault="00754323" w:rsidP="00754323">
      <w:pPr>
        <w:autoSpaceDE w:val="0"/>
        <w:autoSpaceDN w:val="0"/>
        <w:adjustRightInd w:val="0"/>
        <w:ind w:left="360"/>
        <w:jc w:val="both"/>
        <w:rPr>
          <w:rFonts w:ascii="Arial" w:hAnsi="Arial" w:cs="Arial"/>
          <w:sz w:val="20"/>
          <w:szCs w:val="20"/>
        </w:rPr>
      </w:pPr>
    </w:p>
    <w:p w:rsidR="00754323" w:rsidRPr="00754323" w:rsidRDefault="00754323" w:rsidP="00754323">
      <w:pPr>
        <w:jc w:val="both"/>
        <w:rPr>
          <w:rFonts w:ascii="Arial" w:hAnsi="Arial" w:cs="Arial"/>
          <w:sz w:val="20"/>
          <w:szCs w:val="20"/>
        </w:rPr>
      </w:pPr>
      <w:r w:rsidRPr="0038425F">
        <w:rPr>
          <w:rFonts w:ascii="Arial" w:hAnsi="Arial" w:cs="Arial"/>
          <w:i/>
          <w:sz w:val="20"/>
          <w:szCs w:val="20"/>
        </w:rPr>
        <w:t>Operations:</w:t>
      </w:r>
      <w:r w:rsidRPr="00754323">
        <w:rPr>
          <w:rFonts w:ascii="Arial" w:hAnsi="Arial" w:cs="Arial"/>
          <w:b/>
          <w:sz w:val="20"/>
          <w:szCs w:val="20"/>
        </w:rPr>
        <w:t xml:space="preserve"> </w:t>
      </w:r>
      <w:r w:rsidRPr="00754323">
        <w:rPr>
          <w:rFonts w:ascii="Arial" w:hAnsi="Arial" w:cs="Arial"/>
          <w:sz w:val="20"/>
          <w:szCs w:val="20"/>
        </w:rPr>
        <w:t>The operations group is mainly responsible for the following functions: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Fund Creation</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Information Management</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Account Creation and Maintenance</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lastRenderedPageBreak/>
        <w:t>NAV Calculation</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Pricing of Mutual Funds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Working with the custodians, brokers, and clearing firms to track trade settlements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Interface between all major Entities to ensure smooth functioning of the Fund</w:t>
      </w:r>
    </w:p>
    <w:p w:rsidR="00754323" w:rsidRPr="00754323" w:rsidRDefault="00754323" w:rsidP="00754323">
      <w:pPr>
        <w:jc w:val="both"/>
        <w:rPr>
          <w:rFonts w:ascii="Arial" w:hAnsi="Arial" w:cs="Arial"/>
          <w:b/>
          <w:sz w:val="20"/>
          <w:szCs w:val="20"/>
        </w:rPr>
      </w:pPr>
    </w:p>
    <w:p w:rsidR="00754323" w:rsidRPr="00754323" w:rsidRDefault="00754323" w:rsidP="00754323">
      <w:pPr>
        <w:jc w:val="both"/>
        <w:rPr>
          <w:rFonts w:ascii="Arial" w:hAnsi="Arial" w:cs="Arial"/>
          <w:sz w:val="20"/>
          <w:szCs w:val="20"/>
        </w:rPr>
      </w:pPr>
      <w:r w:rsidRPr="0038425F">
        <w:rPr>
          <w:rFonts w:ascii="Arial" w:hAnsi="Arial" w:cs="Arial"/>
          <w:i/>
          <w:sz w:val="20"/>
          <w:szCs w:val="20"/>
        </w:rPr>
        <w:t>Finance and Accounting:</w:t>
      </w:r>
      <w:r w:rsidRPr="00754323">
        <w:rPr>
          <w:rFonts w:ascii="Arial" w:hAnsi="Arial" w:cs="Arial"/>
          <w:b/>
          <w:sz w:val="20"/>
          <w:szCs w:val="20"/>
        </w:rPr>
        <w:t xml:space="preserve"> </w:t>
      </w:r>
      <w:r w:rsidRPr="00754323">
        <w:rPr>
          <w:rFonts w:ascii="Arial" w:hAnsi="Arial" w:cs="Arial"/>
          <w:sz w:val="20"/>
          <w:szCs w:val="20"/>
        </w:rPr>
        <w:t>This</w:t>
      </w:r>
      <w:r w:rsidRPr="00754323">
        <w:rPr>
          <w:rFonts w:ascii="Arial" w:hAnsi="Arial" w:cs="Arial"/>
          <w:b/>
          <w:sz w:val="20"/>
          <w:szCs w:val="20"/>
        </w:rPr>
        <w:t xml:space="preserve"> </w:t>
      </w:r>
      <w:r w:rsidRPr="00754323">
        <w:rPr>
          <w:rFonts w:ascii="Arial" w:hAnsi="Arial" w:cs="Arial"/>
          <w:sz w:val="20"/>
          <w:szCs w:val="20"/>
        </w:rPr>
        <w:t>group performs the following functions: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Shareholder Accounting</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Preparation of fund balance sheets and statements of operations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Calculation of expense accruals, calculation of net income, calculating capital gains/losses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Internal Audit</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Liquidity Management</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Collection of Payments from investors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Reimbursements of Dividends</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Liaison with Banks, Custodians and Brokers/Dealers- pre-trade and post-trade</w:t>
      </w:r>
    </w:p>
    <w:p w:rsidR="00754323" w:rsidRPr="00754323" w:rsidRDefault="00754323" w:rsidP="00754323">
      <w:pPr>
        <w:jc w:val="both"/>
        <w:rPr>
          <w:rFonts w:ascii="Arial" w:hAnsi="Arial" w:cs="Arial"/>
          <w:sz w:val="20"/>
          <w:szCs w:val="20"/>
        </w:rPr>
      </w:pPr>
    </w:p>
    <w:p w:rsidR="00754323" w:rsidRPr="00754323" w:rsidRDefault="00754323" w:rsidP="00754323">
      <w:pPr>
        <w:jc w:val="both"/>
        <w:rPr>
          <w:rFonts w:ascii="Arial" w:hAnsi="Arial" w:cs="Arial"/>
          <w:sz w:val="20"/>
          <w:szCs w:val="20"/>
        </w:rPr>
      </w:pPr>
      <w:r w:rsidRPr="0038425F">
        <w:rPr>
          <w:rFonts w:ascii="Arial" w:hAnsi="Arial" w:cs="Arial"/>
          <w:i/>
          <w:sz w:val="20"/>
          <w:szCs w:val="20"/>
        </w:rPr>
        <w:t>Support Services:</w:t>
      </w:r>
      <w:r w:rsidRPr="00754323">
        <w:rPr>
          <w:rFonts w:ascii="Arial" w:hAnsi="Arial" w:cs="Arial"/>
          <w:sz w:val="20"/>
          <w:szCs w:val="20"/>
        </w:rPr>
        <w:t xml:space="preserve"> This group is responsible for:</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Customer Service</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Client Interaction and Query Handling</w:t>
      </w:r>
    </w:p>
    <w:p w:rsidR="00754323" w:rsidRPr="00754323" w:rsidRDefault="00754323" w:rsidP="00754323">
      <w:pPr>
        <w:numPr>
          <w:ilvl w:val="0"/>
          <w:numId w:val="57"/>
        </w:numPr>
        <w:autoSpaceDE w:val="0"/>
        <w:autoSpaceDN w:val="0"/>
        <w:adjustRightInd w:val="0"/>
        <w:jc w:val="both"/>
        <w:rPr>
          <w:rFonts w:ascii="Arial" w:hAnsi="Arial" w:cs="Arial"/>
          <w:sz w:val="20"/>
          <w:szCs w:val="20"/>
        </w:rPr>
      </w:pPr>
      <w:r w:rsidRPr="00754323">
        <w:rPr>
          <w:rFonts w:ascii="Arial" w:hAnsi="Arial" w:cs="Arial"/>
          <w:sz w:val="20"/>
          <w:szCs w:val="20"/>
        </w:rPr>
        <w:t>Order Administration</w:t>
      </w:r>
    </w:p>
    <w:p w:rsidR="0040385F" w:rsidRDefault="0040385F" w:rsidP="00754323">
      <w:pPr>
        <w:tabs>
          <w:tab w:val="left" w:pos="840"/>
        </w:tabs>
        <w:rPr>
          <w:rFonts w:ascii="Arial" w:hAnsi="Arial" w:cs="Arial"/>
          <w:sz w:val="20"/>
          <w:szCs w:val="20"/>
        </w:rPr>
      </w:pPr>
    </w:p>
    <w:p w:rsidR="006671BF" w:rsidRDefault="006671BF" w:rsidP="00754323">
      <w:pPr>
        <w:tabs>
          <w:tab w:val="left" w:pos="840"/>
        </w:tabs>
        <w:rPr>
          <w:rFonts w:ascii="Arial" w:hAnsi="Arial" w:cs="Arial"/>
          <w:sz w:val="20"/>
          <w:szCs w:val="20"/>
        </w:rPr>
      </w:pPr>
    </w:p>
    <w:p w:rsidR="00166B20" w:rsidRDefault="00166B20" w:rsidP="00401347">
      <w:pPr>
        <w:pStyle w:val="Heading2"/>
        <w:keepNext w:val="0"/>
        <w:spacing w:before="120" w:after="120" w:line="240" w:lineRule="atLeast"/>
        <w:ind w:left="0" w:firstLine="0"/>
        <w:jc w:val="both"/>
      </w:pPr>
      <w:bookmarkStart w:id="502" w:name="_Toc226530553"/>
      <w:r>
        <w:t>Key Business Processes</w:t>
      </w:r>
      <w:bookmarkEnd w:id="5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tblPr>
      <w:tblGrid>
        <w:gridCol w:w="2894"/>
        <w:gridCol w:w="5976"/>
      </w:tblGrid>
      <w:tr w:rsidR="00166B20" w:rsidRPr="00166B20" w:rsidTr="00166B20">
        <w:trPr>
          <w:tblHeader/>
        </w:trPr>
        <w:tc>
          <w:tcPr>
            <w:tcW w:w="0" w:type="auto"/>
          </w:tcPr>
          <w:p w:rsidR="00166B20" w:rsidRPr="00166B20" w:rsidRDefault="00E732DA" w:rsidP="00166B20">
            <w:pPr>
              <w:pStyle w:val="Heading3"/>
              <w:numPr>
                <w:ilvl w:val="0"/>
                <w:numId w:val="0"/>
              </w:numPr>
              <w:jc w:val="center"/>
              <w:rPr>
                <w:bCs w:val="0"/>
                <w:i w:val="0"/>
                <w:color w:val="000000"/>
                <w:sz w:val="20"/>
                <w:szCs w:val="20"/>
              </w:rPr>
            </w:pPr>
            <w:bookmarkStart w:id="503" w:name="_Toc131329230"/>
            <w:r w:rsidRPr="00E732DA">
              <w:rPr>
                <w:bCs w:val="0"/>
                <w:i w:val="0"/>
                <w:color w:val="000000"/>
                <w:sz w:val="20"/>
                <w:szCs w:val="20"/>
              </w:rPr>
              <w:lastRenderedPageBreak/>
              <w:t>Service Area</w:t>
            </w:r>
            <w:bookmarkEnd w:id="503"/>
          </w:p>
        </w:tc>
        <w:tc>
          <w:tcPr>
            <w:tcW w:w="0" w:type="auto"/>
          </w:tcPr>
          <w:p w:rsidR="00166B20" w:rsidRPr="00166B20" w:rsidRDefault="00E732DA" w:rsidP="00166B20">
            <w:pPr>
              <w:pStyle w:val="Heading3"/>
              <w:numPr>
                <w:ilvl w:val="0"/>
                <w:numId w:val="0"/>
              </w:numPr>
              <w:jc w:val="center"/>
              <w:rPr>
                <w:bCs w:val="0"/>
                <w:i w:val="0"/>
                <w:color w:val="000000"/>
                <w:sz w:val="20"/>
                <w:szCs w:val="20"/>
              </w:rPr>
            </w:pPr>
            <w:bookmarkStart w:id="504" w:name="_Toc131329231"/>
            <w:r w:rsidRPr="00E732DA">
              <w:rPr>
                <w:bCs w:val="0"/>
                <w:i w:val="0"/>
                <w:color w:val="000000"/>
                <w:sz w:val="20"/>
                <w:szCs w:val="20"/>
              </w:rPr>
              <w:t>Processes</w:t>
            </w:r>
            <w:bookmarkEnd w:id="504"/>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05" w:name="_Toc131329232"/>
            <w:r w:rsidRPr="00E732DA">
              <w:rPr>
                <w:b w:val="0"/>
                <w:bCs w:val="0"/>
                <w:i w:val="0"/>
                <w:color w:val="000000"/>
                <w:sz w:val="20"/>
                <w:szCs w:val="20"/>
              </w:rPr>
              <w:t>Fund Establishment</w:t>
            </w:r>
            <w:bookmarkEnd w:id="505"/>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Choosing the Team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Internal Management Team and Functions</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Product Design and Structure</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Legal Structure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Profitability Analysis</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06" w:name="_Toc131329233"/>
            <w:r w:rsidRPr="00E732DA">
              <w:rPr>
                <w:b w:val="0"/>
                <w:bCs w:val="0"/>
                <w:i w:val="0"/>
                <w:color w:val="000000"/>
                <w:sz w:val="20"/>
                <w:szCs w:val="20"/>
              </w:rPr>
              <w:t>Compliance</w:t>
            </w:r>
            <w:bookmarkEnd w:id="506"/>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Creation of Offer document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Registration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Opening date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Sales Literature and Performance Advertising</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07" w:name="_Toc131329234"/>
            <w:r w:rsidRPr="00E732DA">
              <w:rPr>
                <w:b w:val="0"/>
                <w:bCs w:val="0"/>
                <w:i w:val="0"/>
                <w:color w:val="000000"/>
                <w:sz w:val="20"/>
                <w:szCs w:val="20"/>
              </w:rPr>
              <w:t>Fund Management</w:t>
            </w:r>
            <w:bookmarkEnd w:id="507"/>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Research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Portfolio Trading (Buy-Sell Process)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Trade Settlement</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08" w:name="_Toc131329235"/>
            <w:r w:rsidRPr="00E732DA">
              <w:rPr>
                <w:b w:val="0"/>
                <w:bCs w:val="0"/>
                <w:i w:val="0"/>
                <w:color w:val="000000"/>
                <w:sz w:val="20"/>
                <w:szCs w:val="20"/>
              </w:rPr>
              <w:t>Cash Management</w:t>
            </w:r>
            <w:bookmarkEnd w:id="508"/>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Collections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Payments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Liquidity Management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Information Management</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09" w:name="_Toc131329236"/>
            <w:r w:rsidRPr="00E732DA">
              <w:rPr>
                <w:b w:val="0"/>
                <w:bCs w:val="0"/>
                <w:i w:val="0"/>
                <w:color w:val="000000"/>
                <w:sz w:val="20"/>
                <w:szCs w:val="20"/>
              </w:rPr>
              <w:t>Fund Accounting and Finance</w:t>
            </w:r>
            <w:bookmarkEnd w:id="509"/>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Accounting</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Financial Statements</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10" w:name="_Toc131329237"/>
            <w:r w:rsidRPr="00E732DA">
              <w:rPr>
                <w:b w:val="0"/>
                <w:bCs w:val="0"/>
                <w:i w:val="0"/>
                <w:color w:val="000000"/>
                <w:sz w:val="20"/>
                <w:szCs w:val="20"/>
              </w:rPr>
              <w:t>Sales, Distribution and Marketing</w:t>
            </w:r>
            <w:bookmarkEnd w:id="510"/>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Campaign Management</w:t>
            </w:r>
          </w:p>
          <w:p w:rsid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Communications Management</w:t>
            </w:r>
          </w:p>
          <w:p w:rsidR="00166B20" w:rsidRDefault="00166B20" w:rsidP="00166B20">
            <w:pPr>
              <w:numPr>
                <w:ilvl w:val="0"/>
                <w:numId w:val="140"/>
              </w:numPr>
              <w:jc w:val="both"/>
              <w:rPr>
                <w:rFonts w:ascii="Arial" w:hAnsi="Arial" w:cs="Arial"/>
                <w:color w:val="000000"/>
                <w:sz w:val="20"/>
                <w:szCs w:val="20"/>
              </w:rPr>
            </w:pPr>
            <w:r>
              <w:rPr>
                <w:rFonts w:ascii="Arial" w:hAnsi="Arial" w:cs="Arial"/>
                <w:color w:val="000000"/>
                <w:sz w:val="20"/>
                <w:szCs w:val="20"/>
              </w:rPr>
              <w:t>Channel management</w:t>
            </w:r>
          </w:p>
          <w:p w:rsidR="00166B20" w:rsidRDefault="00166B20" w:rsidP="00166B20">
            <w:pPr>
              <w:numPr>
                <w:ilvl w:val="0"/>
                <w:numId w:val="140"/>
              </w:numPr>
              <w:jc w:val="both"/>
              <w:rPr>
                <w:rFonts w:ascii="Arial" w:hAnsi="Arial" w:cs="Arial"/>
                <w:color w:val="000000"/>
                <w:sz w:val="20"/>
                <w:szCs w:val="20"/>
              </w:rPr>
            </w:pPr>
            <w:r>
              <w:rPr>
                <w:rFonts w:ascii="Arial" w:hAnsi="Arial" w:cs="Arial"/>
                <w:color w:val="000000"/>
                <w:sz w:val="20"/>
                <w:szCs w:val="20"/>
              </w:rPr>
              <w:t>Purchases and redemptions orders</w:t>
            </w:r>
          </w:p>
          <w:p w:rsidR="00166B20" w:rsidRPr="00166B20" w:rsidRDefault="00166B20" w:rsidP="00166B20">
            <w:pPr>
              <w:numPr>
                <w:ilvl w:val="0"/>
                <w:numId w:val="140"/>
              </w:numPr>
              <w:jc w:val="both"/>
              <w:rPr>
                <w:rFonts w:ascii="Arial" w:hAnsi="Arial" w:cs="Arial"/>
                <w:color w:val="000000"/>
                <w:sz w:val="20"/>
                <w:szCs w:val="20"/>
              </w:rPr>
            </w:pPr>
            <w:r>
              <w:rPr>
                <w:rFonts w:ascii="Arial" w:hAnsi="Arial" w:cs="Arial"/>
                <w:color w:val="000000"/>
                <w:sz w:val="20"/>
                <w:szCs w:val="20"/>
              </w:rPr>
              <w:t>Distribution of Fact Sheets</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11" w:name="_Toc131329238"/>
            <w:r w:rsidRPr="00E732DA">
              <w:rPr>
                <w:b w:val="0"/>
                <w:bCs w:val="0"/>
                <w:i w:val="0"/>
                <w:color w:val="000000"/>
                <w:sz w:val="20"/>
                <w:szCs w:val="20"/>
              </w:rPr>
              <w:t>Customer Service</w:t>
            </w:r>
            <w:bookmarkEnd w:id="511"/>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Customer Care and Billing</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Customer Relationship Management and Decision Support</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12" w:name="_Toc131329239"/>
            <w:r w:rsidRPr="00E732DA">
              <w:rPr>
                <w:b w:val="0"/>
                <w:bCs w:val="0"/>
                <w:i w:val="0"/>
                <w:color w:val="000000"/>
                <w:sz w:val="20"/>
                <w:szCs w:val="20"/>
              </w:rPr>
              <w:t>Operations</w:t>
            </w:r>
            <w:bookmarkEnd w:id="512"/>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Collection and Processing of Receipts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Reconciliation</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Creation and Allocation of Units</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Shareholder Accounting and Recordkeeping</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Fund’s Valuation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Fund Pricing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Funds Benefit Disbursement </w:t>
            </w:r>
            <w:r w:rsidRPr="00E732DA">
              <w:rPr>
                <w:rFonts w:ascii="Arial" w:hAnsi="Arial" w:cs="Arial"/>
                <w:color w:val="000000"/>
                <w:sz w:val="20"/>
                <w:szCs w:val="20"/>
              </w:rPr>
              <w:tab/>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Statement and Billing Process </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E732DA" w:rsidP="00166B20">
            <w:pPr>
              <w:pStyle w:val="Heading3"/>
              <w:numPr>
                <w:ilvl w:val="0"/>
                <w:numId w:val="0"/>
              </w:numPr>
              <w:jc w:val="center"/>
              <w:rPr>
                <w:b w:val="0"/>
                <w:bCs w:val="0"/>
                <w:i w:val="0"/>
                <w:color w:val="000000"/>
                <w:sz w:val="20"/>
                <w:szCs w:val="20"/>
              </w:rPr>
            </w:pPr>
            <w:bookmarkStart w:id="513" w:name="_Toc131329240"/>
            <w:r w:rsidRPr="00E732DA">
              <w:rPr>
                <w:b w:val="0"/>
                <w:bCs w:val="0"/>
                <w:i w:val="0"/>
                <w:color w:val="000000"/>
                <w:sz w:val="20"/>
                <w:szCs w:val="20"/>
              </w:rPr>
              <w:lastRenderedPageBreak/>
              <w:t>Books and Record Keeping</w:t>
            </w:r>
            <w:bookmarkEnd w:id="513"/>
          </w:p>
        </w:tc>
        <w:tc>
          <w:tcPr>
            <w:tcW w:w="0" w:type="auto"/>
          </w:tcPr>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Records Necessary to Calculate NAV and to Determine Book Income</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Journals for Securities Purchases and Sales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Record of Each Security Held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 xml:space="preserve">Brokerage Record by Broker Advertising Disclosures </w:t>
            </w:r>
          </w:p>
          <w:p w:rsidR="00166B20" w:rsidRPr="00166B20" w:rsidRDefault="00E732DA" w:rsidP="00166B20">
            <w:pPr>
              <w:numPr>
                <w:ilvl w:val="0"/>
                <w:numId w:val="140"/>
              </w:numPr>
              <w:jc w:val="both"/>
              <w:rPr>
                <w:rFonts w:ascii="Arial" w:hAnsi="Arial" w:cs="Arial"/>
                <w:color w:val="000000"/>
                <w:sz w:val="20"/>
                <w:szCs w:val="20"/>
              </w:rPr>
            </w:pPr>
            <w:r w:rsidRPr="00E732DA">
              <w:rPr>
                <w:rFonts w:ascii="Arial" w:hAnsi="Arial" w:cs="Arial"/>
                <w:color w:val="000000"/>
                <w:sz w:val="20"/>
                <w:szCs w:val="20"/>
              </w:rPr>
              <w:t>NASD Limitations</w:t>
            </w:r>
          </w:p>
          <w:p w:rsidR="00166B20" w:rsidRPr="00166B20" w:rsidRDefault="00166B20" w:rsidP="00166B20">
            <w:pPr>
              <w:keepNext/>
              <w:numPr>
                <w:ilvl w:val="2"/>
                <w:numId w:val="14"/>
              </w:numPr>
              <w:spacing w:before="240" w:after="60"/>
              <w:jc w:val="both"/>
              <w:outlineLvl w:val="2"/>
              <w:rPr>
                <w:rFonts w:ascii="Arial" w:hAnsi="Arial" w:cs="Arial"/>
                <w:color w:val="000000"/>
                <w:sz w:val="20"/>
                <w:szCs w:val="20"/>
              </w:rPr>
            </w:pPr>
          </w:p>
        </w:tc>
      </w:tr>
      <w:tr w:rsidR="00166B20" w:rsidRPr="00166B20" w:rsidTr="00166B20">
        <w:tc>
          <w:tcPr>
            <w:tcW w:w="0" w:type="auto"/>
            <w:vAlign w:val="center"/>
          </w:tcPr>
          <w:p w:rsidR="00166B20" w:rsidRPr="00166B20" w:rsidRDefault="00166B20" w:rsidP="00166B20">
            <w:pPr>
              <w:pStyle w:val="Heading3"/>
              <w:numPr>
                <w:ilvl w:val="0"/>
                <w:numId w:val="0"/>
              </w:numPr>
              <w:jc w:val="center"/>
              <w:rPr>
                <w:b w:val="0"/>
                <w:bCs w:val="0"/>
                <w:i w:val="0"/>
                <w:color w:val="000000"/>
                <w:sz w:val="20"/>
                <w:szCs w:val="20"/>
              </w:rPr>
            </w:pPr>
            <w:r>
              <w:rPr>
                <w:b w:val="0"/>
                <w:bCs w:val="0"/>
                <w:i w:val="0"/>
                <w:color w:val="000000"/>
                <w:sz w:val="20"/>
                <w:szCs w:val="20"/>
              </w:rPr>
              <w:t>Performance Measurement</w:t>
            </w:r>
          </w:p>
        </w:tc>
        <w:tc>
          <w:tcPr>
            <w:tcW w:w="0" w:type="auto"/>
          </w:tcPr>
          <w:p w:rsidR="00166B20" w:rsidRPr="00166B20" w:rsidRDefault="00166B20" w:rsidP="00166B20">
            <w:pPr>
              <w:numPr>
                <w:ilvl w:val="0"/>
                <w:numId w:val="140"/>
              </w:numPr>
              <w:jc w:val="both"/>
              <w:rPr>
                <w:rFonts w:ascii="Arial" w:hAnsi="Arial" w:cs="Arial"/>
                <w:color w:val="000000"/>
                <w:sz w:val="20"/>
                <w:szCs w:val="20"/>
              </w:rPr>
            </w:pPr>
            <w:r>
              <w:rPr>
                <w:rFonts w:ascii="Arial" w:hAnsi="Arial" w:cs="Arial"/>
                <w:color w:val="000000"/>
                <w:sz w:val="20"/>
                <w:szCs w:val="20"/>
              </w:rPr>
              <w:t>Maintain benchmarks</w:t>
            </w:r>
          </w:p>
          <w:p w:rsidR="00166B20" w:rsidRDefault="00166B20" w:rsidP="00166B20">
            <w:pPr>
              <w:numPr>
                <w:ilvl w:val="0"/>
                <w:numId w:val="140"/>
              </w:numPr>
              <w:jc w:val="both"/>
              <w:rPr>
                <w:rFonts w:ascii="Arial" w:hAnsi="Arial" w:cs="Arial"/>
                <w:color w:val="000000"/>
                <w:sz w:val="20"/>
                <w:szCs w:val="20"/>
              </w:rPr>
            </w:pPr>
            <w:r>
              <w:rPr>
                <w:rFonts w:ascii="Arial" w:hAnsi="Arial" w:cs="Arial"/>
                <w:color w:val="000000"/>
                <w:sz w:val="20"/>
                <w:szCs w:val="20"/>
              </w:rPr>
              <w:t>Returns and risk (std. deviation) calculations</w:t>
            </w:r>
          </w:p>
          <w:p w:rsidR="00814BEB" w:rsidRDefault="00166B20">
            <w:pPr>
              <w:numPr>
                <w:ilvl w:val="0"/>
                <w:numId w:val="140"/>
              </w:numPr>
              <w:jc w:val="both"/>
              <w:rPr>
                <w:rFonts w:ascii="Arial" w:hAnsi="Arial"/>
                <w:b/>
                <w:color w:val="000000"/>
                <w:sz w:val="20"/>
                <w:szCs w:val="20"/>
              </w:rPr>
            </w:pPr>
            <w:r>
              <w:rPr>
                <w:rFonts w:ascii="Arial" w:hAnsi="Arial" w:cs="Arial"/>
                <w:color w:val="000000"/>
                <w:sz w:val="20"/>
                <w:szCs w:val="20"/>
              </w:rPr>
              <w:t xml:space="preserve">Performance reports </w:t>
            </w:r>
          </w:p>
        </w:tc>
      </w:tr>
    </w:tbl>
    <w:p w:rsidR="00814BEB" w:rsidRDefault="00814BEB"/>
    <w:p w:rsidR="006671BF" w:rsidRPr="004B3BDF" w:rsidRDefault="00401347" w:rsidP="00401347">
      <w:pPr>
        <w:pStyle w:val="Heading2"/>
        <w:keepNext w:val="0"/>
        <w:spacing w:before="120" w:after="120" w:line="240" w:lineRule="atLeast"/>
        <w:ind w:left="0" w:firstLine="0"/>
        <w:jc w:val="both"/>
      </w:pPr>
      <w:bookmarkStart w:id="514" w:name="_Toc226530554"/>
      <w:r>
        <w:t>Products and Services</w:t>
      </w:r>
      <w:bookmarkEnd w:id="514"/>
    </w:p>
    <w:p w:rsidR="006671BF" w:rsidRPr="004B3BDF" w:rsidRDefault="006671BF" w:rsidP="006671BF">
      <w:pPr>
        <w:pStyle w:val="body"/>
        <w:spacing w:before="120" w:after="120" w:line="240" w:lineRule="auto"/>
        <w:jc w:val="both"/>
        <w:rPr>
          <w:rFonts w:ascii="Arial" w:hAnsi="Arial" w:cs="Arial"/>
          <w:sz w:val="20"/>
          <w:szCs w:val="20"/>
        </w:rPr>
      </w:pPr>
      <w:r w:rsidRPr="004B3BDF">
        <w:rPr>
          <w:rFonts w:ascii="Arial" w:hAnsi="Arial" w:cs="Arial"/>
          <w:sz w:val="20"/>
          <w:szCs w:val="20"/>
        </w:rPr>
        <w:t>The mutual fund schemes can be classified according to both their investment objective (like income, growth, tax saving) as well as the number of units (if these are unlimited then the fund is an open-ended one while if there are limited units then the fund is close-ended).</w:t>
      </w:r>
    </w:p>
    <w:p w:rsidR="006671BF" w:rsidRPr="004D13E0" w:rsidRDefault="006671BF" w:rsidP="006671BF">
      <w:pPr>
        <w:numPr>
          <w:ilvl w:val="0"/>
          <w:numId w:val="55"/>
        </w:numPr>
        <w:autoSpaceDE w:val="0"/>
        <w:autoSpaceDN w:val="0"/>
        <w:adjustRightInd w:val="0"/>
        <w:jc w:val="both"/>
        <w:rPr>
          <w:rFonts w:ascii="Arial" w:hAnsi="Arial" w:cs="Arial"/>
          <w:i/>
          <w:sz w:val="20"/>
          <w:szCs w:val="20"/>
        </w:rPr>
      </w:pPr>
      <w:r w:rsidRPr="004D13E0">
        <w:rPr>
          <w:rFonts w:ascii="Arial" w:hAnsi="Arial" w:cs="Arial"/>
          <w:i/>
          <w:sz w:val="20"/>
          <w:szCs w:val="20"/>
        </w:rPr>
        <w:t>By Structure</w:t>
      </w:r>
    </w:p>
    <w:p w:rsidR="006671BF" w:rsidRPr="004B3BDF" w:rsidRDefault="006671BF" w:rsidP="006671BF">
      <w:pPr>
        <w:pStyle w:val="Heading4"/>
        <w:rPr>
          <w:rFonts w:cs="Arial"/>
          <w:sz w:val="20"/>
          <w:szCs w:val="20"/>
        </w:rPr>
      </w:pPr>
      <w:r w:rsidRPr="004B3BDF">
        <w:rPr>
          <w:rFonts w:cs="Arial"/>
          <w:sz w:val="20"/>
          <w:szCs w:val="20"/>
        </w:rPr>
        <w:t>Open-ended plans</w:t>
      </w:r>
    </w:p>
    <w:p w:rsidR="006671BF" w:rsidRPr="004B3BDF" w:rsidRDefault="006671BF" w:rsidP="006671BF">
      <w:pPr>
        <w:pStyle w:val="body"/>
        <w:spacing w:before="120" w:after="120" w:line="240" w:lineRule="auto"/>
        <w:ind w:left="1152"/>
        <w:jc w:val="both"/>
        <w:rPr>
          <w:rFonts w:ascii="Arial" w:hAnsi="Arial" w:cs="Arial"/>
          <w:sz w:val="20"/>
          <w:szCs w:val="20"/>
        </w:rPr>
      </w:pPr>
      <w:r w:rsidRPr="004B3BDF">
        <w:rPr>
          <w:rFonts w:ascii="Arial" w:hAnsi="Arial" w:cs="Arial"/>
          <w:sz w:val="20"/>
          <w:szCs w:val="20"/>
        </w:rPr>
        <w:t xml:space="preserve">Open-ended plans do not have a fixed maturity period. Investors can buy or sell units at NAV-related prices from and to the mutual fund on any business day. These schemes have unlimited capitalization, there is no cap on the amount one can buy from the fund and the unit capital can keep growing. These funds are not generally listed on any exchange. </w:t>
      </w:r>
    </w:p>
    <w:p w:rsidR="006671BF" w:rsidRPr="004B3BDF" w:rsidRDefault="006671BF" w:rsidP="006671BF">
      <w:pPr>
        <w:pStyle w:val="body"/>
        <w:spacing w:before="120" w:after="120" w:line="240" w:lineRule="auto"/>
        <w:ind w:left="1152"/>
        <w:jc w:val="both"/>
        <w:rPr>
          <w:rFonts w:ascii="Arial" w:hAnsi="Arial" w:cs="Arial"/>
          <w:sz w:val="20"/>
          <w:szCs w:val="20"/>
        </w:rPr>
      </w:pPr>
      <w:r w:rsidRPr="004B3BDF">
        <w:rPr>
          <w:rFonts w:ascii="Arial" w:hAnsi="Arial" w:cs="Arial"/>
          <w:sz w:val="20"/>
          <w:szCs w:val="20"/>
        </w:rPr>
        <w:t xml:space="preserve">Open-ended plans are preferred for their liquidity. Such funds can issue and redeem units any time during the life of a scheme. Hence, unit capital of open-ended funds can fluctuate on a daily basis. The advantages of open-ended funds over close-ended are as follows: </w:t>
      </w:r>
    </w:p>
    <w:p w:rsidR="006671BF" w:rsidRPr="004B3BDF" w:rsidRDefault="006671BF" w:rsidP="006671BF">
      <w:pPr>
        <w:pStyle w:val="body"/>
        <w:spacing w:before="120" w:after="120" w:line="240" w:lineRule="auto"/>
        <w:ind w:left="1152"/>
        <w:jc w:val="both"/>
        <w:rPr>
          <w:rFonts w:ascii="Arial" w:hAnsi="Arial" w:cs="Arial"/>
          <w:sz w:val="20"/>
          <w:szCs w:val="20"/>
        </w:rPr>
      </w:pPr>
      <w:r w:rsidRPr="004B3BDF">
        <w:rPr>
          <w:rFonts w:ascii="Arial" w:hAnsi="Arial" w:cs="Arial"/>
          <w:sz w:val="20"/>
          <w:szCs w:val="20"/>
        </w:rPr>
        <w:t>Any time entry option: An open-ended fund allows one to enter the fund at any time and even to invest at regular intervals.</w:t>
      </w:r>
      <w:r>
        <w:rPr>
          <w:rFonts w:ascii="Arial" w:hAnsi="Arial" w:cs="Arial"/>
          <w:sz w:val="20"/>
          <w:szCs w:val="20"/>
        </w:rPr>
        <w:t xml:space="preserve"> </w:t>
      </w:r>
      <w:r w:rsidRPr="004B3BDF">
        <w:rPr>
          <w:rFonts w:ascii="Arial" w:hAnsi="Arial" w:cs="Arial"/>
          <w:sz w:val="20"/>
          <w:szCs w:val="20"/>
        </w:rPr>
        <w:t>Any time exit option: The issuing company directly takes the responsibility of providing any time entry and exit option. This provides ready liquidity to the investors and avoids reliance on transfer deeds, signature verifications and bad deliveries.</w:t>
      </w:r>
    </w:p>
    <w:p w:rsidR="006671BF" w:rsidRPr="004B3BDF" w:rsidRDefault="006671BF" w:rsidP="006671BF">
      <w:pPr>
        <w:pStyle w:val="Heading4"/>
        <w:rPr>
          <w:rFonts w:cs="Arial"/>
          <w:sz w:val="20"/>
          <w:szCs w:val="20"/>
        </w:rPr>
      </w:pPr>
      <w:r w:rsidRPr="004B3BDF">
        <w:rPr>
          <w:rFonts w:cs="Arial"/>
          <w:sz w:val="20"/>
          <w:szCs w:val="20"/>
        </w:rPr>
        <w:t>Close-ended plans</w:t>
      </w:r>
    </w:p>
    <w:p w:rsidR="006671BF" w:rsidRPr="004B3BDF" w:rsidRDefault="006671BF" w:rsidP="006671BF">
      <w:pPr>
        <w:pStyle w:val="body"/>
        <w:spacing w:before="120" w:after="120" w:line="240" w:lineRule="auto"/>
        <w:ind w:left="1152"/>
        <w:jc w:val="both"/>
        <w:rPr>
          <w:rFonts w:ascii="Arial" w:hAnsi="Arial" w:cs="Arial"/>
          <w:sz w:val="20"/>
          <w:szCs w:val="20"/>
        </w:rPr>
      </w:pPr>
      <w:r w:rsidRPr="004B3BDF">
        <w:rPr>
          <w:rFonts w:ascii="Arial" w:hAnsi="Arial" w:cs="Arial"/>
          <w:sz w:val="20"/>
          <w:szCs w:val="20"/>
        </w:rPr>
        <w:t xml:space="preserve">Close-ended plans have fixed maturity periods. Investors can buy into these funds during the period when these funds are open in the initial issue. Such schemes cannot issue new units except in case of bonus or rights issue. However, after the initial issue, investor can buy or sell units of the scheme on the stock exchanges where they are listed. The market price of the units could vary from the NAV of the </w:t>
      </w:r>
      <w:r w:rsidRPr="004B3BDF">
        <w:rPr>
          <w:rFonts w:ascii="Arial" w:hAnsi="Arial" w:cs="Arial"/>
          <w:sz w:val="20"/>
          <w:szCs w:val="20"/>
        </w:rPr>
        <w:lastRenderedPageBreak/>
        <w:t xml:space="preserve">scheme due to demand and supply factors, investors’ expectations and other market factors </w:t>
      </w:r>
    </w:p>
    <w:p w:rsidR="006671BF" w:rsidRPr="004D13E0" w:rsidRDefault="006671BF" w:rsidP="006671BF">
      <w:pPr>
        <w:numPr>
          <w:ilvl w:val="0"/>
          <w:numId w:val="55"/>
        </w:numPr>
        <w:autoSpaceDE w:val="0"/>
        <w:autoSpaceDN w:val="0"/>
        <w:adjustRightInd w:val="0"/>
        <w:jc w:val="both"/>
        <w:rPr>
          <w:rFonts w:ascii="Arial" w:hAnsi="Arial" w:cs="Arial"/>
          <w:i/>
          <w:sz w:val="20"/>
          <w:szCs w:val="20"/>
        </w:rPr>
      </w:pPr>
      <w:r w:rsidRPr="004D13E0">
        <w:rPr>
          <w:rFonts w:ascii="Arial" w:hAnsi="Arial" w:cs="Arial"/>
          <w:i/>
          <w:sz w:val="20"/>
          <w:szCs w:val="20"/>
        </w:rPr>
        <w:t>By Nature of Investments</w:t>
      </w:r>
    </w:p>
    <w:p w:rsidR="006671BF" w:rsidRPr="004B3BDF" w:rsidRDefault="006671BF" w:rsidP="006671BF">
      <w:pPr>
        <w:pStyle w:val="body"/>
        <w:spacing w:before="120" w:after="120" w:line="240" w:lineRule="auto"/>
        <w:jc w:val="both"/>
        <w:rPr>
          <w:rFonts w:ascii="Arial" w:hAnsi="Arial" w:cs="Arial"/>
          <w:sz w:val="20"/>
          <w:szCs w:val="20"/>
        </w:rPr>
      </w:pPr>
      <w:r w:rsidRPr="004B3BDF">
        <w:rPr>
          <w:rFonts w:ascii="Arial" w:hAnsi="Arial" w:cs="Arial"/>
          <w:sz w:val="20"/>
          <w:szCs w:val="20"/>
        </w:rPr>
        <w:t>Mutual funds can invest in financial and non-financial assets. Depending on the nature of investment (i.e., the type of asset in which the money is invested) we can have the following category of Funds:</w:t>
      </w:r>
    </w:p>
    <w:p w:rsidR="006671BF" w:rsidRPr="004B3BDF" w:rsidRDefault="006671BF" w:rsidP="006671BF">
      <w:pPr>
        <w:pStyle w:val="body"/>
        <w:numPr>
          <w:ilvl w:val="0"/>
          <w:numId w:val="5"/>
        </w:numPr>
        <w:spacing w:before="120" w:after="120" w:line="240" w:lineRule="auto"/>
        <w:ind w:left="0" w:firstLine="0"/>
        <w:jc w:val="both"/>
        <w:rPr>
          <w:rFonts w:ascii="Arial" w:hAnsi="Arial" w:cs="Arial"/>
          <w:sz w:val="20"/>
          <w:szCs w:val="20"/>
        </w:rPr>
      </w:pPr>
      <w:r w:rsidRPr="004B3BDF">
        <w:rPr>
          <w:rFonts w:ascii="Arial" w:hAnsi="Arial" w:cs="Arial"/>
          <w:sz w:val="20"/>
          <w:szCs w:val="20"/>
        </w:rPr>
        <w:t xml:space="preserve">Equity Funds are those that invest in shares or equity of companies. </w:t>
      </w:r>
    </w:p>
    <w:p w:rsidR="006671BF" w:rsidRPr="004B3BDF" w:rsidRDefault="006671BF" w:rsidP="006671BF">
      <w:pPr>
        <w:pStyle w:val="body"/>
        <w:numPr>
          <w:ilvl w:val="0"/>
          <w:numId w:val="5"/>
        </w:numPr>
        <w:spacing w:before="120" w:after="120" w:line="240" w:lineRule="auto"/>
        <w:ind w:left="0" w:firstLine="0"/>
        <w:jc w:val="both"/>
        <w:rPr>
          <w:rFonts w:ascii="Arial" w:hAnsi="Arial" w:cs="Arial"/>
          <w:sz w:val="20"/>
          <w:szCs w:val="20"/>
        </w:rPr>
      </w:pPr>
      <w:r w:rsidRPr="004B3BDF">
        <w:rPr>
          <w:rFonts w:ascii="Arial" w:hAnsi="Arial" w:cs="Arial"/>
          <w:sz w:val="20"/>
          <w:szCs w:val="20"/>
        </w:rPr>
        <w:t xml:space="preserve">Bond Funds invest in fixed income instruments issued by government or corporate entities </w:t>
      </w:r>
    </w:p>
    <w:p w:rsidR="006671BF" w:rsidRPr="004B3BDF" w:rsidRDefault="006671BF" w:rsidP="006671BF">
      <w:pPr>
        <w:pStyle w:val="body"/>
        <w:numPr>
          <w:ilvl w:val="0"/>
          <w:numId w:val="5"/>
        </w:numPr>
        <w:spacing w:before="120" w:after="120" w:line="240" w:lineRule="auto"/>
        <w:ind w:left="0" w:firstLine="0"/>
        <w:jc w:val="both"/>
        <w:rPr>
          <w:rFonts w:ascii="Arial" w:hAnsi="Arial" w:cs="Arial"/>
          <w:sz w:val="20"/>
          <w:szCs w:val="20"/>
        </w:rPr>
      </w:pPr>
      <w:r w:rsidRPr="004B3BDF">
        <w:rPr>
          <w:rFonts w:ascii="Arial" w:hAnsi="Arial" w:cs="Arial"/>
          <w:sz w:val="20"/>
          <w:szCs w:val="20"/>
        </w:rPr>
        <w:t>Hybrid Funds that invest in a combination of both stocks and bonds</w:t>
      </w:r>
    </w:p>
    <w:p w:rsidR="006671BF" w:rsidRPr="004B3BDF" w:rsidRDefault="006671BF" w:rsidP="006671BF">
      <w:pPr>
        <w:pStyle w:val="body"/>
        <w:numPr>
          <w:ilvl w:val="0"/>
          <w:numId w:val="5"/>
        </w:numPr>
        <w:spacing w:before="120" w:after="120" w:line="240" w:lineRule="auto"/>
        <w:ind w:left="0" w:firstLine="0"/>
        <w:jc w:val="both"/>
        <w:rPr>
          <w:rFonts w:ascii="Arial" w:hAnsi="Arial" w:cs="Arial"/>
          <w:sz w:val="20"/>
          <w:szCs w:val="20"/>
        </w:rPr>
      </w:pPr>
      <w:r w:rsidRPr="004B3BDF">
        <w:rPr>
          <w:rFonts w:ascii="Arial" w:hAnsi="Arial" w:cs="Arial"/>
          <w:sz w:val="20"/>
          <w:szCs w:val="20"/>
        </w:rPr>
        <w:t>Money Market/Liquid Funds that invest in money market instruments</w:t>
      </w:r>
    </w:p>
    <w:p w:rsidR="006671BF" w:rsidRPr="004B3BDF" w:rsidRDefault="006671BF" w:rsidP="006671BF">
      <w:pPr>
        <w:pStyle w:val="body"/>
        <w:numPr>
          <w:ilvl w:val="0"/>
          <w:numId w:val="5"/>
        </w:numPr>
        <w:spacing w:before="120" w:after="120" w:line="240" w:lineRule="auto"/>
        <w:ind w:left="0" w:firstLine="0"/>
        <w:jc w:val="both"/>
        <w:rPr>
          <w:rFonts w:ascii="Arial" w:hAnsi="Arial" w:cs="Arial"/>
          <w:sz w:val="20"/>
          <w:szCs w:val="20"/>
        </w:rPr>
      </w:pPr>
      <w:r w:rsidRPr="004B3BDF">
        <w:rPr>
          <w:rFonts w:ascii="Arial" w:hAnsi="Arial" w:cs="Arial"/>
          <w:sz w:val="20"/>
          <w:szCs w:val="20"/>
        </w:rPr>
        <w:t>Commodity Funds that invest in various commodities</w:t>
      </w:r>
    </w:p>
    <w:p w:rsidR="006671BF" w:rsidRPr="004B3BDF" w:rsidRDefault="006671BF" w:rsidP="006671BF">
      <w:pPr>
        <w:pStyle w:val="body"/>
        <w:numPr>
          <w:ilvl w:val="0"/>
          <w:numId w:val="5"/>
        </w:numPr>
        <w:spacing w:before="120" w:after="120" w:line="240" w:lineRule="auto"/>
        <w:ind w:left="0" w:firstLine="0"/>
        <w:jc w:val="both"/>
        <w:rPr>
          <w:rFonts w:ascii="Arial" w:hAnsi="Arial" w:cs="Arial"/>
          <w:sz w:val="20"/>
          <w:szCs w:val="20"/>
        </w:rPr>
      </w:pPr>
      <w:r w:rsidRPr="004B3BDF">
        <w:rPr>
          <w:rFonts w:ascii="Arial" w:hAnsi="Arial" w:cs="Arial"/>
          <w:sz w:val="20"/>
          <w:szCs w:val="20"/>
        </w:rPr>
        <w:t>Real Estate Funds that invest in properties, land and building etc.</w:t>
      </w:r>
    </w:p>
    <w:p w:rsidR="006671BF" w:rsidRPr="004B3BDF" w:rsidRDefault="006671BF" w:rsidP="006671BF">
      <w:pPr>
        <w:pStyle w:val="Heading4"/>
        <w:keepNext w:val="0"/>
        <w:numPr>
          <w:ilvl w:val="1"/>
          <w:numId w:val="5"/>
        </w:numPr>
        <w:spacing w:before="120" w:after="120" w:line="240" w:lineRule="atLeast"/>
        <w:jc w:val="both"/>
        <w:rPr>
          <w:rFonts w:cs="Arial"/>
          <w:sz w:val="20"/>
          <w:szCs w:val="20"/>
        </w:rPr>
      </w:pPr>
      <w:r w:rsidRPr="004B3BDF">
        <w:rPr>
          <w:rFonts w:cs="Arial"/>
          <w:sz w:val="20"/>
          <w:szCs w:val="20"/>
        </w:rPr>
        <w:t xml:space="preserve">Equity Funds </w:t>
      </w:r>
    </w:p>
    <w:p w:rsidR="006671BF" w:rsidRPr="004B3BDF" w:rsidRDefault="006671BF" w:rsidP="006671BF">
      <w:pPr>
        <w:pStyle w:val="body"/>
        <w:spacing w:before="120" w:after="120" w:line="240" w:lineRule="auto"/>
        <w:jc w:val="both"/>
        <w:rPr>
          <w:rFonts w:ascii="Arial" w:hAnsi="Arial" w:cs="Arial"/>
          <w:sz w:val="20"/>
          <w:szCs w:val="20"/>
        </w:rPr>
      </w:pPr>
      <w:r w:rsidRPr="004B3BDF">
        <w:rPr>
          <w:rFonts w:ascii="Arial" w:hAnsi="Arial" w:cs="Arial"/>
          <w:sz w:val="20"/>
          <w:szCs w:val="20"/>
        </w:rPr>
        <w:t>They can be of the following variety:</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 xml:space="preserve">Capital Appreciation Funds seeks capital appreciation; dividends are not a primary consideration. </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Growth funds invest primarily in common stocks of well-established companies but with an above average growth potential.</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Sector Funds invests primarily in companies in related fields. They have a narrow portfolio orientation and invest in only companies that meet pre-defined criteria for e.g., a Technology Fund would invest only in companies that operate in the Technology Industry.</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Total Return Funds seek a combination of current income and capital appreciation.</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Growth and Income Funds invest primarily in common stocks of established companies with the potential for growth and a consistent record of dividend payments.</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Income - Equity Funds invest primarily in equity securities of companies with a consistent record of dividend payments. They seek income more than capital appreciation.</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 xml:space="preserve">Value Funds In contrast to a growth fund, a value fund focuses on companies that may be temporarily out of favor with the market but looks up again because of their cyclical nature. </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Emerging Market Funds invest primarily in companies based in developing regions of the world.</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Global Equity Funds invest primarily in equity securities traded worldwide.</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Regional equity Funds invest in companies based in a specific part of the world.</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lastRenderedPageBreak/>
        <w:t xml:space="preserve">Large Cap, Mid Cap, Small Cap, and Micro Cap Funds: Stock funds may also be classified according to the market capitalization of the companies in which they invest. The market capitalization, or "market cap", of a company is simply the value of the company on the stock market -- in other words, it is the number of outstanding shares of the company times the price of those shares. There are three main types of cap funds: large-cap, mid-cap, and small-cap. </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Large cap funds tend to invest in companies with market caps above $10 billion, mid cap funds tend to invest in companies with market caps of $1 billion to $10 billion, and small cap funds tend to invest in companies with market caps below $1 billion. Some mutual funds also add a fourth category called micro-cap funds to describe funds that invest in companies worth less than $250 million. In general, the smaller the average market capitalization of the fund's holdings, the more volatile the return; micro-cap funds can be especially risky.</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 xml:space="preserve">Option Income Funds Option Income Funds write options (earn premium by way of selling rights to buy or sell shares in future to others) on a significant part of their portfolio. </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Equity Index Funds fund tracks the performance of a specific stock market index. The fund invests in shares that constitute the index and in the same proportion as the index.</w:t>
      </w:r>
    </w:p>
    <w:p w:rsidR="006671BF" w:rsidRPr="00DC6485" w:rsidRDefault="006671BF" w:rsidP="006671BF">
      <w:pPr>
        <w:pStyle w:val="body"/>
        <w:spacing w:before="120" w:after="120" w:line="240" w:lineRule="auto"/>
        <w:ind w:left="1152"/>
        <w:jc w:val="both"/>
        <w:rPr>
          <w:rFonts w:ascii="Arial" w:hAnsi="Arial" w:cs="Arial"/>
          <w:sz w:val="20"/>
          <w:szCs w:val="20"/>
        </w:rPr>
      </w:pPr>
      <w:r w:rsidRPr="00DC6485">
        <w:rPr>
          <w:rFonts w:ascii="Arial" w:hAnsi="Arial" w:cs="Arial"/>
          <w:sz w:val="20"/>
          <w:szCs w:val="20"/>
        </w:rPr>
        <w:t xml:space="preserve">Exchange-Traded Funds (ETFs) are similar to index funds, but with one important distinction: they trade on stock exchanges. ETFs are more tax-efficient than normal mutual funds, and since they track indexes they have very low operating and transaction costs associated with them. There are no sales loads or investment minimums required to purchase an ETF. </w:t>
      </w:r>
    </w:p>
    <w:p w:rsidR="006671BF" w:rsidRPr="004B3BDF" w:rsidRDefault="006671BF" w:rsidP="006671BF">
      <w:pPr>
        <w:pStyle w:val="Heading4"/>
        <w:keepNext w:val="0"/>
        <w:numPr>
          <w:ilvl w:val="0"/>
          <w:numId w:val="56"/>
        </w:numPr>
        <w:spacing w:before="120" w:after="120" w:line="240" w:lineRule="atLeast"/>
        <w:jc w:val="both"/>
        <w:rPr>
          <w:rFonts w:cs="Arial"/>
          <w:sz w:val="20"/>
          <w:szCs w:val="20"/>
        </w:rPr>
      </w:pPr>
      <w:r w:rsidRPr="004B3BDF">
        <w:rPr>
          <w:rFonts w:cs="Arial"/>
          <w:sz w:val="20"/>
          <w:szCs w:val="20"/>
        </w:rPr>
        <w:t>Bond Funds</w:t>
      </w:r>
    </w:p>
    <w:p w:rsidR="006671BF" w:rsidRPr="004B3BDF" w:rsidRDefault="006671BF" w:rsidP="006671BF">
      <w:pPr>
        <w:pStyle w:val="body"/>
        <w:spacing w:before="120" w:after="120" w:line="240" w:lineRule="auto"/>
        <w:jc w:val="both"/>
        <w:rPr>
          <w:rFonts w:ascii="Arial" w:hAnsi="Arial" w:cs="Arial"/>
          <w:sz w:val="20"/>
          <w:szCs w:val="20"/>
        </w:rPr>
      </w:pPr>
      <w:r w:rsidRPr="004B3BDF">
        <w:rPr>
          <w:rFonts w:ascii="Arial" w:hAnsi="Arial" w:cs="Arial"/>
          <w:sz w:val="20"/>
          <w:szCs w:val="20"/>
        </w:rPr>
        <w:t>Based on the investment objective they can be of the following variety</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Corporate Bond Funds seeks current income by investing in high quality debt securities issued by corporations.</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High Yield Funds invest two-thirds or more of their portfolios in lower rated corporate funds (BAA or lower by Moody’s and BBB or lower by Standard and Poor’s rating services). At these ratings the bonds are considered below investment grade and hence are also called Junk Bonds.</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World Bond Funds invest in debt securities offered by foreign companies and governments. They seek the highest level of current income available worldwide.</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Government Bond (Gilt) Funds invest in government bonds of varying maturities. They seek high current income.</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Mortgage-backed Funds invest two-thirds or more of their portfolios in pooled mortgage-backed securities.</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 xml:space="preserve">Capital / Principal Protection Funds invest money in such a way that there is full safety against capital loss. This is achieved by way of a guarantee from the </w:t>
      </w:r>
      <w:r w:rsidRPr="00C1530A">
        <w:rPr>
          <w:rFonts w:ascii="Arial" w:hAnsi="Arial" w:cs="Arial"/>
          <w:sz w:val="20"/>
          <w:szCs w:val="20"/>
        </w:rPr>
        <w:lastRenderedPageBreak/>
        <w:t>investment company, or some other institution or by investing in government securities.</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 xml:space="preserve">Diversified Debt Funds </w:t>
      </w:r>
      <w:proofErr w:type="gramStart"/>
      <w:r w:rsidRPr="00C1530A">
        <w:rPr>
          <w:rFonts w:ascii="Arial" w:hAnsi="Arial" w:cs="Arial"/>
          <w:sz w:val="20"/>
          <w:szCs w:val="20"/>
        </w:rPr>
        <w:t>A</w:t>
      </w:r>
      <w:proofErr w:type="gramEnd"/>
      <w:r w:rsidRPr="00C1530A">
        <w:rPr>
          <w:rFonts w:ascii="Arial" w:hAnsi="Arial" w:cs="Arial"/>
          <w:sz w:val="20"/>
          <w:szCs w:val="20"/>
        </w:rPr>
        <w:t xml:space="preserve"> debt fund that invests in all available types of debt securities, issued by entities across all industries and sectors is a properly diversified debt fund.</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 xml:space="preserve">Focused Debt Funds have a narrower focus with less diversification in its investments. Examples include sector, specialized and offshore debt funds. </w:t>
      </w:r>
    </w:p>
    <w:p w:rsidR="006671BF" w:rsidRPr="00C1530A" w:rsidRDefault="006671BF" w:rsidP="006671BF">
      <w:pPr>
        <w:pStyle w:val="body"/>
        <w:spacing w:before="120" w:after="120" w:line="240" w:lineRule="auto"/>
        <w:ind w:left="1152"/>
        <w:jc w:val="both"/>
        <w:rPr>
          <w:rFonts w:ascii="Arial" w:hAnsi="Arial" w:cs="Arial"/>
          <w:sz w:val="20"/>
          <w:szCs w:val="20"/>
        </w:rPr>
      </w:pPr>
      <w:r w:rsidRPr="00C1530A">
        <w:rPr>
          <w:rFonts w:ascii="Arial" w:hAnsi="Arial" w:cs="Arial"/>
          <w:sz w:val="20"/>
          <w:szCs w:val="20"/>
        </w:rPr>
        <w:t>Benchmark Funds - Just like equity index fund these funds follow a certain benchmark index and try to have the investment as close to the benchmark as possible.</w:t>
      </w:r>
    </w:p>
    <w:p w:rsidR="006671BF" w:rsidRPr="004B3BDF" w:rsidRDefault="006671BF" w:rsidP="006671BF">
      <w:pPr>
        <w:pStyle w:val="Heading4"/>
        <w:keepNext w:val="0"/>
        <w:numPr>
          <w:ilvl w:val="0"/>
          <w:numId w:val="56"/>
        </w:numPr>
        <w:spacing w:before="120" w:after="120" w:line="240" w:lineRule="atLeast"/>
        <w:jc w:val="both"/>
        <w:rPr>
          <w:rFonts w:cs="Arial"/>
          <w:sz w:val="20"/>
          <w:szCs w:val="20"/>
        </w:rPr>
      </w:pPr>
      <w:r w:rsidRPr="004B3BDF">
        <w:rPr>
          <w:rFonts w:cs="Arial"/>
          <w:sz w:val="20"/>
          <w:szCs w:val="20"/>
        </w:rPr>
        <w:t xml:space="preserve">Hybrid Funds </w:t>
      </w:r>
    </w:p>
    <w:p w:rsidR="006671BF" w:rsidRPr="00B71316" w:rsidRDefault="006671BF" w:rsidP="006671BF">
      <w:pPr>
        <w:pStyle w:val="body"/>
        <w:spacing w:before="120" w:after="120" w:line="240" w:lineRule="auto"/>
        <w:jc w:val="both"/>
        <w:rPr>
          <w:rFonts w:ascii="Arial" w:hAnsi="Arial" w:cs="Arial"/>
          <w:sz w:val="20"/>
          <w:szCs w:val="20"/>
        </w:rPr>
      </w:pPr>
      <w:r w:rsidRPr="00B71316">
        <w:rPr>
          <w:rFonts w:ascii="Arial" w:hAnsi="Arial" w:cs="Arial"/>
          <w:sz w:val="20"/>
          <w:szCs w:val="20"/>
        </w:rPr>
        <w:t>They invest in a mix of equities, fixed-income securities, and derivative instruments. They are of the following kinds:</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Asset Allocation Funds: They invest in various asset classes including, equities, fixed income securities, and money market instruments. They seek high total income by maintaining precise weightings in asset classes.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Balanced Funds: They invest in a mix of equity securities and bonds with the three-part objective of conserving principal, providing income, and achieving long-term growth of both principal and income. These funds maintain target percentages in asset classes.</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Flexible Portfolio Funds: These invest in common stocks, bonds, other debt securities, and money market securities to provide high total return. These funds may invest up to 100% in any one type of security and may easily change weightings depending upon market conditions.</w:t>
      </w:r>
    </w:p>
    <w:p w:rsidR="006671BF" w:rsidRPr="00B71316" w:rsidRDefault="006671BF" w:rsidP="006671BF">
      <w:pPr>
        <w:pStyle w:val="body"/>
        <w:spacing w:before="120" w:after="120" w:line="240" w:lineRule="atLeast"/>
        <w:ind w:left="1152"/>
        <w:jc w:val="both"/>
        <w:rPr>
          <w:rFonts w:ascii="Arial" w:hAnsi="Arial" w:cs="Arial"/>
          <w:color w:val="auto"/>
          <w:sz w:val="20"/>
          <w:szCs w:val="20"/>
        </w:rPr>
      </w:pPr>
      <w:r w:rsidRPr="00B71316">
        <w:rPr>
          <w:rFonts w:ascii="Arial" w:hAnsi="Arial" w:cs="Arial"/>
          <w:sz w:val="20"/>
          <w:szCs w:val="20"/>
        </w:rPr>
        <w:t>Income-</w:t>
      </w:r>
      <w:r w:rsidRPr="00B71316">
        <w:rPr>
          <w:rFonts w:ascii="Arial" w:hAnsi="Arial" w:cs="Arial"/>
          <w:color w:val="auto"/>
          <w:sz w:val="20"/>
          <w:szCs w:val="20"/>
        </w:rPr>
        <w:t>Mixed Funds: They invest in variety of income-producing securities, including equities and fixed-income instruments. These funds seek a high level of current income without regard to capital appreciation.</w:t>
      </w:r>
    </w:p>
    <w:p w:rsidR="006671BF" w:rsidRPr="00B71316" w:rsidRDefault="006671BF" w:rsidP="006671BF">
      <w:pPr>
        <w:pStyle w:val="Heading4"/>
        <w:keepNext w:val="0"/>
        <w:spacing w:before="120" w:after="120" w:line="240" w:lineRule="atLeast"/>
        <w:ind w:left="1152"/>
        <w:jc w:val="both"/>
        <w:rPr>
          <w:color w:val="auto"/>
          <w:sz w:val="20"/>
          <w:szCs w:val="20"/>
        </w:rPr>
      </w:pPr>
      <w:r w:rsidRPr="00B71316">
        <w:rPr>
          <w:rFonts w:cs="Arial"/>
          <w:color w:val="auto"/>
          <w:sz w:val="20"/>
          <w:szCs w:val="20"/>
        </w:rPr>
        <w:t xml:space="preserve">Money Market/ Liquid Funds: </w:t>
      </w:r>
      <w:r w:rsidRPr="00B71316">
        <w:rPr>
          <w:color w:val="auto"/>
          <w:sz w:val="20"/>
          <w:szCs w:val="20"/>
        </w:rPr>
        <w:t xml:space="preserve">For the cautious investor, these funds provide a very high stability of principal while seeking a moderate to high current income. They invest in highly liquid, virtually risk-free, short-term debt securities of agencies of the Government, banks and corporations and Treasury Bills. Because of their short-term investments, money market mutual funds are able to keep a virtually constant unit price; only the yield fluctuates.  Money market funds are suitable for investors who want high stability of principal and current income with immediate liquidity. </w:t>
      </w:r>
    </w:p>
    <w:p w:rsidR="006671BF" w:rsidRPr="00B71316" w:rsidRDefault="006671BF" w:rsidP="006671BF">
      <w:pPr>
        <w:pStyle w:val="Heading4"/>
        <w:keepNext w:val="0"/>
        <w:spacing w:before="120" w:after="120" w:line="240" w:lineRule="atLeast"/>
        <w:ind w:left="1152"/>
        <w:jc w:val="both"/>
        <w:rPr>
          <w:color w:val="auto"/>
          <w:sz w:val="20"/>
          <w:szCs w:val="20"/>
        </w:rPr>
      </w:pPr>
      <w:r w:rsidRPr="00B71316">
        <w:rPr>
          <w:rFonts w:cs="Arial"/>
          <w:color w:val="auto"/>
          <w:sz w:val="20"/>
          <w:szCs w:val="20"/>
        </w:rPr>
        <w:t xml:space="preserve">Commodity Funds: </w:t>
      </w:r>
      <w:r w:rsidRPr="00B71316">
        <w:rPr>
          <w:color w:val="auto"/>
          <w:sz w:val="20"/>
          <w:szCs w:val="20"/>
        </w:rPr>
        <w:t xml:space="preserve">While all of the debt/equity/money market funds invest in financial assets the mutual fund vehicle is suited for investment in any other physical assets also. Commodity funds specialize in investing in different commodities directly or through shares of commodity companies or through commodity futures contracts (undertaking to buy or sell at a predetermined price in future). A most common example of commodity funds is precious metals funds. Gold Funds invest </w:t>
      </w:r>
      <w:r w:rsidRPr="00B71316">
        <w:rPr>
          <w:color w:val="auto"/>
          <w:sz w:val="20"/>
          <w:szCs w:val="20"/>
        </w:rPr>
        <w:lastRenderedPageBreak/>
        <w:t>in gold, gold futures or shares of gold mines. However metal funds may take exposure in more than one metal to get some benefit of diversification.</w:t>
      </w:r>
    </w:p>
    <w:p w:rsidR="006671BF" w:rsidRPr="00B71316" w:rsidRDefault="006671BF" w:rsidP="006671BF">
      <w:pPr>
        <w:pStyle w:val="Heading4"/>
        <w:keepNext w:val="0"/>
        <w:spacing w:before="120" w:after="120" w:line="240" w:lineRule="atLeast"/>
        <w:ind w:left="1152"/>
        <w:jc w:val="both"/>
        <w:rPr>
          <w:color w:val="auto"/>
          <w:sz w:val="20"/>
          <w:szCs w:val="20"/>
        </w:rPr>
      </w:pPr>
      <w:r w:rsidRPr="00B71316">
        <w:rPr>
          <w:rFonts w:cs="Arial"/>
          <w:color w:val="auto"/>
          <w:sz w:val="20"/>
          <w:szCs w:val="20"/>
        </w:rPr>
        <w:t xml:space="preserve">Real Estate Funds: </w:t>
      </w:r>
      <w:r w:rsidRPr="00B71316">
        <w:rPr>
          <w:color w:val="auto"/>
          <w:sz w:val="20"/>
          <w:szCs w:val="20"/>
        </w:rPr>
        <w:t>Specialized Real Estate Funds would invest in Real Estate directly or may fund real estate developers, or lend to then, or buy shares of housing finance companies or may even buy their securitized assets (housing loans get converted to securities and sold to investors by the loan originator). The funds may have a growth orientation or seek to give investors regular income.</w:t>
      </w:r>
    </w:p>
    <w:p w:rsidR="006671BF" w:rsidRPr="004D13E0" w:rsidRDefault="006671BF" w:rsidP="006671BF">
      <w:pPr>
        <w:numPr>
          <w:ilvl w:val="0"/>
          <w:numId w:val="55"/>
        </w:numPr>
        <w:autoSpaceDE w:val="0"/>
        <w:autoSpaceDN w:val="0"/>
        <w:adjustRightInd w:val="0"/>
        <w:jc w:val="both"/>
        <w:rPr>
          <w:rFonts w:ascii="Arial" w:hAnsi="Arial" w:cs="Arial"/>
          <w:i/>
          <w:sz w:val="20"/>
          <w:szCs w:val="20"/>
        </w:rPr>
      </w:pPr>
      <w:r w:rsidRPr="004D13E0">
        <w:rPr>
          <w:rFonts w:ascii="Arial" w:hAnsi="Arial" w:cs="Arial"/>
          <w:i/>
          <w:sz w:val="20"/>
          <w:szCs w:val="20"/>
        </w:rPr>
        <w:t>By Investment Objective</w:t>
      </w:r>
    </w:p>
    <w:p w:rsidR="006671BF" w:rsidRPr="00DC6485" w:rsidRDefault="006671BF" w:rsidP="006671BF">
      <w:pPr>
        <w:pStyle w:val="body"/>
        <w:spacing w:before="120" w:after="120" w:line="240" w:lineRule="auto"/>
        <w:jc w:val="both"/>
        <w:rPr>
          <w:rFonts w:ascii="Arial" w:hAnsi="Arial" w:cs="Arial"/>
          <w:color w:val="auto"/>
          <w:sz w:val="20"/>
          <w:szCs w:val="20"/>
        </w:rPr>
      </w:pPr>
      <w:r w:rsidRPr="00DC6485">
        <w:rPr>
          <w:rFonts w:ascii="Arial" w:hAnsi="Arial" w:cs="Arial"/>
          <w:color w:val="auto"/>
          <w:sz w:val="20"/>
          <w:szCs w:val="20"/>
        </w:rPr>
        <w:t xml:space="preserve">Mutual funds can be further classified based on their specific investment objective such as growth of capital, safety of principal, current income or tax-exempt income. In general mutual funds fall into three general categories: </w:t>
      </w:r>
    </w:p>
    <w:p w:rsidR="006671BF" w:rsidRPr="00DC6485" w:rsidRDefault="006671BF" w:rsidP="006671BF">
      <w:pPr>
        <w:pStyle w:val="body"/>
        <w:spacing w:before="120" w:after="120" w:line="240" w:lineRule="auto"/>
        <w:ind w:left="1152"/>
        <w:jc w:val="both"/>
        <w:rPr>
          <w:rFonts w:ascii="Arial" w:hAnsi="Arial" w:cs="Arial"/>
          <w:color w:val="auto"/>
          <w:sz w:val="20"/>
          <w:szCs w:val="20"/>
        </w:rPr>
      </w:pPr>
      <w:r w:rsidRPr="00DC6485">
        <w:rPr>
          <w:rFonts w:ascii="Arial" w:hAnsi="Arial" w:cs="Arial"/>
          <w:i/>
          <w:color w:val="auto"/>
          <w:sz w:val="20"/>
          <w:szCs w:val="20"/>
        </w:rPr>
        <w:t>Growth Funds:</w:t>
      </w:r>
      <w:r w:rsidRPr="00DC6485">
        <w:rPr>
          <w:rFonts w:ascii="Arial" w:hAnsi="Arial" w:cs="Arial"/>
          <w:color w:val="auto"/>
          <w:sz w:val="20"/>
          <w:szCs w:val="20"/>
        </w:rPr>
        <w:t xml:space="preserve"> Growth funds primarily look for growth of capital with secondary emphasis on dividend. Such funds invest in shares with a potential for growth and capital appreciation. Growth funds generally incur higher risks than income funds in an effort to secure more pronounced growth. </w:t>
      </w:r>
    </w:p>
    <w:p w:rsidR="006671BF" w:rsidRPr="00DC6485" w:rsidRDefault="006671BF" w:rsidP="006671BF">
      <w:pPr>
        <w:pStyle w:val="Heading4"/>
        <w:keepNext w:val="0"/>
        <w:spacing w:before="120" w:after="120"/>
        <w:ind w:left="1152"/>
        <w:jc w:val="both"/>
        <w:rPr>
          <w:rFonts w:cs="Arial"/>
          <w:color w:val="auto"/>
          <w:sz w:val="20"/>
          <w:szCs w:val="20"/>
        </w:rPr>
      </w:pPr>
      <w:r w:rsidRPr="00DC6485">
        <w:rPr>
          <w:rFonts w:cs="Arial"/>
          <w:i/>
          <w:color w:val="auto"/>
          <w:sz w:val="20"/>
          <w:szCs w:val="20"/>
        </w:rPr>
        <w:t xml:space="preserve">Income Funds: </w:t>
      </w:r>
      <w:r w:rsidRPr="00DC6485">
        <w:rPr>
          <w:rFonts w:cs="Arial"/>
          <w:color w:val="auto"/>
          <w:sz w:val="20"/>
          <w:szCs w:val="20"/>
        </w:rPr>
        <w:t xml:space="preserve">Income funds primarily look to provide current income consistent with the preservation of capital. These funds invest in corporate bonds or government-backed mortgage securities that have a fixed rate of return. Within the fixed-income category, funds vary greatly in their stability of principal and in their dividend yields. Fixed-income funds are suitable for investors who want to maximize current income and who can assume a degree of capital risk in order to do so. </w:t>
      </w:r>
    </w:p>
    <w:p w:rsidR="006671BF" w:rsidRPr="00DC6485" w:rsidRDefault="006671BF" w:rsidP="006671BF">
      <w:pPr>
        <w:pStyle w:val="Heading4"/>
        <w:keepNext w:val="0"/>
        <w:spacing w:before="120" w:after="120"/>
        <w:ind w:left="1152"/>
        <w:jc w:val="both"/>
        <w:rPr>
          <w:rFonts w:cs="Arial"/>
          <w:color w:val="auto"/>
          <w:sz w:val="20"/>
          <w:szCs w:val="20"/>
        </w:rPr>
      </w:pPr>
      <w:r w:rsidRPr="00DC6485">
        <w:rPr>
          <w:rFonts w:cs="Arial"/>
          <w:i/>
          <w:color w:val="auto"/>
          <w:sz w:val="20"/>
          <w:szCs w:val="20"/>
        </w:rPr>
        <w:t xml:space="preserve">Growth and Income / Balanced Fund: </w:t>
      </w:r>
      <w:r w:rsidRPr="00DC6485">
        <w:rPr>
          <w:rFonts w:cs="Arial"/>
          <w:color w:val="auto"/>
          <w:sz w:val="20"/>
          <w:szCs w:val="20"/>
        </w:rPr>
        <w:t>The investment strategies used to reach both the goals of capital appreciation and regular income are done by investing in a dual portfolio consisting of growth stocks (shares) and income stocks (stocks that pay regular and high dividends) or a combination of growth stocks, stocks paying high dividends, preferred stocks, convertible securities or fixed-income securities such as corporate bonds and money market instruments.</w:t>
      </w:r>
    </w:p>
    <w:p w:rsidR="006671BF" w:rsidRPr="00DC6485" w:rsidRDefault="006671BF" w:rsidP="006671BF">
      <w:pPr>
        <w:pStyle w:val="Heading4"/>
        <w:keepNext w:val="0"/>
        <w:spacing w:before="120" w:after="120"/>
        <w:ind w:left="1152"/>
        <w:jc w:val="both"/>
        <w:rPr>
          <w:rFonts w:cs="Arial"/>
          <w:color w:val="auto"/>
          <w:sz w:val="20"/>
          <w:szCs w:val="20"/>
        </w:rPr>
      </w:pPr>
      <w:r w:rsidRPr="00DC6485">
        <w:rPr>
          <w:rFonts w:cs="Arial"/>
          <w:i/>
          <w:color w:val="auto"/>
          <w:sz w:val="20"/>
          <w:szCs w:val="20"/>
        </w:rPr>
        <w:t>Sector Funds:</w:t>
      </w:r>
      <w:r w:rsidRPr="00DC6485">
        <w:rPr>
          <w:rFonts w:cs="Arial"/>
          <w:color w:val="auto"/>
          <w:sz w:val="20"/>
          <w:szCs w:val="20"/>
        </w:rPr>
        <w:t xml:space="preserve"> These funds invest in securities of a specific industry or sector of the economy such as health care, technology, leisure, utilities or precious metals. The funds enable investors to diversify holdings among many companies within an industry, a more conservative approach than investing directly in one particular company. Sector funds offer the opportunity for sharp capital gains in cases where the fund's industry is "in favor" but also entail the risk of capital losses when the industry is out of favor. </w:t>
      </w:r>
    </w:p>
    <w:p w:rsidR="006671BF" w:rsidRPr="004B3BDF" w:rsidRDefault="006671BF" w:rsidP="006671BF">
      <w:pPr>
        <w:pStyle w:val="Heading4"/>
        <w:keepNext w:val="0"/>
        <w:numPr>
          <w:ilvl w:val="0"/>
          <w:numId w:val="55"/>
        </w:numPr>
        <w:spacing w:before="120" w:after="120" w:line="240" w:lineRule="atLeast"/>
        <w:jc w:val="both"/>
        <w:rPr>
          <w:rFonts w:cs="Arial"/>
          <w:sz w:val="20"/>
          <w:szCs w:val="20"/>
        </w:rPr>
      </w:pPr>
      <w:r w:rsidRPr="004B3BDF">
        <w:rPr>
          <w:rFonts w:cs="Arial"/>
          <w:sz w:val="20"/>
          <w:szCs w:val="20"/>
        </w:rPr>
        <w:t>Special Funds</w:t>
      </w:r>
    </w:p>
    <w:p w:rsidR="006671BF" w:rsidRPr="004B3BDF" w:rsidRDefault="006671BF" w:rsidP="006671BF">
      <w:pPr>
        <w:pStyle w:val="body"/>
        <w:spacing w:before="120" w:after="120" w:line="240" w:lineRule="auto"/>
        <w:jc w:val="both"/>
        <w:rPr>
          <w:rFonts w:ascii="Arial" w:hAnsi="Arial" w:cs="Arial"/>
          <w:sz w:val="20"/>
          <w:szCs w:val="20"/>
        </w:rPr>
      </w:pPr>
      <w:r w:rsidRPr="004B3BDF">
        <w:rPr>
          <w:rFonts w:ascii="Arial" w:hAnsi="Arial" w:cs="Arial"/>
          <w:sz w:val="20"/>
          <w:szCs w:val="20"/>
        </w:rPr>
        <w:t>Some special types of funds are:</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Mortgage-Backed Securities Funds: Mortgage-backed securities funds invest in home mortgage securities that are offered through several government agencies. These agencies, such as "</w:t>
      </w:r>
      <w:proofErr w:type="spellStart"/>
      <w:r w:rsidRPr="00B71316">
        <w:rPr>
          <w:rFonts w:ascii="Arial" w:hAnsi="Arial" w:cs="Arial"/>
          <w:sz w:val="20"/>
          <w:szCs w:val="20"/>
        </w:rPr>
        <w:t>Ginnie</w:t>
      </w:r>
      <w:proofErr w:type="spellEnd"/>
      <w:r w:rsidRPr="00B71316">
        <w:rPr>
          <w:rFonts w:ascii="Arial" w:hAnsi="Arial" w:cs="Arial"/>
          <w:sz w:val="20"/>
          <w:szCs w:val="20"/>
        </w:rPr>
        <w:t xml:space="preserve"> Mae" (the Government National Mortgage Association) and "Freddie Mac" (the Federal National Mortgage Association), purchase and then pool together groups of home mortgage loans, which they then later resell to investors (such as mutual funds) as a single security. Mortgage-backed securities funds receive interest payments on the mortgages, which they pass on to shareholders, as well as principal payments, which they use to reinvest in more securities. These funds are considered to be very safe since mortgage-backed </w:t>
      </w:r>
      <w:r w:rsidRPr="00B71316">
        <w:rPr>
          <w:rFonts w:ascii="Arial" w:hAnsi="Arial" w:cs="Arial"/>
          <w:sz w:val="20"/>
          <w:szCs w:val="20"/>
        </w:rPr>
        <w:lastRenderedPageBreak/>
        <w:t xml:space="preserve">securities from the aforementioned agencies are either backed by the federal government or they have very high credit ratings. However, these funds may suffer from prepayment risks (in which case the mortgagor may pay off the principal earlier than anticipated) and interest rate fluctuations (which could cause the value of the fund to go up and down).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Fund Supermarkets: Fund supermarkets are analogous to grocery supermarkets: they allow consumers to buy a variety of goods from different producers at one central location. In the case of fund supermarkets, the consumers are investors, the producers are mutual fund families, and the central location is a brokerage firm. The primary benefit of such an arrangement is simplicity: you get to buy funds from different families and receive all their statements in a single report. Fund supermarkets are also supposed to save on costs, since the funds are usually traded with no commissions and no transaction fees. In reality, however, the supermarkets charge the fund families a stiff fee, which is then passed off to investors through the form of expense fees or reduced distributions.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Funds of Funds: "Funds of funds" (FOFs) are meta-mutual funds; that is, they are mutual funds that invest in other mutual funds. These funds were designed to achieve even greater diversification than normal mutual funds; however, they suffer from several drawbacks. Expense fees on FOFs are typically higher than those on regular funds because they include part of the expense fees charged by the underlying funds. But even FOFs with low fees may suffer from another disadvantage: duplication. Since FOFs buy many different funds which themselves invest in many different stocks, it is possible for the FOF to own the same stock through several different funds. Most experts say that FOFs are not terribly useful, given that one or a few mutual funds can provide adequate diversification without the second level of fees.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Lifecycle Funds: Starting in the early 1990s, many mutual fund families began offering "lifecycle" funds designed to carry investors from one stage of life to the next. The idea is to offer investors three types of funds -- high growth, average growth, and low growth -- that they can switch between as their risk tolerance changes once they move from youth to middle age to retirement.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Institutional </w:t>
      </w:r>
      <w:r w:rsidR="003A04ED" w:rsidRPr="00B71316">
        <w:rPr>
          <w:rFonts w:ascii="Arial" w:hAnsi="Arial" w:cs="Arial"/>
          <w:sz w:val="20"/>
          <w:szCs w:val="20"/>
        </w:rPr>
        <w:t>Funds: Institutional</w:t>
      </w:r>
      <w:r w:rsidRPr="00B71316">
        <w:rPr>
          <w:rFonts w:ascii="Arial" w:hAnsi="Arial" w:cs="Arial"/>
          <w:sz w:val="20"/>
          <w:szCs w:val="20"/>
        </w:rPr>
        <w:t xml:space="preserve"> funds are mutual funds that target pension funds, endowments, wealthy and other multi-million dollar investors. Their main objective is to reduce risk, so they invest in hundreds of different securities, which makes these funds among the most diversified funds available.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Socially Responsible Funds: Perhaps the most subjective of all the types of mutual funds, socially responsible funds aim to invest only in companies that adhere to certain ethical and moral principles. Some examples include: funds that only invest in environmentally conscious companies ("green funds"), hospitals and health care centers, and funds that avoid investing in alcohol or tobacco companies. Socially responsible funds try to maximize returns while staying within these self-imposed boundaries.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Contrarian Funds: Contrarian funds seek to make a profit by investing in the opposite direction of the prevailing market sentiment. Contrarian funds will invest in </w:t>
      </w:r>
      <w:r w:rsidRPr="00B71316">
        <w:rPr>
          <w:rFonts w:ascii="Arial" w:hAnsi="Arial" w:cs="Arial"/>
          <w:sz w:val="20"/>
          <w:szCs w:val="20"/>
        </w:rPr>
        <w:lastRenderedPageBreak/>
        <w:t xml:space="preserve">bonds when the stock market is high (in anticipation that it will fall) and stocks when the stock market is low (in anticipation it will rise).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GIC Funds: GIC funds are mutual funds that invest solely in guaranteed investment contracts (GICs). GICs are fixed income debt instruments sold by insurance companies to pensions and other types of retirement plans.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Market Neutral Funds: Neutral funds attempt to provide a higher return than the risk-free rate (the rate on Treasury bills) while neutralizing their risk to zero. They try to accomplish this by fully hedging their portfolios through a series of long and short positions aimed at balancing off any risks to equal zero. Leveraging is used to earn a higher rate of return than the risk-free rate.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 xml:space="preserve">Option and Futures Funds: Option and futures funds are among the most risky mutual funds available. This is because the fund does not own the securities underlying the options or the futures; it only owns the right or the obligation to buy or sell those securities at a certain date in the future. The goal of option and futures funds is primarily capital appreciation, although sometimes they are used to hedge against prevailing market conditions. </w:t>
      </w:r>
    </w:p>
    <w:p w:rsidR="006671BF" w:rsidRPr="00B71316" w:rsidRDefault="006671BF" w:rsidP="006671BF">
      <w:pPr>
        <w:pStyle w:val="body"/>
        <w:spacing w:before="120" w:after="120" w:line="240" w:lineRule="atLeast"/>
        <w:ind w:left="1152"/>
        <w:jc w:val="both"/>
        <w:rPr>
          <w:rFonts w:ascii="Arial" w:hAnsi="Arial" w:cs="Arial"/>
          <w:sz w:val="20"/>
          <w:szCs w:val="20"/>
        </w:rPr>
      </w:pPr>
      <w:r w:rsidRPr="00B71316">
        <w:rPr>
          <w:rFonts w:ascii="Arial" w:hAnsi="Arial" w:cs="Arial"/>
          <w:sz w:val="20"/>
          <w:szCs w:val="20"/>
        </w:rPr>
        <w:t>Dual-Purpose Fund: As with some stocks, certain closed-end funds distinguish between common shareholders and preferred shareholders -- these funds are called dual-purpose funds. As the name suggests, common shareholders receive all distributions from capital gains, while preferred shareholders receive all dividend and interest income. These funds have a set expiration date, at which time all preferred shares in the fund are redeemed, giving the common shareholders sole ownership of the fund. Those shareholders then decide whether to liquidate the fund and divide up the proceeds or to convert the fund into an open-end mutual fund.</w:t>
      </w:r>
    </w:p>
    <w:p w:rsidR="006671BF" w:rsidRPr="004D13E0" w:rsidRDefault="006671BF" w:rsidP="006671BF">
      <w:pPr>
        <w:numPr>
          <w:ilvl w:val="0"/>
          <w:numId w:val="55"/>
        </w:numPr>
        <w:autoSpaceDE w:val="0"/>
        <w:autoSpaceDN w:val="0"/>
        <w:adjustRightInd w:val="0"/>
        <w:jc w:val="both"/>
        <w:rPr>
          <w:rFonts w:ascii="Arial" w:hAnsi="Arial" w:cs="Arial"/>
          <w:i/>
          <w:sz w:val="20"/>
          <w:szCs w:val="20"/>
        </w:rPr>
      </w:pPr>
      <w:r w:rsidRPr="004D13E0">
        <w:rPr>
          <w:rFonts w:ascii="Arial" w:hAnsi="Arial" w:cs="Arial"/>
          <w:i/>
          <w:sz w:val="20"/>
          <w:szCs w:val="20"/>
        </w:rPr>
        <w:t>By Risk Profile</w:t>
      </w:r>
    </w:p>
    <w:p w:rsidR="006671BF" w:rsidRPr="004B3BDF" w:rsidRDefault="006671BF" w:rsidP="006671BF">
      <w:pPr>
        <w:pStyle w:val="body"/>
        <w:spacing w:before="120" w:after="120" w:line="240" w:lineRule="auto"/>
        <w:ind w:left="1152"/>
        <w:jc w:val="both"/>
        <w:rPr>
          <w:rFonts w:ascii="Arial" w:hAnsi="Arial" w:cs="Arial"/>
          <w:szCs w:val="22"/>
        </w:rPr>
      </w:pPr>
      <w:r w:rsidRPr="009129DB">
        <w:rPr>
          <w:rFonts w:ascii="Arial" w:hAnsi="Arial" w:cs="Arial"/>
          <w:sz w:val="20"/>
          <w:szCs w:val="20"/>
        </w:rPr>
        <w:t>The nature of a fund’s portfolio and its investment objective imply different levels of risk undertaken.  Funds are therefore often grouped in order of risk. There are specialized funds on this theme like Capital Protection Funds, Fixed Maturity Plan etc. Generally the Money Market Mutual Funds, Government Bond Funds, Diversified Debt Funds are considered to be the least risky whereas Aggressive Growth Funds, High Yield Debt Funds are considered to be the most risky.</w:t>
      </w:r>
    </w:p>
    <w:p w:rsidR="006671BF" w:rsidRPr="004D13E0" w:rsidRDefault="006671BF" w:rsidP="006671BF">
      <w:pPr>
        <w:numPr>
          <w:ilvl w:val="0"/>
          <w:numId w:val="55"/>
        </w:numPr>
        <w:autoSpaceDE w:val="0"/>
        <w:autoSpaceDN w:val="0"/>
        <w:adjustRightInd w:val="0"/>
        <w:jc w:val="both"/>
        <w:rPr>
          <w:rFonts w:ascii="Arial" w:hAnsi="Arial" w:cs="Arial"/>
          <w:i/>
          <w:sz w:val="20"/>
          <w:szCs w:val="20"/>
        </w:rPr>
      </w:pPr>
      <w:r w:rsidRPr="004D13E0">
        <w:rPr>
          <w:rFonts w:ascii="Arial" w:hAnsi="Arial" w:cs="Arial"/>
          <w:i/>
          <w:sz w:val="20"/>
          <w:szCs w:val="20"/>
        </w:rPr>
        <w:t>By Investment / Withdrawal Pattern</w:t>
      </w:r>
    </w:p>
    <w:p w:rsidR="006671BF" w:rsidRPr="00545C21" w:rsidRDefault="006671BF" w:rsidP="006671BF">
      <w:pPr>
        <w:pStyle w:val="body"/>
        <w:spacing w:before="120" w:after="120" w:line="240" w:lineRule="auto"/>
        <w:ind w:left="1152"/>
        <w:jc w:val="both"/>
        <w:rPr>
          <w:rFonts w:ascii="Arial" w:hAnsi="Arial" w:cs="Arial"/>
          <w:sz w:val="20"/>
          <w:szCs w:val="20"/>
        </w:rPr>
      </w:pPr>
      <w:r w:rsidRPr="00545C21">
        <w:rPr>
          <w:rFonts w:ascii="Arial" w:hAnsi="Arial" w:cs="Arial"/>
          <w:sz w:val="20"/>
          <w:szCs w:val="20"/>
        </w:rPr>
        <w:t xml:space="preserve">Systematic Investment Plan: SIP or Automatic Investment Plan automatically enables the investor to invest a pre-set amount of money into the fund of his choice at regular intervals. He can decide on how often to invest and how much to invest. </w:t>
      </w:r>
    </w:p>
    <w:p w:rsidR="006671BF" w:rsidRPr="00545C21" w:rsidRDefault="006671BF" w:rsidP="006671BF">
      <w:pPr>
        <w:pStyle w:val="body"/>
        <w:spacing w:before="120" w:after="120" w:line="240" w:lineRule="auto"/>
        <w:ind w:left="1152"/>
        <w:jc w:val="both"/>
        <w:rPr>
          <w:rFonts w:ascii="Arial" w:hAnsi="Arial" w:cs="Arial"/>
          <w:sz w:val="20"/>
          <w:szCs w:val="20"/>
        </w:rPr>
      </w:pPr>
      <w:r w:rsidRPr="00545C21">
        <w:rPr>
          <w:rFonts w:ascii="Arial" w:hAnsi="Arial" w:cs="Arial"/>
          <w:sz w:val="20"/>
          <w:szCs w:val="20"/>
        </w:rPr>
        <w:t xml:space="preserve">Systematic Withdrawal Plan: SWP or Automatic Withdrawal Plan enables investors to receive regular amount from their mutual fund investment portfolio at fixed intervals without the need to contact the mutual fund each time. With SWP, investors have the facility of receiving a regular </w:t>
      </w:r>
      <w:proofErr w:type="spellStart"/>
      <w:r w:rsidRPr="00545C21">
        <w:rPr>
          <w:rFonts w:ascii="Arial" w:hAnsi="Arial" w:cs="Arial"/>
          <w:sz w:val="20"/>
          <w:szCs w:val="20"/>
        </w:rPr>
        <w:t>cheque</w:t>
      </w:r>
      <w:proofErr w:type="spellEnd"/>
      <w:r w:rsidRPr="00545C21">
        <w:rPr>
          <w:rFonts w:ascii="Arial" w:hAnsi="Arial" w:cs="Arial"/>
          <w:sz w:val="20"/>
          <w:szCs w:val="20"/>
        </w:rPr>
        <w:t xml:space="preserve"> on a monthly, quarterly or half-yearly basis. However, the investor himself can decide the frequency of SWP.</w:t>
      </w:r>
    </w:p>
    <w:p w:rsidR="00814BEB" w:rsidRDefault="00E732DA">
      <w:pPr>
        <w:pStyle w:val="Heading2"/>
        <w:keepNext w:val="0"/>
        <w:spacing w:before="120" w:after="120" w:line="240" w:lineRule="atLeast"/>
        <w:ind w:left="0" w:firstLine="0"/>
        <w:jc w:val="both"/>
      </w:pPr>
      <w:bookmarkStart w:id="515" w:name="_Toc226530555"/>
      <w:r w:rsidRPr="00E732DA">
        <w:t>Distribution of Mutual Funds</w:t>
      </w:r>
      <w:bookmarkEnd w:id="515"/>
      <w:r w:rsidRPr="00E732DA">
        <w:t xml:space="preserve"> </w:t>
      </w:r>
    </w:p>
    <w:p w:rsidR="00814BEB" w:rsidRDefault="00F236BD">
      <w:pPr>
        <w:tabs>
          <w:tab w:val="left" w:pos="720"/>
        </w:tabs>
        <w:rPr>
          <w:rFonts w:ascii="Arial" w:hAnsi="Arial" w:cs="Arial"/>
          <w:sz w:val="20"/>
          <w:szCs w:val="20"/>
        </w:rPr>
      </w:pPr>
      <w:r w:rsidRPr="00F236BD">
        <w:rPr>
          <w:rFonts w:ascii="Arial" w:hAnsi="Arial" w:cs="Arial"/>
          <w:sz w:val="20"/>
          <w:szCs w:val="20"/>
        </w:rPr>
        <w:lastRenderedPageBreak/>
        <w:t>Mutual funds are sold through five principal distribution channels:</w:t>
      </w:r>
      <w:r w:rsidR="00417C70">
        <w:rPr>
          <w:rFonts w:ascii="Arial" w:hAnsi="Arial" w:cs="Arial"/>
          <w:sz w:val="20"/>
          <w:szCs w:val="20"/>
        </w:rPr>
        <w:t xml:space="preserve"> </w:t>
      </w:r>
      <w:r w:rsidRPr="00F236BD">
        <w:rPr>
          <w:rFonts w:ascii="Arial" w:hAnsi="Arial" w:cs="Arial"/>
          <w:sz w:val="20"/>
          <w:szCs w:val="20"/>
        </w:rPr>
        <w:t>(1) the direct channel, (2) the advice channel, (3) the retirement plan</w:t>
      </w:r>
      <w:r w:rsidR="00417C70">
        <w:rPr>
          <w:rFonts w:ascii="Arial" w:hAnsi="Arial" w:cs="Arial"/>
          <w:sz w:val="20"/>
          <w:szCs w:val="20"/>
        </w:rPr>
        <w:t xml:space="preserve"> </w:t>
      </w:r>
      <w:r w:rsidRPr="00F236BD">
        <w:rPr>
          <w:rFonts w:ascii="Arial" w:hAnsi="Arial" w:cs="Arial"/>
          <w:sz w:val="20"/>
          <w:szCs w:val="20"/>
        </w:rPr>
        <w:t>channel, (4) the supermarket channel, and (5) the institutional</w:t>
      </w:r>
      <w:r w:rsidR="00417C70">
        <w:rPr>
          <w:rFonts w:ascii="Arial" w:hAnsi="Arial" w:cs="Arial"/>
          <w:sz w:val="20"/>
          <w:szCs w:val="20"/>
        </w:rPr>
        <w:t xml:space="preserve"> </w:t>
      </w:r>
      <w:r w:rsidRPr="00F236BD">
        <w:rPr>
          <w:rFonts w:ascii="Arial" w:hAnsi="Arial" w:cs="Arial"/>
          <w:sz w:val="20"/>
          <w:szCs w:val="20"/>
        </w:rPr>
        <w:t>channel.</w:t>
      </w:r>
      <w:r w:rsidR="00417C70">
        <w:rPr>
          <w:rFonts w:ascii="Arial" w:hAnsi="Arial" w:cs="Arial"/>
          <w:sz w:val="20"/>
          <w:szCs w:val="20"/>
        </w:rPr>
        <w:t xml:space="preserve"> </w:t>
      </w:r>
    </w:p>
    <w:p w:rsidR="00814BEB" w:rsidRDefault="00F236BD">
      <w:pPr>
        <w:pStyle w:val="body"/>
        <w:numPr>
          <w:ilvl w:val="0"/>
          <w:numId w:val="5"/>
        </w:numPr>
        <w:spacing w:after="120" w:afterAutospacing="0" w:line="240" w:lineRule="auto"/>
        <w:jc w:val="both"/>
        <w:rPr>
          <w:rFonts w:ascii="Arial" w:hAnsi="Arial" w:cs="Arial"/>
          <w:sz w:val="20"/>
          <w:szCs w:val="20"/>
        </w:rPr>
      </w:pPr>
      <w:r w:rsidRPr="00F236BD">
        <w:rPr>
          <w:rFonts w:ascii="Arial" w:hAnsi="Arial" w:cs="Arial"/>
          <w:sz w:val="20"/>
          <w:szCs w:val="20"/>
        </w:rPr>
        <w:t>The first four channels primarily serve individual investors. In the</w:t>
      </w:r>
      <w:r w:rsidR="00417C70">
        <w:rPr>
          <w:rFonts w:ascii="Arial" w:hAnsi="Arial" w:cs="Arial"/>
          <w:sz w:val="20"/>
          <w:szCs w:val="20"/>
        </w:rPr>
        <w:t xml:space="preserve"> </w:t>
      </w:r>
      <w:r w:rsidRPr="00F236BD">
        <w:rPr>
          <w:rFonts w:ascii="Arial" w:hAnsi="Arial" w:cs="Arial"/>
          <w:sz w:val="20"/>
          <w:szCs w:val="20"/>
        </w:rPr>
        <w:t>direct channel, investors carry out transactions directly with mutual</w:t>
      </w:r>
      <w:r w:rsidR="00417C70">
        <w:rPr>
          <w:rFonts w:ascii="Arial" w:hAnsi="Arial" w:cs="Arial"/>
          <w:sz w:val="20"/>
          <w:szCs w:val="20"/>
        </w:rPr>
        <w:t xml:space="preserve"> </w:t>
      </w:r>
      <w:r w:rsidRPr="00F236BD">
        <w:rPr>
          <w:rFonts w:ascii="Arial" w:hAnsi="Arial" w:cs="Arial"/>
          <w:sz w:val="20"/>
          <w:szCs w:val="20"/>
        </w:rPr>
        <w:t>funds. In the advice, retirement plan, and supermarket channels,</w:t>
      </w:r>
      <w:r w:rsidR="00417C70">
        <w:rPr>
          <w:rFonts w:ascii="Arial" w:hAnsi="Arial" w:cs="Arial"/>
          <w:sz w:val="20"/>
          <w:szCs w:val="20"/>
        </w:rPr>
        <w:t xml:space="preserve"> </w:t>
      </w:r>
      <w:r w:rsidRPr="00F236BD">
        <w:rPr>
          <w:rFonts w:ascii="Arial" w:hAnsi="Arial" w:cs="Arial"/>
          <w:sz w:val="20"/>
          <w:szCs w:val="20"/>
        </w:rPr>
        <w:t>individual investors use third parties or intermediaries that conduct</w:t>
      </w:r>
      <w:r w:rsidR="00417C70">
        <w:rPr>
          <w:rFonts w:ascii="Arial" w:hAnsi="Arial" w:cs="Arial"/>
          <w:sz w:val="20"/>
          <w:szCs w:val="20"/>
        </w:rPr>
        <w:t xml:space="preserve"> </w:t>
      </w:r>
      <w:r w:rsidRPr="00F236BD">
        <w:rPr>
          <w:rFonts w:ascii="Arial" w:hAnsi="Arial" w:cs="Arial"/>
          <w:sz w:val="20"/>
          <w:szCs w:val="20"/>
        </w:rPr>
        <w:t>transactions with mutual funds on their behalf. Third parties also</w:t>
      </w:r>
      <w:r w:rsidR="00417C70">
        <w:rPr>
          <w:rFonts w:ascii="Arial" w:hAnsi="Arial" w:cs="Arial"/>
          <w:sz w:val="20"/>
          <w:szCs w:val="20"/>
        </w:rPr>
        <w:t xml:space="preserve"> </w:t>
      </w:r>
      <w:r w:rsidRPr="00F236BD">
        <w:rPr>
          <w:rFonts w:ascii="Arial" w:hAnsi="Arial" w:cs="Arial"/>
          <w:sz w:val="20"/>
          <w:szCs w:val="20"/>
        </w:rPr>
        <w:t>provide services to fund investors on behalf of mutual funds.</w:t>
      </w:r>
    </w:p>
    <w:p w:rsidR="00814BEB" w:rsidRDefault="00F236BD">
      <w:pPr>
        <w:pStyle w:val="body"/>
        <w:numPr>
          <w:ilvl w:val="0"/>
          <w:numId w:val="5"/>
        </w:numPr>
        <w:spacing w:after="120" w:afterAutospacing="0" w:line="240" w:lineRule="auto"/>
        <w:jc w:val="both"/>
        <w:rPr>
          <w:rFonts w:ascii="Arial" w:hAnsi="Arial" w:cs="Arial"/>
          <w:sz w:val="20"/>
          <w:szCs w:val="20"/>
        </w:rPr>
      </w:pPr>
      <w:r w:rsidRPr="00F236BD">
        <w:rPr>
          <w:rFonts w:ascii="Arial" w:hAnsi="Arial" w:cs="Arial"/>
          <w:sz w:val="20"/>
          <w:szCs w:val="20"/>
        </w:rPr>
        <w:t>The most important feature of the advice channel is the provision</w:t>
      </w:r>
      <w:r w:rsidR="00417C70">
        <w:rPr>
          <w:rFonts w:ascii="Arial" w:hAnsi="Arial" w:cs="Arial"/>
          <w:sz w:val="20"/>
          <w:szCs w:val="20"/>
        </w:rPr>
        <w:t xml:space="preserve"> </w:t>
      </w:r>
      <w:r w:rsidRPr="00F236BD">
        <w:rPr>
          <w:rFonts w:ascii="Arial" w:hAnsi="Arial" w:cs="Arial"/>
          <w:sz w:val="20"/>
          <w:szCs w:val="20"/>
        </w:rPr>
        <w:t>of investment advice and ongoing assistance to fund investors by</w:t>
      </w:r>
      <w:r w:rsidR="00417C70">
        <w:rPr>
          <w:rFonts w:ascii="Arial" w:hAnsi="Arial" w:cs="Arial"/>
          <w:sz w:val="20"/>
          <w:szCs w:val="20"/>
        </w:rPr>
        <w:t xml:space="preserve"> </w:t>
      </w:r>
      <w:r w:rsidRPr="00F236BD">
        <w:rPr>
          <w:rFonts w:ascii="Arial" w:hAnsi="Arial" w:cs="Arial"/>
          <w:sz w:val="20"/>
          <w:szCs w:val="20"/>
        </w:rPr>
        <w:t>financial advisers at full-service securities firms, banks, insurance</w:t>
      </w:r>
      <w:r w:rsidR="00417C70">
        <w:rPr>
          <w:rFonts w:ascii="Arial" w:hAnsi="Arial" w:cs="Arial"/>
          <w:sz w:val="20"/>
          <w:szCs w:val="20"/>
        </w:rPr>
        <w:t xml:space="preserve"> </w:t>
      </w:r>
      <w:r w:rsidRPr="00F236BD">
        <w:rPr>
          <w:rFonts w:ascii="Arial" w:hAnsi="Arial" w:cs="Arial"/>
          <w:sz w:val="20"/>
          <w:szCs w:val="20"/>
        </w:rPr>
        <w:t>agencies, and financial planning firms. Advisers are compensated</w:t>
      </w:r>
      <w:r w:rsidR="00417C70">
        <w:rPr>
          <w:rFonts w:ascii="Arial" w:hAnsi="Arial" w:cs="Arial"/>
          <w:sz w:val="20"/>
          <w:szCs w:val="20"/>
        </w:rPr>
        <w:t xml:space="preserve"> </w:t>
      </w:r>
      <w:r w:rsidRPr="00F236BD">
        <w:rPr>
          <w:rFonts w:ascii="Arial" w:hAnsi="Arial" w:cs="Arial"/>
          <w:sz w:val="20"/>
          <w:szCs w:val="20"/>
        </w:rPr>
        <w:t>through sales loads or from asset-based fees.</w:t>
      </w:r>
    </w:p>
    <w:p w:rsidR="00814BEB" w:rsidRDefault="00F236BD">
      <w:pPr>
        <w:pStyle w:val="body"/>
        <w:numPr>
          <w:ilvl w:val="0"/>
          <w:numId w:val="5"/>
        </w:numPr>
        <w:spacing w:after="120" w:afterAutospacing="0" w:line="240" w:lineRule="auto"/>
        <w:jc w:val="both"/>
        <w:rPr>
          <w:rFonts w:ascii="Arial" w:hAnsi="Arial" w:cs="Arial"/>
          <w:sz w:val="20"/>
          <w:szCs w:val="20"/>
        </w:rPr>
      </w:pPr>
      <w:r w:rsidRPr="00F236BD">
        <w:rPr>
          <w:rFonts w:ascii="Arial" w:hAnsi="Arial" w:cs="Arial"/>
          <w:sz w:val="20"/>
          <w:szCs w:val="20"/>
        </w:rPr>
        <w:t>The retirement plan channel primarily consists of employer-sponsored</w:t>
      </w:r>
      <w:r w:rsidR="00417C70">
        <w:rPr>
          <w:rFonts w:ascii="Arial" w:hAnsi="Arial" w:cs="Arial"/>
          <w:sz w:val="20"/>
          <w:szCs w:val="20"/>
        </w:rPr>
        <w:t xml:space="preserve"> </w:t>
      </w:r>
      <w:r w:rsidRPr="00F236BD">
        <w:rPr>
          <w:rFonts w:ascii="Arial" w:hAnsi="Arial" w:cs="Arial"/>
          <w:sz w:val="20"/>
          <w:szCs w:val="20"/>
        </w:rPr>
        <w:t>defined contribution plans in which employers provide mutual funds</w:t>
      </w:r>
      <w:r w:rsidR="00417C70">
        <w:rPr>
          <w:rFonts w:ascii="Arial" w:hAnsi="Arial" w:cs="Arial"/>
          <w:sz w:val="20"/>
          <w:szCs w:val="20"/>
        </w:rPr>
        <w:t xml:space="preserve"> </w:t>
      </w:r>
      <w:r w:rsidRPr="00F236BD">
        <w:rPr>
          <w:rFonts w:ascii="Arial" w:hAnsi="Arial" w:cs="Arial"/>
          <w:sz w:val="20"/>
          <w:szCs w:val="20"/>
        </w:rPr>
        <w:t>and other investments for purchase by plan participants through</w:t>
      </w:r>
      <w:r w:rsidR="00417C70">
        <w:rPr>
          <w:rFonts w:ascii="Arial" w:hAnsi="Arial" w:cs="Arial"/>
          <w:sz w:val="20"/>
          <w:szCs w:val="20"/>
        </w:rPr>
        <w:t xml:space="preserve"> </w:t>
      </w:r>
      <w:r w:rsidRPr="00F236BD">
        <w:rPr>
          <w:rFonts w:ascii="Arial" w:hAnsi="Arial" w:cs="Arial"/>
          <w:sz w:val="20"/>
          <w:szCs w:val="20"/>
        </w:rPr>
        <w:t>payroll deductions.</w:t>
      </w:r>
    </w:p>
    <w:p w:rsidR="00814BEB" w:rsidRDefault="00F236BD">
      <w:pPr>
        <w:pStyle w:val="body"/>
        <w:numPr>
          <w:ilvl w:val="0"/>
          <w:numId w:val="5"/>
        </w:numPr>
        <w:spacing w:after="120" w:afterAutospacing="0" w:line="240" w:lineRule="auto"/>
        <w:jc w:val="both"/>
        <w:rPr>
          <w:rFonts w:ascii="Arial" w:hAnsi="Arial" w:cs="Arial"/>
          <w:sz w:val="20"/>
          <w:szCs w:val="20"/>
        </w:rPr>
      </w:pPr>
      <w:r w:rsidRPr="00F236BD">
        <w:rPr>
          <w:rFonts w:ascii="Arial" w:hAnsi="Arial" w:cs="Arial"/>
          <w:sz w:val="20"/>
          <w:szCs w:val="20"/>
        </w:rPr>
        <w:t>The supermarket channel is made up of discount brokers that offer</w:t>
      </w:r>
      <w:r w:rsidR="00417C70">
        <w:rPr>
          <w:rFonts w:ascii="Arial" w:hAnsi="Arial" w:cs="Arial"/>
          <w:sz w:val="20"/>
          <w:szCs w:val="20"/>
        </w:rPr>
        <w:t xml:space="preserve"> </w:t>
      </w:r>
      <w:r w:rsidRPr="00F236BD">
        <w:rPr>
          <w:rFonts w:ascii="Arial" w:hAnsi="Arial" w:cs="Arial"/>
          <w:sz w:val="20"/>
          <w:szCs w:val="20"/>
        </w:rPr>
        <w:t>mutual funds from a large number of fund sponsors. Many of the fund</w:t>
      </w:r>
      <w:r w:rsidR="00417C70">
        <w:rPr>
          <w:rFonts w:ascii="Arial" w:hAnsi="Arial" w:cs="Arial"/>
          <w:sz w:val="20"/>
          <w:szCs w:val="20"/>
        </w:rPr>
        <w:t xml:space="preserve"> </w:t>
      </w:r>
      <w:r w:rsidRPr="00F236BD">
        <w:rPr>
          <w:rFonts w:ascii="Arial" w:hAnsi="Arial" w:cs="Arial"/>
          <w:sz w:val="20"/>
          <w:szCs w:val="20"/>
        </w:rPr>
        <w:t>offerings are subject to no transaction charges or sales loads.</w:t>
      </w:r>
    </w:p>
    <w:p w:rsidR="00814BEB" w:rsidRDefault="00F236BD">
      <w:pPr>
        <w:pStyle w:val="body"/>
        <w:numPr>
          <w:ilvl w:val="0"/>
          <w:numId w:val="5"/>
        </w:numPr>
        <w:spacing w:after="120" w:afterAutospacing="0" w:line="240" w:lineRule="auto"/>
        <w:jc w:val="both"/>
        <w:rPr>
          <w:rFonts w:ascii="Arial" w:hAnsi="Arial" w:cs="Arial"/>
          <w:sz w:val="20"/>
          <w:szCs w:val="20"/>
        </w:rPr>
      </w:pPr>
      <w:r w:rsidRPr="00F236BD">
        <w:rPr>
          <w:rFonts w:ascii="Arial" w:hAnsi="Arial" w:cs="Arial"/>
          <w:sz w:val="20"/>
          <w:szCs w:val="20"/>
        </w:rPr>
        <w:t>Businesses, financial institutions, endowments, foundations, and</w:t>
      </w:r>
      <w:r w:rsidR="00417C70">
        <w:rPr>
          <w:rFonts w:ascii="Arial" w:hAnsi="Arial" w:cs="Arial"/>
          <w:sz w:val="20"/>
          <w:szCs w:val="20"/>
        </w:rPr>
        <w:t xml:space="preserve"> </w:t>
      </w:r>
      <w:r w:rsidRPr="00F236BD">
        <w:rPr>
          <w:rFonts w:ascii="Arial" w:hAnsi="Arial" w:cs="Arial"/>
          <w:sz w:val="20"/>
          <w:szCs w:val="20"/>
        </w:rPr>
        <w:t>other institutional investors use the institutional channel to conduct</w:t>
      </w:r>
      <w:r w:rsidR="00417C70">
        <w:rPr>
          <w:rFonts w:ascii="Arial" w:hAnsi="Arial" w:cs="Arial"/>
          <w:sz w:val="20"/>
          <w:szCs w:val="20"/>
        </w:rPr>
        <w:t xml:space="preserve"> </w:t>
      </w:r>
      <w:r w:rsidRPr="00F236BD">
        <w:rPr>
          <w:rFonts w:ascii="Arial" w:hAnsi="Arial" w:cs="Arial"/>
          <w:sz w:val="20"/>
          <w:szCs w:val="20"/>
        </w:rPr>
        <w:t>transactions either directly with mutual funds or through third parties.</w:t>
      </w:r>
    </w:p>
    <w:p w:rsidR="00814BEB" w:rsidRDefault="00417C70">
      <w:pPr>
        <w:pStyle w:val="body"/>
        <w:spacing w:after="120"/>
        <w:jc w:val="both"/>
        <w:rPr>
          <w:rFonts w:ascii="Arial" w:hAnsi="Arial" w:cs="Arial"/>
          <w:sz w:val="20"/>
          <w:szCs w:val="20"/>
        </w:rPr>
      </w:pPr>
      <w:r w:rsidRPr="00417C70">
        <w:rPr>
          <w:rFonts w:ascii="Arial" w:hAnsi="Arial" w:cs="Arial"/>
          <w:sz w:val="20"/>
          <w:szCs w:val="20"/>
        </w:rPr>
        <w:t>As a share of mutual fund assets, the advice channel is the largest</w:t>
      </w:r>
      <w:r>
        <w:rPr>
          <w:rFonts w:ascii="Arial" w:hAnsi="Arial" w:cs="Arial"/>
          <w:sz w:val="20"/>
          <w:szCs w:val="20"/>
        </w:rPr>
        <w:t xml:space="preserve">, </w:t>
      </w:r>
      <w:r w:rsidRPr="00417C70">
        <w:rPr>
          <w:rFonts w:ascii="Arial" w:hAnsi="Arial" w:cs="Arial"/>
          <w:sz w:val="20"/>
          <w:szCs w:val="20"/>
        </w:rPr>
        <w:t>accounting for an estimated 55 percent of all mutual fund assets at the</w:t>
      </w:r>
      <w:r>
        <w:rPr>
          <w:rFonts w:ascii="Arial" w:hAnsi="Arial" w:cs="Arial"/>
          <w:sz w:val="20"/>
          <w:szCs w:val="20"/>
        </w:rPr>
        <w:t xml:space="preserve"> </w:t>
      </w:r>
      <w:r w:rsidRPr="00417C70">
        <w:rPr>
          <w:rFonts w:ascii="Arial" w:hAnsi="Arial" w:cs="Arial"/>
          <w:sz w:val="20"/>
          <w:szCs w:val="20"/>
        </w:rPr>
        <w:t>end of 2002. The retirement plan channel is second in size</w:t>
      </w:r>
      <w:r>
        <w:rPr>
          <w:rFonts w:ascii="Arial" w:hAnsi="Arial" w:cs="Arial"/>
          <w:sz w:val="20"/>
          <w:szCs w:val="20"/>
        </w:rPr>
        <w:t xml:space="preserve"> </w:t>
      </w:r>
      <w:r w:rsidRPr="00417C70">
        <w:rPr>
          <w:rFonts w:ascii="Arial" w:hAnsi="Arial" w:cs="Arial"/>
          <w:sz w:val="20"/>
          <w:szCs w:val="20"/>
        </w:rPr>
        <w:t>with an asset share of 16 percent. The institutional channel has an</w:t>
      </w:r>
      <w:r>
        <w:rPr>
          <w:rFonts w:ascii="Arial" w:hAnsi="Arial" w:cs="Arial"/>
          <w:sz w:val="20"/>
          <w:szCs w:val="20"/>
        </w:rPr>
        <w:t xml:space="preserve"> </w:t>
      </w:r>
      <w:r w:rsidRPr="00417C70">
        <w:rPr>
          <w:rFonts w:ascii="Arial" w:hAnsi="Arial" w:cs="Arial"/>
          <w:sz w:val="20"/>
          <w:szCs w:val="20"/>
        </w:rPr>
        <w:t>estimated 13 percent, the direct channel 12 percent, and the supermarket</w:t>
      </w:r>
      <w:r>
        <w:rPr>
          <w:rFonts w:ascii="Arial" w:hAnsi="Arial" w:cs="Arial"/>
          <w:sz w:val="20"/>
          <w:szCs w:val="20"/>
        </w:rPr>
        <w:t xml:space="preserve"> </w:t>
      </w:r>
      <w:r w:rsidRPr="00417C70">
        <w:rPr>
          <w:rFonts w:ascii="Arial" w:hAnsi="Arial" w:cs="Arial"/>
          <w:sz w:val="20"/>
          <w:szCs w:val="20"/>
        </w:rPr>
        <w:t>channel 5 percent of all fund assets.</w:t>
      </w:r>
    </w:p>
    <w:p w:rsidR="00814BEB" w:rsidRDefault="00417C70">
      <w:pPr>
        <w:pStyle w:val="body"/>
        <w:spacing w:after="120"/>
        <w:jc w:val="both"/>
        <w:rPr>
          <w:rFonts w:ascii="Arial" w:hAnsi="Arial" w:cs="Arial"/>
          <w:sz w:val="20"/>
          <w:szCs w:val="20"/>
        </w:rPr>
      </w:pPr>
      <w:r w:rsidRPr="00417C70">
        <w:rPr>
          <w:rFonts w:ascii="Arial" w:hAnsi="Arial" w:cs="Arial"/>
          <w:sz w:val="20"/>
          <w:szCs w:val="20"/>
        </w:rPr>
        <w:t>A distribution channel’s asset share, however, does not necessarily</w:t>
      </w:r>
      <w:r>
        <w:rPr>
          <w:rFonts w:ascii="Arial" w:hAnsi="Arial" w:cs="Arial"/>
          <w:sz w:val="20"/>
          <w:szCs w:val="20"/>
        </w:rPr>
        <w:t xml:space="preserve"> </w:t>
      </w:r>
      <w:r w:rsidRPr="00417C70">
        <w:rPr>
          <w:rFonts w:ascii="Arial" w:hAnsi="Arial" w:cs="Arial"/>
          <w:sz w:val="20"/>
          <w:szCs w:val="20"/>
        </w:rPr>
        <w:t>reflect individual investors’ use of that channel.</w:t>
      </w:r>
      <w:r>
        <w:rPr>
          <w:rFonts w:ascii="Arial" w:hAnsi="Arial" w:cs="Arial"/>
          <w:sz w:val="20"/>
          <w:szCs w:val="20"/>
        </w:rPr>
        <w:t xml:space="preserve"> A</w:t>
      </w:r>
      <w:r w:rsidRPr="00417C70">
        <w:rPr>
          <w:rFonts w:ascii="Arial" w:hAnsi="Arial" w:cs="Arial"/>
          <w:sz w:val="20"/>
          <w:szCs w:val="20"/>
        </w:rPr>
        <w:t>verage account sizes are much smaller in the</w:t>
      </w:r>
      <w:r>
        <w:rPr>
          <w:rFonts w:ascii="Arial" w:hAnsi="Arial" w:cs="Arial"/>
          <w:sz w:val="20"/>
          <w:szCs w:val="20"/>
        </w:rPr>
        <w:t xml:space="preserve"> </w:t>
      </w:r>
      <w:r w:rsidRPr="00417C70">
        <w:rPr>
          <w:rFonts w:ascii="Arial" w:hAnsi="Arial" w:cs="Arial"/>
          <w:sz w:val="20"/>
          <w:szCs w:val="20"/>
        </w:rPr>
        <w:t>retirement plan channel than in the adviser channel. In addition, the</w:t>
      </w:r>
      <w:r>
        <w:rPr>
          <w:rFonts w:ascii="Arial" w:hAnsi="Arial" w:cs="Arial"/>
          <w:sz w:val="20"/>
          <w:szCs w:val="20"/>
        </w:rPr>
        <w:t xml:space="preserve"> </w:t>
      </w:r>
      <w:r w:rsidRPr="00417C70">
        <w:rPr>
          <w:rFonts w:ascii="Arial" w:hAnsi="Arial" w:cs="Arial"/>
          <w:sz w:val="20"/>
          <w:szCs w:val="20"/>
        </w:rPr>
        <w:t>presence of assets in other channels often resulted from the rollover of</w:t>
      </w:r>
      <w:r>
        <w:rPr>
          <w:rFonts w:ascii="Arial" w:hAnsi="Arial" w:cs="Arial"/>
          <w:sz w:val="20"/>
          <w:szCs w:val="20"/>
        </w:rPr>
        <w:t xml:space="preserve"> </w:t>
      </w:r>
      <w:r w:rsidRPr="00417C70">
        <w:rPr>
          <w:rFonts w:ascii="Arial" w:hAnsi="Arial" w:cs="Arial"/>
          <w:sz w:val="20"/>
          <w:szCs w:val="20"/>
        </w:rPr>
        <w:t>assets from defined contribution plans, usually triggered by job changes</w:t>
      </w:r>
      <w:r>
        <w:rPr>
          <w:rFonts w:ascii="Arial" w:hAnsi="Arial" w:cs="Arial"/>
          <w:sz w:val="20"/>
          <w:szCs w:val="20"/>
        </w:rPr>
        <w:t xml:space="preserve"> </w:t>
      </w:r>
      <w:r w:rsidRPr="00417C70">
        <w:rPr>
          <w:rFonts w:ascii="Arial" w:hAnsi="Arial" w:cs="Arial"/>
          <w:sz w:val="20"/>
          <w:szCs w:val="20"/>
        </w:rPr>
        <w:t>and retirement.</w:t>
      </w:r>
    </w:p>
    <w:p w:rsidR="00814BEB" w:rsidRDefault="008011A0">
      <w:pPr>
        <w:pStyle w:val="body"/>
        <w:spacing w:after="120"/>
        <w:jc w:val="both"/>
        <w:rPr>
          <w:szCs w:val="20"/>
        </w:rPr>
      </w:pPr>
      <w:r>
        <w:rPr>
          <w:noProof/>
          <w:szCs w:val="20"/>
        </w:rPr>
        <w:lastRenderedPageBreak/>
        <w:drawing>
          <wp:inline distT="0" distB="0" distL="0" distR="0">
            <wp:extent cx="5781675" cy="3762375"/>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8" cstate="print"/>
                    <a:srcRect/>
                    <a:stretch>
                      <a:fillRect/>
                    </a:stretch>
                  </pic:blipFill>
                  <pic:spPr bwMode="auto">
                    <a:xfrm>
                      <a:off x="0" y="0"/>
                      <a:ext cx="5781675" cy="3762375"/>
                    </a:xfrm>
                    <a:prstGeom prst="rect">
                      <a:avLst/>
                    </a:prstGeom>
                    <a:noFill/>
                    <a:ln w="9525">
                      <a:noFill/>
                      <a:miter lim="800000"/>
                      <a:headEnd/>
                      <a:tailEnd/>
                    </a:ln>
                  </pic:spPr>
                </pic:pic>
              </a:graphicData>
            </a:graphic>
          </wp:inline>
        </w:drawing>
      </w:r>
    </w:p>
    <w:p w:rsidR="00814BEB" w:rsidRDefault="00E732DA">
      <w:pPr>
        <w:pStyle w:val="body"/>
        <w:spacing w:after="0" w:afterAutospacing="0"/>
        <w:jc w:val="both"/>
        <w:rPr>
          <w:i/>
          <w:sz w:val="20"/>
          <w:szCs w:val="20"/>
        </w:rPr>
      </w:pPr>
      <w:r w:rsidRPr="00E732DA">
        <w:rPr>
          <w:i/>
          <w:sz w:val="20"/>
          <w:szCs w:val="20"/>
        </w:rPr>
        <w:t>Source: Investment Company Institute (</w:t>
      </w:r>
      <w:hyperlink r:id="rId119" w:history="1">
        <w:r w:rsidRPr="00E732DA">
          <w:rPr>
            <w:rStyle w:val="Hyperlink"/>
            <w:i/>
            <w:sz w:val="20"/>
            <w:szCs w:val="20"/>
          </w:rPr>
          <w:t>www.ici.org</w:t>
        </w:r>
      </w:hyperlink>
      <w:r w:rsidRPr="00E732DA">
        <w:rPr>
          <w:i/>
          <w:sz w:val="20"/>
          <w:szCs w:val="20"/>
        </w:rPr>
        <w:t>)</w:t>
      </w:r>
      <w:r w:rsidR="009F7BBD">
        <w:rPr>
          <w:i/>
          <w:sz w:val="20"/>
          <w:szCs w:val="20"/>
        </w:rPr>
        <w:t xml:space="preserve"> publication “Perspectives” issue July 2003</w:t>
      </w:r>
    </w:p>
    <w:p w:rsidR="0040385F" w:rsidRPr="004B3BDF" w:rsidRDefault="0040385F" w:rsidP="0040385F">
      <w:pPr>
        <w:pStyle w:val="Heading1"/>
        <w:keepNext w:val="0"/>
        <w:spacing w:before="120" w:after="120" w:line="240" w:lineRule="atLeast"/>
        <w:ind w:left="0" w:firstLine="0"/>
        <w:jc w:val="both"/>
      </w:pPr>
      <w:bookmarkStart w:id="516" w:name="_Toc199669407"/>
      <w:bookmarkStart w:id="517" w:name="_Toc199669467"/>
      <w:bookmarkStart w:id="518" w:name="_Toc199669470"/>
      <w:bookmarkStart w:id="519" w:name="_Toc199669473"/>
      <w:bookmarkStart w:id="520" w:name="_Toc199669478"/>
      <w:bookmarkStart w:id="521" w:name="_Toc199669480"/>
      <w:bookmarkStart w:id="522" w:name="_Toc199669482"/>
      <w:bookmarkStart w:id="523" w:name="_Toc199669485"/>
      <w:bookmarkStart w:id="524" w:name="_Toc199669486"/>
      <w:bookmarkStart w:id="525" w:name="_Toc199669495"/>
      <w:bookmarkStart w:id="526" w:name="_Toc199669505"/>
      <w:bookmarkStart w:id="527" w:name="_Toc199669507"/>
      <w:bookmarkStart w:id="528" w:name="_Toc199669512"/>
      <w:bookmarkStart w:id="529" w:name="_Toc199669513"/>
      <w:bookmarkStart w:id="530" w:name="_Toc199669514"/>
      <w:bookmarkStart w:id="531" w:name="_Toc199669516"/>
      <w:bookmarkStart w:id="532" w:name="_Toc199669518"/>
      <w:bookmarkStart w:id="533" w:name="_Toc199669520"/>
      <w:bookmarkStart w:id="534" w:name="_Toc199669523"/>
      <w:bookmarkStart w:id="535" w:name="_Toc199669525"/>
      <w:bookmarkStart w:id="536" w:name="_Toc199669529"/>
      <w:bookmarkStart w:id="537" w:name="_Toc199669532"/>
      <w:bookmarkStart w:id="538" w:name="_Toc199669534"/>
      <w:bookmarkStart w:id="539" w:name="_Toc199669537"/>
      <w:bookmarkStart w:id="540" w:name="_Toc199669538"/>
      <w:bookmarkStart w:id="541" w:name="_Toc199669541"/>
      <w:bookmarkStart w:id="542" w:name="_Toc199669542"/>
      <w:bookmarkStart w:id="543" w:name="_Toc199669544"/>
      <w:bookmarkStart w:id="544" w:name="_Toc199669547"/>
      <w:bookmarkStart w:id="545" w:name="_Toc199669551"/>
      <w:bookmarkStart w:id="546" w:name="_Toc199669553"/>
      <w:bookmarkStart w:id="547" w:name="_Toc199669555"/>
      <w:bookmarkStart w:id="548" w:name="_Toc199669560"/>
      <w:bookmarkStart w:id="549" w:name="_Toc199669562"/>
      <w:bookmarkStart w:id="550" w:name="_Toc199669565"/>
      <w:bookmarkStart w:id="551" w:name="_Toc199669569"/>
      <w:bookmarkStart w:id="552" w:name="_Toc199669570"/>
      <w:bookmarkStart w:id="553" w:name="_Toc199669572"/>
      <w:bookmarkStart w:id="554" w:name="_Toc199669575"/>
      <w:bookmarkStart w:id="555" w:name="_Toc199669576"/>
      <w:bookmarkStart w:id="556" w:name="_Toc199669578"/>
      <w:bookmarkStart w:id="557" w:name="_Toc199669584"/>
      <w:bookmarkStart w:id="558" w:name="_Toc199669587"/>
      <w:bookmarkStart w:id="559" w:name="_Toc199669591"/>
      <w:bookmarkStart w:id="560" w:name="_Toc199669596"/>
      <w:bookmarkStart w:id="561" w:name="_Toc199669599"/>
      <w:bookmarkStart w:id="562" w:name="_Toc199669602"/>
      <w:bookmarkStart w:id="563" w:name="_Toc199669605"/>
      <w:bookmarkStart w:id="564" w:name="_Toc199669608"/>
      <w:bookmarkStart w:id="565" w:name="_Toc199669618"/>
      <w:bookmarkStart w:id="566" w:name="_Toc199669620"/>
      <w:bookmarkStart w:id="567" w:name="_Toc199669621"/>
      <w:bookmarkStart w:id="568" w:name="_Toc199669625"/>
      <w:bookmarkStart w:id="569" w:name="_Toc199669627"/>
      <w:bookmarkStart w:id="570" w:name="_Toc199669629"/>
      <w:bookmarkStart w:id="571" w:name="_Toc199669635"/>
      <w:bookmarkStart w:id="572" w:name="_Toc199669638"/>
      <w:bookmarkStart w:id="573" w:name="_Toc199669642"/>
      <w:bookmarkStart w:id="574" w:name="_Toc199669644"/>
      <w:bookmarkStart w:id="575" w:name="_Toc199669649"/>
      <w:bookmarkStart w:id="576" w:name="_Toc199669651"/>
      <w:bookmarkStart w:id="577" w:name="_Toc199669652"/>
      <w:bookmarkStart w:id="578" w:name="_Toc199669654"/>
      <w:bookmarkStart w:id="579" w:name="_Toc199669655"/>
      <w:bookmarkStart w:id="580" w:name="_Toc199669657"/>
      <w:bookmarkStart w:id="581" w:name="_Toc199669661"/>
      <w:bookmarkStart w:id="582" w:name="_Toc199669664"/>
      <w:bookmarkStart w:id="583" w:name="_Toc199669665"/>
      <w:bookmarkStart w:id="584" w:name="_Toc199669666"/>
      <w:bookmarkStart w:id="585" w:name="_Toc199669667"/>
      <w:bookmarkStart w:id="586" w:name="_Toc199669669"/>
      <w:bookmarkStart w:id="587" w:name="_Toc199669671"/>
      <w:bookmarkStart w:id="588" w:name="_Toc199669673"/>
      <w:bookmarkStart w:id="589" w:name="_Toc199669676"/>
      <w:bookmarkStart w:id="590" w:name="_Toc199669679"/>
      <w:bookmarkStart w:id="591" w:name="_Toc199669681"/>
      <w:bookmarkStart w:id="592" w:name="_Toc199669683"/>
      <w:bookmarkStart w:id="593" w:name="_Toc199669688"/>
      <w:bookmarkStart w:id="594" w:name="_Toc199669691"/>
      <w:bookmarkStart w:id="595" w:name="_Toc199669700"/>
      <w:bookmarkStart w:id="596" w:name="_Toc199669701"/>
      <w:bookmarkStart w:id="597" w:name="_Toc199669704"/>
      <w:bookmarkStart w:id="598" w:name="_Toc199669706"/>
      <w:bookmarkStart w:id="599" w:name="_Toc199669708"/>
      <w:bookmarkStart w:id="600" w:name="_Toc199669709"/>
      <w:bookmarkStart w:id="601" w:name="_Toc199669712"/>
      <w:bookmarkStart w:id="602" w:name="_Toc199669716"/>
      <w:bookmarkStart w:id="603" w:name="_Toc199669721"/>
      <w:bookmarkStart w:id="604" w:name="_Toc226530556"/>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r w:rsidRPr="004B3BDF">
        <w:lastRenderedPageBreak/>
        <w:t>Separately Managed Accounts (SMA)</w:t>
      </w:r>
      <w:bookmarkEnd w:id="603"/>
      <w:bookmarkEnd w:id="604"/>
    </w:p>
    <w:p w:rsidR="0040385F" w:rsidRPr="004B3BDF" w:rsidRDefault="0040385F" w:rsidP="0040385F">
      <w:pPr>
        <w:pStyle w:val="Heading2"/>
        <w:keepNext w:val="0"/>
        <w:spacing w:before="120" w:after="120" w:line="240" w:lineRule="atLeast"/>
        <w:ind w:left="0" w:firstLine="0"/>
        <w:jc w:val="both"/>
      </w:pPr>
      <w:bookmarkStart w:id="605" w:name="_Toc199669722"/>
      <w:bookmarkStart w:id="606" w:name="_Toc226530557"/>
      <w:r w:rsidRPr="004B3BDF">
        <w:t>Introduction</w:t>
      </w:r>
      <w:bookmarkEnd w:id="605"/>
      <w:bookmarkEnd w:id="606"/>
    </w:p>
    <w:p w:rsidR="00835C02" w:rsidRPr="00835C02" w:rsidRDefault="00835C02" w:rsidP="00835C02">
      <w:pPr>
        <w:pStyle w:val="body"/>
        <w:tabs>
          <w:tab w:val="left" w:pos="5115"/>
        </w:tabs>
        <w:spacing w:before="120" w:after="120" w:line="240" w:lineRule="auto"/>
        <w:jc w:val="both"/>
        <w:rPr>
          <w:rFonts w:ascii="Arial" w:hAnsi="Arial" w:cs="Arial"/>
          <w:sz w:val="20"/>
          <w:szCs w:val="20"/>
        </w:rPr>
      </w:pPr>
      <w:r w:rsidRPr="00835C02">
        <w:rPr>
          <w:rFonts w:ascii="Arial" w:hAnsi="Arial" w:cs="Arial"/>
          <w:sz w:val="20"/>
          <w:szCs w:val="20"/>
        </w:rPr>
        <w:t>Separately Managed Accounts (SMA) is investment account maintained with a sponsor of a SMA program, where an investor's funds are placed with one or more money managers. All administrative and management fees, along with commissions are wrapped into one comprehensive fee, which is often paid quarterly. Usually the fees vary from 1% to 3% of the assets. The typical minimum investment is around USD 100,000, though it varies by program. A managed account investment program combines several services in a customized solution to investing. These services include investment planning, policy development, manager search and selection, portfolio management, performance measurement and trade execution. All of these valuable services are wrapped together into a comprehensive investment program. Rather than paying separately for these services, investors using a managed account pay a single fee. There are two types of s</w:t>
      </w:r>
      <w:r>
        <w:rPr>
          <w:rFonts w:ascii="Arial" w:hAnsi="Arial" w:cs="Arial"/>
          <w:sz w:val="20"/>
          <w:szCs w:val="20"/>
        </w:rPr>
        <w:t>eparately managed accounts as below:</w:t>
      </w:r>
    </w:p>
    <w:p w:rsidR="00835C02" w:rsidRPr="00835C02" w:rsidRDefault="00835C02" w:rsidP="00835C02">
      <w:pPr>
        <w:pStyle w:val="Cog-body"/>
        <w:spacing w:line="240" w:lineRule="auto"/>
        <w:ind w:left="0"/>
        <w:rPr>
          <w:szCs w:val="20"/>
        </w:rPr>
      </w:pPr>
      <w:r w:rsidRPr="007E3946">
        <w:rPr>
          <w:bCs/>
          <w:i/>
          <w:szCs w:val="20"/>
          <w:u w:val="single"/>
        </w:rPr>
        <w:t>Bundled Separately Managed Account</w:t>
      </w:r>
      <w:r w:rsidR="007E3946" w:rsidRPr="007E3946">
        <w:rPr>
          <w:bCs/>
          <w:i/>
          <w:szCs w:val="20"/>
          <w:u w:val="single"/>
        </w:rPr>
        <w:t>:</w:t>
      </w:r>
      <w:r w:rsidR="007E3946" w:rsidRPr="007E3946">
        <w:rPr>
          <w:bCs/>
          <w:i/>
          <w:szCs w:val="20"/>
        </w:rPr>
        <w:t xml:space="preserve"> </w:t>
      </w:r>
      <w:r w:rsidRPr="00835C02">
        <w:rPr>
          <w:szCs w:val="20"/>
        </w:rPr>
        <w:t>A bundled separately managed account is one in which the investor pays a single fee for all of the services provided by the separately managed account program. Under this arrangement, the product fee is generally negotiated between the investor and the sponsor, while investment managers are similar to sub-advisors who have little interaction with investors. In a bundled separately managed account, fees paid to an investment manager are negotiated between that firm and the program’s sponsor.</w:t>
      </w:r>
    </w:p>
    <w:p w:rsidR="0040385F" w:rsidRPr="004B3BDF" w:rsidRDefault="00835C02" w:rsidP="000D38EC">
      <w:pPr>
        <w:pStyle w:val="Cog-body"/>
        <w:spacing w:line="240" w:lineRule="auto"/>
        <w:ind w:left="0"/>
      </w:pPr>
      <w:r w:rsidRPr="007E3946">
        <w:rPr>
          <w:bCs/>
          <w:i/>
          <w:u w:val="single"/>
        </w:rPr>
        <w:t>Unbundled Separately Managed Account</w:t>
      </w:r>
      <w:r w:rsidR="007E3946" w:rsidRPr="007E3946">
        <w:rPr>
          <w:bCs/>
          <w:i/>
          <w:u w:val="single"/>
        </w:rPr>
        <w:t>:</w:t>
      </w:r>
      <w:r w:rsidR="007E3946">
        <w:rPr>
          <w:b/>
          <w:bCs/>
        </w:rPr>
        <w:t xml:space="preserve"> </w:t>
      </w:r>
      <w:r w:rsidRPr="00835C02">
        <w:t>An unbundled separately managed account is one in which the investor enters into separate agreements with the program’s investment manager and sponsor. The investor’s agreement with the investment manager details the level of management fees, while the agreement with the sponsor covers all other program services.</w:t>
      </w:r>
    </w:p>
    <w:p w:rsidR="001F2E83" w:rsidRDefault="001F2E83" w:rsidP="0040385F">
      <w:pPr>
        <w:pStyle w:val="Heading2"/>
        <w:keepNext w:val="0"/>
        <w:spacing w:before="120" w:after="120" w:line="240" w:lineRule="atLeast"/>
        <w:ind w:left="0" w:firstLine="0"/>
        <w:jc w:val="both"/>
        <w:rPr>
          <w:szCs w:val="22"/>
        </w:rPr>
      </w:pPr>
      <w:bookmarkStart w:id="607" w:name="_Toc226530558"/>
      <w:bookmarkStart w:id="608" w:name="_Toc199669723"/>
      <w:r>
        <w:rPr>
          <w:szCs w:val="22"/>
        </w:rPr>
        <w:t>Industry Overview</w:t>
      </w:r>
      <w:bookmarkEnd w:id="607"/>
    </w:p>
    <w:p w:rsidR="00FB3A6F" w:rsidRDefault="00FB3A6F" w:rsidP="00FB3A6F">
      <w:pPr>
        <w:pStyle w:val="Cog-body"/>
        <w:spacing w:line="240" w:lineRule="auto"/>
        <w:ind w:left="0"/>
      </w:pPr>
      <w:r>
        <w:t>The Separately Managed Accounts industry traces its origin to 1970s when E.F Hutton the then popular brokerage firm in US started offering Investment consulting services to retail clients. With the formation of Hutton Investment Management in 1975 the first SMA program was offered to investors.</w:t>
      </w:r>
    </w:p>
    <w:p w:rsidR="00FB3A6F" w:rsidRDefault="00FB3A6F" w:rsidP="00FB3A6F">
      <w:pPr>
        <w:pStyle w:val="Cog-body"/>
        <w:spacing w:line="240" w:lineRule="auto"/>
        <w:ind w:left="0"/>
      </w:pPr>
      <w:r>
        <w:t xml:space="preserve">The 1980s saw the entry of the large players like Shearson Lehman Brothers through their Portfolio Management Program and Merrill Lynch who started offering fee based business through their Consults program. Other big players like Prudential and Paine Webber also started testing the SMA </w:t>
      </w:r>
      <w:proofErr w:type="gramStart"/>
      <w:r>
        <w:t>waters</w:t>
      </w:r>
      <w:proofErr w:type="gramEnd"/>
      <w:r>
        <w:t xml:space="preserve">. This period also saw the emergence of technology with </w:t>
      </w:r>
      <w:proofErr w:type="spellStart"/>
      <w:r>
        <w:t>Mobius</w:t>
      </w:r>
      <w:proofErr w:type="spellEnd"/>
      <w:r>
        <w:t xml:space="preserve"> and Security APL (both purchased by </w:t>
      </w:r>
      <w:proofErr w:type="spellStart"/>
      <w:r>
        <w:t>Checkfree</w:t>
      </w:r>
      <w:proofErr w:type="spellEnd"/>
      <w:r>
        <w:t xml:space="preserve"> Investment Services) offering technology solutions.</w:t>
      </w:r>
    </w:p>
    <w:p w:rsidR="00FB3A6F" w:rsidRDefault="00FB3A6F" w:rsidP="00FB3A6F">
      <w:pPr>
        <w:pStyle w:val="Cog-body"/>
        <w:spacing w:line="240" w:lineRule="auto"/>
        <w:ind w:left="0"/>
      </w:pPr>
      <w:r>
        <w:t xml:space="preserve">In early 1990 Mutual Fund SMA </w:t>
      </w:r>
      <w:proofErr w:type="gramStart"/>
      <w:r>
        <w:t>programs</w:t>
      </w:r>
      <w:proofErr w:type="gramEnd"/>
      <w:r>
        <w:t xml:space="preserve"> were offered as alternatives to traditional consultant SMA. By 1993 the mutual fund SMA assets had touched $ 7 billion as opposed to $62 bn. for consultant SMA. The nineties was the golden period for the </w:t>
      </w:r>
      <w:smartTag w:uri="urn:schemas-microsoft-com:office:smarttags" w:element="place">
        <w:smartTag w:uri="urn:schemas-microsoft-com:office:smarttags" w:element="country-region">
          <w:r>
            <w:t>US</w:t>
          </w:r>
        </w:smartTag>
      </w:smartTag>
      <w:r>
        <w:t xml:space="preserve"> stock markets with the Down Jones crossing 5000 on </w:t>
      </w:r>
      <w:smartTag w:uri="urn:schemas-microsoft-com:office:smarttags" w:element="date">
        <w:smartTagPr>
          <w:attr w:name="Year" w:val="1995"/>
          <w:attr w:name="Day" w:val="11"/>
          <w:attr w:name="Month" w:val="11"/>
        </w:smartTagPr>
        <w:r>
          <w:t>November 11, 1995</w:t>
        </w:r>
      </w:smartTag>
      <w:r>
        <w:t>. In 1997 the mutual fund SMA business had grown to $54 billion and consultant SMA to $137 bn.  This was the year Citigroup pioneered a new approach to SMA investing called the multi discipline account (MDA) or multiple style portfolio (MSP) thus allowing investors to take benefit of multiple investment styles with the advantage of diversification along with tax awareness. The Money Management Institute (MMI) was also formed in 1997 to serve as a forum for the managed account industry's leaders to address common concerns, discuss industry issues and work together to better serve investors.</w:t>
      </w:r>
    </w:p>
    <w:p w:rsidR="00FB3A6F" w:rsidRDefault="00FB3A6F" w:rsidP="00FB3A6F">
      <w:pPr>
        <w:pStyle w:val="Cog-body"/>
        <w:spacing w:line="240" w:lineRule="auto"/>
        <w:ind w:left="0"/>
      </w:pPr>
      <w:r>
        <w:t>The current decade so far has seen an exponential growth in assets managed by SMA programs, some of it at the expense of mutual funds. It has also seen the emergence of a number of variations in the program segments the latest amongst them being Unified Managed Account (UMA).</w:t>
      </w:r>
    </w:p>
    <w:p w:rsidR="00FB3A6F" w:rsidRPr="00FB3A6F" w:rsidRDefault="00FB3A6F" w:rsidP="00FB3A6F">
      <w:pPr>
        <w:spacing w:before="40" w:after="40"/>
        <w:jc w:val="both"/>
        <w:rPr>
          <w:rFonts w:ascii="Arial" w:hAnsi="Arial"/>
          <w:sz w:val="20"/>
          <w:szCs w:val="20"/>
        </w:rPr>
      </w:pPr>
      <w:r w:rsidRPr="00FB3A6F">
        <w:rPr>
          <w:rFonts w:ascii="Arial" w:hAnsi="Arial"/>
          <w:sz w:val="20"/>
          <w:szCs w:val="20"/>
        </w:rPr>
        <w:lastRenderedPageBreak/>
        <w:t>The SMA industry can be classified by the distribution channel:</w:t>
      </w:r>
    </w:p>
    <w:p w:rsidR="00FB3A6F" w:rsidRPr="00FB3A6F" w:rsidRDefault="00FB3A6F" w:rsidP="00FB3A6F">
      <w:pPr>
        <w:spacing w:before="40" w:after="40"/>
        <w:jc w:val="both"/>
        <w:rPr>
          <w:rFonts w:ascii="Arial" w:hAnsi="Arial"/>
          <w:sz w:val="20"/>
          <w:szCs w:val="20"/>
        </w:rPr>
      </w:pPr>
    </w:p>
    <w:p w:rsidR="00FB3A6F" w:rsidRPr="00FB3A6F" w:rsidRDefault="00FB3A6F" w:rsidP="00FB3A6F">
      <w:pPr>
        <w:spacing w:before="40" w:after="40"/>
        <w:jc w:val="both"/>
        <w:rPr>
          <w:rFonts w:ascii="Arial" w:hAnsi="Arial"/>
          <w:sz w:val="20"/>
          <w:szCs w:val="20"/>
        </w:rPr>
      </w:pPr>
      <w:r w:rsidRPr="00FB3A6F">
        <w:rPr>
          <w:rFonts w:ascii="Arial" w:hAnsi="Arial"/>
          <w:b/>
          <w:i/>
          <w:sz w:val="20"/>
          <w:szCs w:val="20"/>
        </w:rPr>
        <w:t>Wire house Brokerages:</w:t>
      </w:r>
      <w:r w:rsidRPr="00FB3A6F">
        <w:rPr>
          <w:rFonts w:ascii="Arial" w:hAnsi="Arial"/>
          <w:sz w:val="20"/>
          <w:szCs w:val="20"/>
        </w:rPr>
        <w:t xml:space="preserve"> These are the traditional heavyweights with a global presence and offering a comprehensive range of investment services including brokerage, wealth management, custody etc. and comprise of five firms. The</w:t>
      </w:r>
      <w:r w:rsidR="003A04ED">
        <w:rPr>
          <w:rFonts w:ascii="Arial" w:hAnsi="Arial"/>
          <w:sz w:val="20"/>
          <w:szCs w:val="20"/>
        </w:rPr>
        <w:t>se</w:t>
      </w:r>
      <w:r w:rsidRPr="00FB3A6F">
        <w:rPr>
          <w:rFonts w:ascii="Arial" w:hAnsi="Arial"/>
          <w:sz w:val="20"/>
          <w:szCs w:val="20"/>
        </w:rPr>
        <w:t xml:space="preserve"> are:  </w:t>
      </w:r>
    </w:p>
    <w:p w:rsidR="00FB3A6F" w:rsidRPr="00FB3A6F" w:rsidRDefault="00FB3A6F" w:rsidP="00FB3A6F">
      <w:pPr>
        <w:widowControl w:val="0"/>
        <w:numPr>
          <w:ilvl w:val="0"/>
          <w:numId w:val="75"/>
        </w:numPr>
        <w:spacing w:before="40" w:after="40"/>
        <w:ind w:right="115"/>
        <w:jc w:val="both"/>
        <w:rPr>
          <w:rFonts w:ascii="Arial" w:hAnsi="Arial"/>
          <w:sz w:val="20"/>
          <w:szCs w:val="20"/>
        </w:rPr>
      </w:pPr>
      <w:r w:rsidRPr="00FB3A6F">
        <w:rPr>
          <w:rFonts w:ascii="Arial" w:hAnsi="Arial"/>
          <w:sz w:val="20"/>
          <w:szCs w:val="20"/>
        </w:rPr>
        <w:t>Merrill Lynch</w:t>
      </w:r>
    </w:p>
    <w:p w:rsidR="00FB3A6F" w:rsidRPr="00FB3A6F" w:rsidRDefault="00FB3A6F" w:rsidP="00FB3A6F">
      <w:pPr>
        <w:widowControl w:val="0"/>
        <w:numPr>
          <w:ilvl w:val="0"/>
          <w:numId w:val="75"/>
        </w:numPr>
        <w:spacing w:before="40" w:after="40"/>
        <w:ind w:right="115"/>
        <w:jc w:val="both"/>
        <w:rPr>
          <w:rFonts w:ascii="Arial" w:hAnsi="Arial"/>
          <w:sz w:val="20"/>
          <w:szCs w:val="20"/>
        </w:rPr>
      </w:pPr>
      <w:r w:rsidRPr="00FB3A6F">
        <w:rPr>
          <w:rFonts w:ascii="Arial" w:hAnsi="Arial"/>
          <w:sz w:val="20"/>
          <w:szCs w:val="20"/>
        </w:rPr>
        <w:t>Smith Barney</w:t>
      </w:r>
    </w:p>
    <w:p w:rsidR="00FB3A6F" w:rsidRPr="00FB3A6F" w:rsidRDefault="00FB3A6F" w:rsidP="00FB3A6F">
      <w:pPr>
        <w:widowControl w:val="0"/>
        <w:numPr>
          <w:ilvl w:val="0"/>
          <w:numId w:val="75"/>
        </w:numPr>
        <w:spacing w:before="40" w:after="40"/>
        <w:ind w:right="115"/>
        <w:jc w:val="both"/>
        <w:rPr>
          <w:rFonts w:ascii="Arial" w:hAnsi="Arial"/>
          <w:sz w:val="20"/>
          <w:szCs w:val="20"/>
        </w:rPr>
      </w:pPr>
      <w:r w:rsidRPr="00FB3A6F">
        <w:rPr>
          <w:rFonts w:ascii="Arial" w:hAnsi="Arial"/>
          <w:sz w:val="20"/>
          <w:szCs w:val="20"/>
        </w:rPr>
        <w:t>Morgan Stanley</w:t>
      </w:r>
    </w:p>
    <w:p w:rsidR="00FB3A6F" w:rsidRPr="00FB3A6F" w:rsidRDefault="00FB3A6F" w:rsidP="00FB3A6F">
      <w:pPr>
        <w:widowControl w:val="0"/>
        <w:numPr>
          <w:ilvl w:val="0"/>
          <w:numId w:val="75"/>
        </w:numPr>
        <w:spacing w:before="40" w:after="40"/>
        <w:ind w:right="115"/>
        <w:jc w:val="both"/>
        <w:rPr>
          <w:rFonts w:ascii="Arial" w:hAnsi="Arial"/>
          <w:sz w:val="20"/>
          <w:szCs w:val="20"/>
        </w:rPr>
      </w:pPr>
      <w:r w:rsidRPr="00FB3A6F">
        <w:rPr>
          <w:rFonts w:ascii="Arial" w:hAnsi="Arial"/>
          <w:sz w:val="20"/>
          <w:szCs w:val="20"/>
        </w:rPr>
        <w:t>UBS Financial Services</w:t>
      </w:r>
    </w:p>
    <w:p w:rsidR="00FB3A6F" w:rsidRPr="00FB3A6F" w:rsidRDefault="00FB3A6F" w:rsidP="00FB3A6F">
      <w:pPr>
        <w:widowControl w:val="0"/>
        <w:numPr>
          <w:ilvl w:val="0"/>
          <w:numId w:val="75"/>
        </w:numPr>
        <w:spacing w:before="40" w:after="40"/>
        <w:ind w:right="115"/>
        <w:jc w:val="both"/>
        <w:rPr>
          <w:rFonts w:ascii="Arial" w:hAnsi="Arial"/>
          <w:sz w:val="20"/>
          <w:szCs w:val="20"/>
        </w:rPr>
      </w:pPr>
      <w:r w:rsidRPr="00FB3A6F">
        <w:rPr>
          <w:rFonts w:ascii="Arial" w:hAnsi="Arial"/>
          <w:sz w:val="20"/>
          <w:szCs w:val="20"/>
        </w:rPr>
        <w:t xml:space="preserve">Wachovia Securities. </w:t>
      </w:r>
    </w:p>
    <w:p w:rsidR="00FB3A6F" w:rsidRPr="00FB3A6F" w:rsidRDefault="00FB3A6F" w:rsidP="00FB3A6F">
      <w:pPr>
        <w:spacing w:before="40" w:after="40"/>
        <w:jc w:val="both"/>
        <w:rPr>
          <w:rFonts w:ascii="Arial" w:hAnsi="Arial"/>
          <w:sz w:val="20"/>
          <w:szCs w:val="20"/>
        </w:rPr>
      </w:pPr>
      <w:r w:rsidRPr="00FB3A6F">
        <w:rPr>
          <w:rFonts w:ascii="Arial" w:hAnsi="Arial"/>
          <w:sz w:val="20"/>
          <w:szCs w:val="20"/>
        </w:rPr>
        <w:t>They dominate the managed accounts business, controlling 67% of the assets. The Wire houses mostly have their in house systems to cater to their SMA programs but may go to the technology providers for services that are not provided in house.</w:t>
      </w:r>
    </w:p>
    <w:p w:rsidR="00FB3A6F" w:rsidRPr="00FB3A6F" w:rsidRDefault="00FB3A6F" w:rsidP="00FB3A6F">
      <w:pPr>
        <w:spacing w:before="40" w:after="40"/>
        <w:jc w:val="both"/>
        <w:rPr>
          <w:rFonts w:ascii="Arial" w:hAnsi="Arial"/>
          <w:sz w:val="20"/>
          <w:szCs w:val="20"/>
        </w:rPr>
      </w:pPr>
    </w:p>
    <w:p w:rsidR="00FB3A6F" w:rsidRPr="00FB3A6F" w:rsidRDefault="00FB3A6F" w:rsidP="00FB3A6F">
      <w:pPr>
        <w:spacing w:before="40" w:after="40"/>
        <w:jc w:val="both"/>
        <w:rPr>
          <w:rFonts w:ascii="Arial" w:hAnsi="Arial"/>
          <w:sz w:val="20"/>
          <w:szCs w:val="20"/>
        </w:rPr>
      </w:pPr>
      <w:r w:rsidRPr="00FB3A6F">
        <w:rPr>
          <w:rFonts w:ascii="Arial" w:hAnsi="Arial"/>
          <w:b/>
          <w:i/>
          <w:sz w:val="20"/>
          <w:szCs w:val="20"/>
        </w:rPr>
        <w:t>Regional Broker Dealers:</w:t>
      </w:r>
      <w:r w:rsidRPr="00FB3A6F">
        <w:rPr>
          <w:rFonts w:ascii="Arial" w:hAnsi="Arial"/>
          <w:sz w:val="20"/>
          <w:szCs w:val="20"/>
        </w:rPr>
        <w:t xml:space="preserve"> Regional brokerages are generally similar to wire house firms, but they have fewer capital resources at their disposal and typically concentrate on building strong regional branch networks. Some of the major players in this segment are:</w:t>
      </w:r>
    </w:p>
    <w:p w:rsidR="00FB3A6F" w:rsidRPr="00FB3A6F" w:rsidRDefault="00FB3A6F" w:rsidP="00FB3A6F">
      <w:pPr>
        <w:widowControl w:val="0"/>
        <w:numPr>
          <w:ilvl w:val="0"/>
          <w:numId w:val="76"/>
        </w:numPr>
        <w:spacing w:before="40" w:after="40"/>
        <w:ind w:right="115"/>
        <w:jc w:val="both"/>
        <w:rPr>
          <w:rFonts w:ascii="Arial" w:hAnsi="Arial"/>
          <w:sz w:val="20"/>
          <w:szCs w:val="20"/>
        </w:rPr>
      </w:pPr>
      <w:r w:rsidRPr="00FB3A6F">
        <w:rPr>
          <w:rFonts w:ascii="Arial" w:hAnsi="Arial"/>
          <w:sz w:val="20"/>
          <w:szCs w:val="20"/>
        </w:rPr>
        <w:t>DB Alex Brown</w:t>
      </w:r>
    </w:p>
    <w:p w:rsidR="00FB3A6F" w:rsidRPr="00FB3A6F" w:rsidRDefault="00FB3A6F" w:rsidP="00FB3A6F">
      <w:pPr>
        <w:widowControl w:val="0"/>
        <w:numPr>
          <w:ilvl w:val="0"/>
          <w:numId w:val="76"/>
        </w:numPr>
        <w:spacing w:before="40" w:after="40"/>
        <w:ind w:right="115"/>
        <w:jc w:val="both"/>
        <w:rPr>
          <w:rFonts w:ascii="Arial" w:hAnsi="Arial"/>
          <w:sz w:val="20"/>
          <w:szCs w:val="20"/>
        </w:rPr>
      </w:pPr>
      <w:r w:rsidRPr="00FB3A6F">
        <w:rPr>
          <w:rFonts w:ascii="Arial" w:hAnsi="Arial"/>
          <w:sz w:val="20"/>
          <w:szCs w:val="20"/>
        </w:rPr>
        <w:t xml:space="preserve">RBC Dain </w:t>
      </w:r>
      <w:proofErr w:type="spellStart"/>
      <w:r w:rsidRPr="00FB3A6F">
        <w:rPr>
          <w:rFonts w:ascii="Arial" w:hAnsi="Arial"/>
          <w:sz w:val="20"/>
          <w:szCs w:val="20"/>
        </w:rPr>
        <w:t>Rausher</w:t>
      </w:r>
      <w:proofErr w:type="spellEnd"/>
    </w:p>
    <w:p w:rsidR="00FB3A6F" w:rsidRPr="00FB3A6F" w:rsidRDefault="00FB3A6F" w:rsidP="00FB3A6F">
      <w:pPr>
        <w:widowControl w:val="0"/>
        <w:numPr>
          <w:ilvl w:val="0"/>
          <w:numId w:val="76"/>
        </w:numPr>
        <w:spacing w:before="40" w:after="40"/>
        <w:ind w:right="115"/>
        <w:jc w:val="both"/>
        <w:rPr>
          <w:rFonts w:ascii="Arial" w:hAnsi="Arial"/>
          <w:sz w:val="20"/>
          <w:szCs w:val="20"/>
        </w:rPr>
      </w:pPr>
      <w:r w:rsidRPr="00FB3A6F">
        <w:rPr>
          <w:rFonts w:ascii="Arial" w:hAnsi="Arial"/>
          <w:sz w:val="20"/>
          <w:szCs w:val="20"/>
        </w:rPr>
        <w:t>AG Edwards</w:t>
      </w:r>
    </w:p>
    <w:p w:rsidR="00FB3A6F" w:rsidRPr="00FB3A6F" w:rsidRDefault="00FB3A6F" w:rsidP="00FB3A6F">
      <w:pPr>
        <w:widowControl w:val="0"/>
        <w:numPr>
          <w:ilvl w:val="0"/>
          <w:numId w:val="76"/>
        </w:numPr>
        <w:spacing w:before="40" w:after="40"/>
        <w:ind w:right="115"/>
        <w:jc w:val="both"/>
        <w:rPr>
          <w:rFonts w:ascii="Arial" w:hAnsi="Arial"/>
          <w:sz w:val="20"/>
          <w:szCs w:val="20"/>
        </w:rPr>
      </w:pPr>
      <w:r w:rsidRPr="00FB3A6F">
        <w:rPr>
          <w:rFonts w:ascii="Arial" w:hAnsi="Arial"/>
          <w:sz w:val="20"/>
          <w:szCs w:val="20"/>
        </w:rPr>
        <w:t>Legg Mason</w:t>
      </w:r>
    </w:p>
    <w:p w:rsidR="00FB3A6F" w:rsidRPr="00FB3A6F" w:rsidRDefault="00FB3A6F" w:rsidP="00FB3A6F">
      <w:pPr>
        <w:widowControl w:val="0"/>
        <w:numPr>
          <w:ilvl w:val="0"/>
          <w:numId w:val="76"/>
        </w:numPr>
        <w:spacing w:before="40" w:after="40"/>
        <w:ind w:right="115"/>
        <w:jc w:val="both"/>
        <w:rPr>
          <w:rFonts w:ascii="Arial" w:hAnsi="Arial"/>
          <w:sz w:val="20"/>
          <w:szCs w:val="20"/>
        </w:rPr>
      </w:pPr>
      <w:r w:rsidRPr="00FB3A6F">
        <w:rPr>
          <w:rFonts w:ascii="Arial" w:hAnsi="Arial"/>
          <w:sz w:val="20"/>
          <w:szCs w:val="20"/>
        </w:rPr>
        <w:t>Edward Jones</w:t>
      </w:r>
    </w:p>
    <w:p w:rsidR="00FB3A6F" w:rsidRPr="00FB3A6F" w:rsidRDefault="00FB3A6F" w:rsidP="00FB3A6F">
      <w:pPr>
        <w:widowControl w:val="0"/>
        <w:numPr>
          <w:ilvl w:val="0"/>
          <w:numId w:val="76"/>
        </w:numPr>
        <w:spacing w:before="40" w:after="40"/>
        <w:ind w:right="115"/>
        <w:jc w:val="both"/>
        <w:rPr>
          <w:rFonts w:ascii="Arial" w:hAnsi="Arial"/>
          <w:sz w:val="20"/>
          <w:szCs w:val="20"/>
        </w:rPr>
      </w:pPr>
      <w:r w:rsidRPr="00FB3A6F">
        <w:rPr>
          <w:rFonts w:ascii="Arial" w:hAnsi="Arial"/>
          <w:sz w:val="20"/>
          <w:szCs w:val="20"/>
        </w:rPr>
        <w:t>Oppenheimer &amp; Co.</w:t>
      </w:r>
    </w:p>
    <w:p w:rsidR="00FB3A6F" w:rsidRPr="00FB3A6F" w:rsidRDefault="00FB3A6F" w:rsidP="00FB3A6F">
      <w:pPr>
        <w:widowControl w:val="0"/>
        <w:numPr>
          <w:ilvl w:val="0"/>
          <w:numId w:val="76"/>
        </w:numPr>
        <w:spacing w:before="40" w:after="40"/>
        <w:ind w:right="115"/>
        <w:jc w:val="both"/>
        <w:rPr>
          <w:rFonts w:ascii="Arial" w:hAnsi="Arial"/>
          <w:sz w:val="20"/>
          <w:szCs w:val="20"/>
        </w:rPr>
      </w:pPr>
      <w:r w:rsidRPr="00FB3A6F">
        <w:rPr>
          <w:rFonts w:ascii="Arial" w:hAnsi="Arial"/>
          <w:sz w:val="20"/>
          <w:szCs w:val="20"/>
        </w:rPr>
        <w:t xml:space="preserve">US Bancorp Piper </w:t>
      </w:r>
      <w:proofErr w:type="spellStart"/>
      <w:r w:rsidRPr="00FB3A6F">
        <w:rPr>
          <w:rFonts w:ascii="Arial" w:hAnsi="Arial"/>
          <w:sz w:val="20"/>
          <w:szCs w:val="20"/>
        </w:rPr>
        <w:t>Jaffray</w:t>
      </w:r>
      <w:proofErr w:type="spellEnd"/>
    </w:p>
    <w:p w:rsidR="00FB3A6F" w:rsidRPr="00FB3A6F" w:rsidRDefault="00FB3A6F" w:rsidP="00FB3A6F">
      <w:pPr>
        <w:spacing w:before="40" w:after="40"/>
        <w:jc w:val="both"/>
        <w:rPr>
          <w:rFonts w:ascii="Arial" w:hAnsi="Arial"/>
          <w:sz w:val="20"/>
          <w:szCs w:val="20"/>
        </w:rPr>
      </w:pPr>
      <w:r w:rsidRPr="00FB3A6F">
        <w:rPr>
          <w:rFonts w:ascii="Arial" w:hAnsi="Arial"/>
          <w:sz w:val="20"/>
          <w:szCs w:val="20"/>
        </w:rPr>
        <w:t>The regional brokerages control the third largest pool of managed account assets with approximately 8% market share.</w:t>
      </w:r>
    </w:p>
    <w:p w:rsidR="00FB3A6F" w:rsidRPr="00FB3A6F" w:rsidRDefault="00FB3A6F" w:rsidP="00FB3A6F">
      <w:pPr>
        <w:spacing w:before="40" w:after="40"/>
        <w:jc w:val="both"/>
        <w:rPr>
          <w:rFonts w:ascii="Arial" w:hAnsi="Arial"/>
          <w:sz w:val="20"/>
          <w:szCs w:val="20"/>
        </w:rPr>
      </w:pPr>
    </w:p>
    <w:p w:rsidR="00FB3A6F" w:rsidRPr="00FB3A6F" w:rsidRDefault="00FB3A6F" w:rsidP="00FB3A6F">
      <w:pPr>
        <w:spacing w:before="40" w:after="40"/>
        <w:jc w:val="both"/>
        <w:rPr>
          <w:rFonts w:ascii="Arial" w:hAnsi="Arial"/>
          <w:sz w:val="20"/>
          <w:szCs w:val="20"/>
        </w:rPr>
      </w:pPr>
      <w:r w:rsidRPr="00FB3A6F">
        <w:rPr>
          <w:rFonts w:ascii="Arial" w:hAnsi="Arial"/>
          <w:b/>
          <w:i/>
          <w:sz w:val="20"/>
          <w:szCs w:val="20"/>
        </w:rPr>
        <w:t>Independent Broker/Dealer:</w:t>
      </w:r>
      <w:r w:rsidRPr="00FB3A6F">
        <w:rPr>
          <w:rFonts w:ascii="Arial" w:hAnsi="Arial"/>
          <w:sz w:val="20"/>
          <w:szCs w:val="20"/>
        </w:rPr>
        <w:t xml:space="preserve"> IBD advisors function as independent contractors, rather than employees. IBD firms exert little control over which products and services advisors offer individual investors, and the firms vary widely in terms of size and advisor sophistication. The major players in this segment are:</w:t>
      </w:r>
    </w:p>
    <w:p w:rsidR="00FB3A6F" w:rsidRPr="00FB3A6F" w:rsidRDefault="00FB3A6F" w:rsidP="00FB3A6F">
      <w:pPr>
        <w:widowControl w:val="0"/>
        <w:numPr>
          <w:ilvl w:val="0"/>
          <w:numId w:val="77"/>
        </w:numPr>
        <w:spacing w:before="40" w:after="40"/>
        <w:ind w:right="115"/>
        <w:jc w:val="both"/>
        <w:rPr>
          <w:rFonts w:ascii="Arial" w:hAnsi="Arial"/>
          <w:sz w:val="20"/>
          <w:szCs w:val="20"/>
        </w:rPr>
      </w:pPr>
      <w:r w:rsidRPr="00FB3A6F">
        <w:rPr>
          <w:rFonts w:ascii="Arial" w:hAnsi="Arial"/>
          <w:sz w:val="20"/>
          <w:szCs w:val="20"/>
        </w:rPr>
        <w:t>Amex Financial Advisors</w:t>
      </w:r>
    </w:p>
    <w:p w:rsidR="00FB3A6F" w:rsidRPr="00FB3A6F" w:rsidRDefault="00FB3A6F" w:rsidP="00FB3A6F">
      <w:pPr>
        <w:widowControl w:val="0"/>
        <w:numPr>
          <w:ilvl w:val="0"/>
          <w:numId w:val="77"/>
        </w:numPr>
        <w:spacing w:before="40" w:after="40"/>
        <w:ind w:right="115"/>
        <w:jc w:val="both"/>
        <w:rPr>
          <w:rFonts w:ascii="Arial" w:hAnsi="Arial"/>
          <w:sz w:val="20"/>
          <w:szCs w:val="20"/>
        </w:rPr>
      </w:pPr>
      <w:r w:rsidRPr="00FB3A6F">
        <w:rPr>
          <w:rFonts w:ascii="Arial" w:hAnsi="Arial"/>
          <w:sz w:val="20"/>
          <w:szCs w:val="20"/>
        </w:rPr>
        <w:t>LPL Financial</w:t>
      </w:r>
    </w:p>
    <w:p w:rsidR="00FB3A6F" w:rsidRPr="00FB3A6F" w:rsidRDefault="00FB3A6F" w:rsidP="00FB3A6F">
      <w:pPr>
        <w:widowControl w:val="0"/>
        <w:numPr>
          <w:ilvl w:val="0"/>
          <w:numId w:val="77"/>
        </w:numPr>
        <w:spacing w:before="40" w:after="40"/>
        <w:ind w:right="115"/>
        <w:jc w:val="both"/>
        <w:rPr>
          <w:rFonts w:ascii="Arial" w:hAnsi="Arial"/>
          <w:sz w:val="20"/>
          <w:szCs w:val="20"/>
        </w:rPr>
      </w:pPr>
      <w:r w:rsidRPr="00FB3A6F">
        <w:rPr>
          <w:rFonts w:ascii="Arial" w:hAnsi="Arial"/>
          <w:sz w:val="20"/>
          <w:szCs w:val="20"/>
        </w:rPr>
        <w:t>Financial Services Corp</w:t>
      </w:r>
    </w:p>
    <w:p w:rsidR="00FB3A6F" w:rsidRPr="00FB3A6F" w:rsidRDefault="00FB3A6F" w:rsidP="00FB3A6F">
      <w:pPr>
        <w:widowControl w:val="0"/>
        <w:numPr>
          <w:ilvl w:val="0"/>
          <w:numId w:val="77"/>
        </w:numPr>
        <w:spacing w:before="40" w:after="40"/>
        <w:ind w:right="115"/>
        <w:jc w:val="both"/>
        <w:rPr>
          <w:rFonts w:ascii="Arial" w:hAnsi="Arial"/>
          <w:sz w:val="20"/>
          <w:szCs w:val="20"/>
        </w:rPr>
      </w:pPr>
      <w:r w:rsidRPr="00FB3A6F">
        <w:rPr>
          <w:rFonts w:ascii="Arial" w:hAnsi="Arial"/>
          <w:sz w:val="20"/>
          <w:szCs w:val="20"/>
        </w:rPr>
        <w:t xml:space="preserve">Securities </w:t>
      </w:r>
      <w:smartTag w:uri="urn:schemas-microsoft-com:office:smarttags" w:element="place">
        <w:smartTag w:uri="urn:schemas-microsoft-com:office:smarttags" w:element="country-region">
          <w:r w:rsidRPr="00FB3A6F">
            <w:rPr>
              <w:rFonts w:ascii="Arial" w:hAnsi="Arial"/>
              <w:sz w:val="20"/>
              <w:szCs w:val="20"/>
            </w:rPr>
            <w:t>America</w:t>
          </w:r>
        </w:smartTag>
      </w:smartTag>
      <w:r w:rsidRPr="00FB3A6F">
        <w:rPr>
          <w:rFonts w:ascii="Arial" w:hAnsi="Arial"/>
          <w:sz w:val="20"/>
          <w:szCs w:val="20"/>
        </w:rPr>
        <w:t xml:space="preserve"> Advisors</w:t>
      </w:r>
    </w:p>
    <w:p w:rsidR="00FB3A6F" w:rsidRPr="00FB3A6F" w:rsidRDefault="00FB3A6F" w:rsidP="00FB3A6F">
      <w:pPr>
        <w:widowControl w:val="0"/>
        <w:numPr>
          <w:ilvl w:val="0"/>
          <w:numId w:val="77"/>
        </w:numPr>
        <w:spacing w:before="40" w:after="40"/>
        <w:ind w:right="115"/>
        <w:jc w:val="both"/>
        <w:rPr>
          <w:rFonts w:ascii="Arial" w:hAnsi="Arial"/>
          <w:sz w:val="20"/>
          <w:szCs w:val="20"/>
        </w:rPr>
      </w:pPr>
      <w:r w:rsidRPr="00FB3A6F">
        <w:rPr>
          <w:rFonts w:ascii="Arial" w:hAnsi="Arial"/>
          <w:sz w:val="20"/>
          <w:szCs w:val="20"/>
        </w:rPr>
        <w:t>Raymond James</w:t>
      </w:r>
    </w:p>
    <w:p w:rsidR="00FB3A6F" w:rsidRPr="00FB3A6F" w:rsidRDefault="00FB3A6F" w:rsidP="00FB3A6F">
      <w:pPr>
        <w:widowControl w:val="0"/>
        <w:numPr>
          <w:ilvl w:val="0"/>
          <w:numId w:val="77"/>
        </w:numPr>
        <w:spacing w:before="40" w:after="40"/>
        <w:ind w:right="115"/>
        <w:jc w:val="both"/>
        <w:rPr>
          <w:rFonts w:ascii="Arial" w:hAnsi="Arial"/>
          <w:sz w:val="20"/>
          <w:szCs w:val="20"/>
        </w:rPr>
      </w:pPr>
      <w:r w:rsidRPr="00FB3A6F">
        <w:rPr>
          <w:rFonts w:ascii="Arial" w:hAnsi="Arial"/>
          <w:sz w:val="20"/>
          <w:szCs w:val="20"/>
        </w:rPr>
        <w:t>IFG Network Securities</w:t>
      </w:r>
    </w:p>
    <w:p w:rsidR="00FB3A6F" w:rsidRPr="00FB3A6F" w:rsidRDefault="00FB3A6F" w:rsidP="00FB3A6F">
      <w:pPr>
        <w:widowControl w:val="0"/>
        <w:numPr>
          <w:ilvl w:val="0"/>
          <w:numId w:val="77"/>
        </w:numPr>
        <w:spacing w:before="40" w:after="40"/>
        <w:ind w:right="115"/>
        <w:jc w:val="both"/>
        <w:rPr>
          <w:rFonts w:ascii="Arial" w:hAnsi="Arial"/>
          <w:sz w:val="20"/>
          <w:szCs w:val="20"/>
        </w:rPr>
      </w:pPr>
      <w:r w:rsidRPr="00FB3A6F">
        <w:rPr>
          <w:rFonts w:ascii="Arial" w:hAnsi="Arial"/>
          <w:sz w:val="20"/>
          <w:szCs w:val="20"/>
        </w:rPr>
        <w:t>AXA Financial</w:t>
      </w:r>
    </w:p>
    <w:p w:rsidR="00FB3A6F" w:rsidRPr="00FB3A6F" w:rsidRDefault="00FB3A6F" w:rsidP="00FB3A6F">
      <w:pPr>
        <w:spacing w:before="40" w:after="40"/>
        <w:jc w:val="both"/>
        <w:rPr>
          <w:rFonts w:ascii="Arial" w:hAnsi="Arial"/>
          <w:sz w:val="20"/>
          <w:szCs w:val="20"/>
        </w:rPr>
      </w:pPr>
      <w:r w:rsidRPr="00FB3A6F">
        <w:rPr>
          <w:rFonts w:ascii="Arial" w:hAnsi="Arial"/>
          <w:sz w:val="20"/>
          <w:szCs w:val="20"/>
        </w:rPr>
        <w:t>Unlike the wire house and regional channels where separate account consultant programs rule the day, mutual fund advisory programs account for more than 55% of IBD managed account assets.</w:t>
      </w:r>
    </w:p>
    <w:p w:rsidR="00FB3A6F" w:rsidRPr="00FB3A6F" w:rsidRDefault="00FB3A6F" w:rsidP="00FB3A6F">
      <w:pPr>
        <w:spacing w:before="40" w:after="40"/>
        <w:jc w:val="both"/>
        <w:rPr>
          <w:rFonts w:ascii="Arial" w:hAnsi="Arial"/>
          <w:sz w:val="20"/>
          <w:szCs w:val="20"/>
        </w:rPr>
      </w:pPr>
    </w:p>
    <w:p w:rsidR="00FB3A6F" w:rsidRPr="00FB3A6F" w:rsidRDefault="00FB3A6F" w:rsidP="00FB3A6F">
      <w:pPr>
        <w:spacing w:before="40" w:after="40"/>
        <w:jc w:val="both"/>
        <w:rPr>
          <w:rFonts w:ascii="Arial" w:hAnsi="Arial"/>
          <w:sz w:val="20"/>
          <w:szCs w:val="20"/>
        </w:rPr>
      </w:pPr>
      <w:r w:rsidRPr="00FB3A6F">
        <w:rPr>
          <w:rFonts w:ascii="Arial" w:hAnsi="Arial"/>
          <w:b/>
          <w:i/>
          <w:sz w:val="20"/>
          <w:szCs w:val="20"/>
        </w:rPr>
        <w:t>Discount Brokerage:</w:t>
      </w:r>
      <w:r w:rsidRPr="00FB3A6F">
        <w:rPr>
          <w:rFonts w:ascii="Arial" w:hAnsi="Arial"/>
          <w:sz w:val="20"/>
          <w:szCs w:val="20"/>
        </w:rPr>
        <w:t xml:space="preserve"> Discount brokerages manager about 3% of the managed accounts industry assets, they are expected to grow along with the industry in the next 5 years but their share may not be higher than the 3%. The Top Discount Brokerages are:</w:t>
      </w:r>
    </w:p>
    <w:p w:rsidR="00FB3A6F" w:rsidRPr="00FB3A6F" w:rsidRDefault="00FB3A6F" w:rsidP="00FB3A6F">
      <w:pPr>
        <w:widowControl w:val="0"/>
        <w:numPr>
          <w:ilvl w:val="0"/>
          <w:numId w:val="78"/>
        </w:numPr>
        <w:spacing w:before="40" w:after="40"/>
        <w:ind w:right="115"/>
        <w:jc w:val="both"/>
        <w:rPr>
          <w:rFonts w:ascii="Arial" w:hAnsi="Arial"/>
          <w:sz w:val="20"/>
          <w:szCs w:val="20"/>
        </w:rPr>
      </w:pPr>
      <w:r w:rsidRPr="00FB3A6F">
        <w:rPr>
          <w:rFonts w:ascii="Arial" w:hAnsi="Arial"/>
          <w:sz w:val="20"/>
          <w:szCs w:val="20"/>
        </w:rPr>
        <w:t>Fidelity Investments</w:t>
      </w:r>
    </w:p>
    <w:p w:rsidR="00FB3A6F" w:rsidRPr="00FB3A6F" w:rsidRDefault="00FB3A6F" w:rsidP="00FB3A6F">
      <w:pPr>
        <w:widowControl w:val="0"/>
        <w:numPr>
          <w:ilvl w:val="0"/>
          <w:numId w:val="78"/>
        </w:numPr>
        <w:spacing w:before="40" w:after="40"/>
        <w:ind w:right="115"/>
        <w:jc w:val="both"/>
        <w:rPr>
          <w:rFonts w:ascii="Arial" w:hAnsi="Arial"/>
          <w:sz w:val="20"/>
          <w:szCs w:val="20"/>
        </w:rPr>
      </w:pPr>
      <w:r w:rsidRPr="00FB3A6F">
        <w:rPr>
          <w:rFonts w:ascii="Arial" w:hAnsi="Arial"/>
          <w:sz w:val="20"/>
          <w:szCs w:val="20"/>
        </w:rPr>
        <w:t>Charles Schwab</w:t>
      </w:r>
    </w:p>
    <w:p w:rsidR="00FB3A6F" w:rsidRPr="00FB3A6F" w:rsidRDefault="00FB3A6F" w:rsidP="00FB3A6F">
      <w:pPr>
        <w:widowControl w:val="0"/>
        <w:numPr>
          <w:ilvl w:val="0"/>
          <w:numId w:val="78"/>
        </w:numPr>
        <w:spacing w:before="40" w:after="40"/>
        <w:ind w:right="115"/>
        <w:jc w:val="both"/>
        <w:rPr>
          <w:rFonts w:ascii="Arial" w:hAnsi="Arial"/>
          <w:sz w:val="20"/>
          <w:szCs w:val="20"/>
        </w:rPr>
      </w:pPr>
      <w:r w:rsidRPr="00FB3A6F">
        <w:rPr>
          <w:rFonts w:ascii="Arial" w:hAnsi="Arial"/>
          <w:sz w:val="20"/>
          <w:szCs w:val="20"/>
        </w:rPr>
        <w:t>Harris Direct</w:t>
      </w:r>
    </w:p>
    <w:p w:rsidR="00FB3A6F" w:rsidRPr="00FB3A6F" w:rsidRDefault="00FB3A6F" w:rsidP="00FB3A6F">
      <w:pPr>
        <w:widowControl w:val="0"/>
        <w:numPr>
          <w:ilvl w:val="0"/>
          <w:numId w:val="78"/>
        </w:numPr>
        <w:spacing w:before="40" w:after="40"/>
        <w:ind w:right="115"/>
        <w:jc w:val="both"/>
        <w:rPr>
          <w:rFonts w:ascii="Arial" w:hAnsi="Arial"/>
          <w:sz w:val="20"/>
          <w:szCs w:val="20"/>
        </w:rPr>
      </w:pPr>
      <w:r w:rsidRPr="00FB3A6F">
        <w:rPr>
          <w:rFonts w:ascii="Arial" w:hAnsi="Arial"/>
          <w:sz w:val="20"/>
          <w:szCs w:val="20"/>
        </w:rPr>
        <w:lastRenderedPageBreak/>
        <w:t>E*Trade</w:t>
      </w:r>
    </w:p>
    <w:p w:rsidR="00FB3A6F" w:rsidRPr="00FB3A6F" w:rsidRDefault="00FB3A6F" w:rsidP="00FB3A6F">
      <w:pPr>
        <w:spacing w:before="40" w:after="40"/>
        <w:jc w:val="both"/>
        <w:rPr>
          <w:rFonts w:ascii="Arial" w:hAnsi="Arial"/>
          <w:sz w:val="20"/>
          <w:szCs w:val="20"/>
        </w:rPr>
      </w:pPr>
      <w:r w:rsidRPr="00FB3A6F">
        <w:rPr>
          <w:rFonts w:ascii="Arial" w:hAnsi="Arial"/>
          <w:sz w:val="20"/>
          <w:szCs w:val="20"/>
        </w:rPr>
        <w:t>Their focus is primarily on fee based brokerage and mutual fund wrap programs.</w:t>
      </w:r>
    </w:p>
    <w:p w:rsidR="00FB3A6F" w:rsidRPr="00FB3A6F" w:rsidRDefault="00FB3A6F" w:rsidP="00FB3A6F">
      <w:pPr>
        <w:spacing w:before="40" w:after="40"/>
        <w:jc w:val="both"/>
        <w:rPr>
          <w:rFonts w:ascii="Arial" w:hAnsi="Arial"/>
          <w:sz w:val="20"/>
          <w:szCs w:val="20"/>
        </w:rPr>
      </w:pPr>
    </w:p>
    <w:p w:rsidR="00FB3A6F" w:rsidRPr="00FB3A6F" w:rsidRDefault="00FB3A6F" w:rsidP="00FB3A6F">
      <w:pPr>
        <w:spacing w:before="40" w:after="40"/>
        <w:jc w:val="both"/>
        <w:rPr>
          <w:rFonts w:ascii="Arial" w:hAnsi="Arial"/>
          <w:sz w:val="20"/>
          <w:szCs w:val="20"/>
        </w:rPr>
      </w:pPr>
      <w:r w:rsidRPr="00FB3A6F">
        <w:rPr>
          <w:rFonts w:ascii="Arial" w:hAnsi="Arial"/>
          <w:b/>
          <w:i/>
          <w:sz w:val="20"/>
          <w:szCs w:val="20"/>
        </w:rPr>
        <w:t>Bank Brokerages:</w:t>
      </w:r>
      <w:r w:rsidRPr="00FB3A6F">
        <w:rPr>
          <w:rFonts w:ascii="Arial" w:hAnsi="Arial"/>
          <w:sz w:val="20"/>
          <w:szCs w:val="20"/>
        </w:rPr>
        <w:t xml:space="preserve"> Bank brokerages cater to a minor percentage of the total managed accounts industry assets. A range of hurdles stands in the way of bank brokerages before they can shift from commission basis to fee basis. The top bank brokerages are:</w:t>
      </w:r>
    </w:p>
    <w:p w:rsidR="00FB3A6F" w:rsidRPr="00FB3A6F" w:rsidRDefault="00FB3A6F" w:rsidP="00FB3A6F">
      <w:pPr>
        <w:widowControl w:val="0"/>
        <w:numPr>
          <w:ilvl w:val="0"/>
          <w:numId w:val="79"/>
        </w:numPr>
        <w:spacing w:before="40" w:after="40"/>
        <w:ind w:right="115"/>
        <w:jc w:val="both"/>
        <w:rPr>
          <w:rFonts w:ascii="Arial" w:hAnsi="Arial"/>
          <w:sz w:val="20"/>
          <w:szCs w:val="20"/>
        </w:rPr>
      </w:pPr>
      <w:r w:rsidRPr="00FB3A6F">
        <w:rPr>
          <w:rFonts w:ascii="Arial" w:hAnsi="Arial"/>
          <w:sz w:val="20"/>
          <w:szCs w:val="20"/>
        </w:rPr>
        <w:t xml:space="preserve">Wells </w:t>
      </w:r>
      <w:smartTag w:uri="urn:schemas-microsoft-com:office:smarttags" w:element="place">
        <w:smartTag w:uri="urn:schemas-microsoft-com:office:smarttags" w:element="City">
          <w:r w:rsidRPr="00FB3A6F">
            <w:rPr>
              <w:rFonts w:ascii="Arial" w:hAnsi="Arial"/>
              <w:sz w:val="20"/>
              <w:szCs w:val="20"/>
            </w:rPr>
            <w:t>Fargo</w:t>
          </w:r>
        </w:smartTag>
      </w:smartTag>
    </w:p>
    <w:p w:rsidR="00FB3A6F" w:rsidRPr="00FB3A6F" w:rsidRDefault="00FB3A6F" w:rsidP="00FB3A6F">
      <w:pPr>
        <w:widowControl w:val="0"/>
        <w:numPr>
          <w:ilvl w:val="0"/>
          <w:numId w:val="79"/>
        </w:numPr>
        <w:spacing w:before="40" w:after="40"/>
        <w:ind w:right="115"/>
        <w:jc w:val="both"/>
        <w:rPr>
          <w:rFonts w:ascii="Arial" w:hAnsi="Arial"/>
          <w:sz w:val="20"/>
          <w:szCs w:val="20"/>
        </w:rPr>
      </w:pPr>
      <w:r w:rsidRPr="00FB3A6F">
        <w:rPr>
          <w:rFonts w:ascii="Arial" w:hAnsi="Arial"/>
          <w:sz w:val="20"/>
          <w:szCs w:val="20"/>
        </w:rPr>
        <w:t>Banc One Securities Corp.</w:t>
      </w:r>
    </w:p>
    <w:p w:rsidR="00FB3A6F" w:rsidRPr="00FB3A6F" w:rsidRDefault="00FB3A6F" w:rsidP="00FB3A6F">
      <w:pPr>
        <w:widowControl w:val="0"/>
        <w:numPr>
          <w:ilvl w:val="0"/>
          <w:numId w:val="79"/>
        </w:numPr>
        <w:spacing w:before="40" w:after="40"/>
        <w:ind w:right="115"/>
        <w:jc w:val="both"/>
        <w:rPr>
          <w:rFonts w:ascii="Arial" w:hAnsi="Arial"/>
          <w:sz w:val="20"/>
          <w:szCs w:val="20"/>
        </w:rPr>
      </w:pPr>
      <w:r w:rsidRPr="00FB3A6F">
        <w:rPr>
          <w:rFonts w:ascii="Arial" w:hAnsi="Arial"/>
          <w:sz w:val="20"/>
          <w:szCs w:val="20"/>
        </w:rPr>
        <w:t xml:space="preserve">Bank of </w:t>
      </w:r>
      <w:smartTag w:uri="urn:schemas-microsoft-com:office:smarttags" w:element="place">
        <w:smartTag w:uri="urn:schemas-microsoft-com:office:smarttags" w:element="country-region">
          <w:r w:rsidRPr="00FB3A6F">
            <w:rPr>
              <w:rFonts w:ascii="Arial" w:hAnsi="Arial"/>
              <w:sz w:val="20"/>
              <w:szCs w:val="20"/>
            </w:rPr>
            <w:t>America</w:t>
          </w:r>
        </w:smartTag>
      </w:smartTag>
    </w:p>
    <w:p w:rsidR="00FB3A6F" w:rsidRPr="00FB3A6F" w:rsidRDefault="00FB3A6F" w:rsidP="00FB3A6F">
      <w:pPr>
        <w:spacing w:before="40" w:after="40"/>
        <w:jc w:val="both"/>
        <w:rPr>
          <w:rFonts w:ascii="Arial" w:hAnsi="Arial"/>
          <w:sz w:val="20"/>
          <w:szCs w:val="20"/>
        </w:rPr>
      </w:pPr>
    </w:p>
    <w:p w:rsidR="00FB3A6F" w:rsidRPr="00FB3A6F" w:rsidRDefault="00FB3A6F" w:rsidP="00FB3A6F">
      <w:pPr>
        <w:spacing w:before="40" w:after="40"/>
        <w:jc w:val="both"/>
        <w:rPr>
          <w:rFonts w:ascii="Arial" w:hAnsi="Arial"/>
          <w:sz w:val="20"/>
          <w:szCs w:val="20"/>
        </w:rPr>
      </w:pPr>
      <w:r w:rsidRPr="00FB3A6F">
        <w:rPr>
          <w:rFonts w:ascii="Arial" w:hAnsi="Arial"/>
          <w:b/>
          <w:i/>
          <w:sz w:val="20"/>
          <w:szCs w:val="20"/>
        </w:rPr>
        <w:t>Third Party Vendors:</w:t>
      </w:r>
      <w:r w:rsidRPr="00FB3A6F">
        <w:rPr>
          <w:rFonts w:ascii="Arial" w:hAnsi="Arial"/>
          <w:sz w:val="20"/>
          <w:szCs w:val="20"/>
        </w:rPr>
        <w:t xml:space="preserve"> TPVs (also known as Turnkey Asset Management Providers) provide a full range of turnkey managed account services for both broker/dealers and independent RIA’s. Services range from clearing and custody, to due diligence and portfolio construction, to the production of client statements, newsletters, collateral materials, sales support and advisor training universities.</w:t>
      </w:r>
    </w:p>
    <w:p w:rsidR="00FB3A6F" w:rsidRPr="00FB3A6F" w:rsidRDefault="00FB3A6F" w:rsidP="00FB3A6F">
      <w:pPr>
        <w:widowControl w:val="0"/>
        <w:numPr>
          <w:ilvl w:val="0"/>
          <w:numId w:val="80"/>
        </w:numPr>
        <w:spacing w:before="40" w:after="40"/>
        <w:ind w:right="115"/>
        <w:jc w:val="both"/>
        <w:rPr>
          <w:rFonts w:ascii="Arial" w:hAnsi="Arial"/>
          <w:sz w:val="20"/>
          <w:szCs w:val="20"/>
        </w:rPr>
      </w:pPr>
      <w:r w:rsidRPr="00FB3A6F">
        <w:rPr>
          <w:rFonts w:ascii="Arial" w:hAnsi="Arial"/>
          <w:sz w:val="20"/>
          <w:szCs w:val="20"/>
        </w:rPr>
        <w:t>SEI investments</w:t>
      </w:r>
    </w:p>
    <w:p w:rsidR="00FB3A6F" w:rsidRPr="00FB3A6F" w:rsidRDefault="00FB3A6F" w:rsidP="00FB3A6F">
      <w:pPr>
        <w:widowControl w:val="0"/>
        <w:numPr>
          <w:ilvl w:val="0"/>
          <w:numId w:val="80"/>
        </w:numPr>
        <w:spacing w:before="40" w:after="40"/>
        <w:ind w:right="115"/>
        <w:jc w:val="both"/>
        <w:rPr>
          <w:rFonts w:ascii="Arial" w:hAnsi="Arial"/>
          <w:sz w:val="20"/>
          <w:szCs w:val="20"/>
        </w:rPr>
      </w:pPr>
      <w:r w:rsidRPr="00FB3A6F">
        <w:rPr>
          <w:rFonts w:ascii="Arial" w:hAnsi="Arial"/>
          <w:sz w:val="20"/>
          <w:szCs w:val="20"/>
        </w:rPr>
        <w:t>Charles Schwab</w:t>
      </w:r>
    </w:p>
    <w:p w:rsidR="00FB3A6F" w:rsidRPr="00FB3A6F" w:rsidRDefault="00FB3A6F" w:rsidP="00FB3A6F">
      <w:pPr>
        <w:pStyle w:val="List"/>
        <w:widowControl w:val="0"/>
        <w:numPr>
          <w:ilvl w:val="0"/>
          <w:numId w:val="80"/>
        </w:numPr>
        <w:tabs>
          <w:tab w:val="clear" w:pos="180"/>
          <w:tab w:val="clear" w:pos="540"/>
        </w:tabs>
        <w:spacing w:before="40" w:after="40"/>
        <w:ind w:right="115"/>
        <w:rPr>
          <w:rFonts w:ascii="Arial" w:hAnsi="Arial"/>
          <w:color w:val="auto"/>
        </w:rPr>
      </w:pPr>
      <w:r w:rsidRPr="00FB3A6F">
        <w:rPr>
          <w:rFonts w:ascii="Arial" w:hAnsi="Arial"/>
          <w:color w:val="auto"/>
        </w:rPr>
        <w:t>Lockwood Financial</w:t>
      </w:r>
    </w:p>
    <w:p w:rsidR="00FB3A6F" w:rsidRPr="00FB3A6F" w:rsidRDefault="00FB3A6F" w:rsidP="00FB3A6F">
      <w:pPr>
        <w:widowControl w:val="0"/>
        <w:numPr>
          <w:ilvl w:val="0"/>
          <w:numId w:val="80"/>
        </w:numPr>
        <w:spacing w:before="40" w:after="40"/>
        <w:ind w:right="115"/>
        <w:jc w:val="both"/>
        <w:rPr>
          <w:rFonts w:ascii="Arial" w:hAnsi="Arial"/>
          <w:sz w:val="20"/>
          <w:szCs w:val="20"/>
        </w:rPr>
      </w:pPr>
      <w:proofErr w:type="spellStart"/>
      <w:r w:rsidRPr="00FB3A6F">
        <w:rPr>
          <w:rFonts w:ascii="Arial" w:hAnsi="Arial"/>
          <w:sz w:val="20"/>
          <w:szCs w:val="20"/>
        </w:rPr>
        <w:t>FundQuest</w:t>
      </w:r>
      <w:proofErr w:type="spellEnd"/>
    </w:p>
    <w:p w:rsidR="00FB3A6F" w:rsidRPr="00FB3A6F" w:rsidRDefault="00FB3A6F" w:rsidP="00FB3A6F">
      <w:pPr>
        <w:widowControl w:val="0"/>
        <w:numPr>
          <w:ilvl w:val="0"/>
          <w:numId w:val="80"/>
        </w:numPr>
        <w:spacing w:before="40" w:after="40"/>
        <w:ind w:right="115"/>
        <w:jc w:val="both"/>
        <w:rPr>
          <w:rFonts w:ascii="Arial" w:hAnsi="Arial"/>
          <w:sz w:val="20"/>
          <w:szCs w:val="20"/>
        </w:rPr>
      </w:pPr>
      <w:proofErr w:type="spellStart"/>
      <w:r w:rsidRPr="00FB3A6F">
        <w:rPr>
          <w:rFonts w:ascii="Arial" w:hAnsi="Arial"/>
          <w:sz w:val="20"/>
          <w:szCs w:val="20"/>
        </w:rPr>
        <w:t>Envestment</w:t>
      </w:r>
      <w:proofErr w:type="spellEnd"/>
      <w:r w:rsidRPr="00FB3A6F">
        <w:rPr>
          <w:rFonts w:ascii="Arial" w:hAnsi="Arial"/>
          <w:sz w:val="20"/>
          <w:szCs w:val="20"/>
        </w:rPr>
        <w:t xml:space="preserve"> PMC</w:t>
      </w:r>
    </w:p>
    <w:p w:rsidR="00FB3A6F" w:rsidRPr="00FB3A6F" w:rsidRDefault="00FB3A6F" w:rsidP="00FB3A6F">
      <w:pPr>
        <w:widowControl w:val="0"/>
        <w:numPr>
          <w:ilvl w:val="0"/>
          <w:numId w:val="80"/>
        </w:numPr>
        <w:spacing w:before="40" w:after="40"/>
        <w:ind w:right="115"/>
        <w:jc w:val="both"/>
        <w:rPr>
          <w:rFonts w:ascii="Arial" w:hAnsi="Arial"/>
          <w:sz w:val="20"/>
          <w:szCs w:val="20"/>
        </w:rPr>
      </w:pPr>
      <w:smartTag w:uri="urn:schemas-microsoft-com:office:smarttags" w:element="place">
        <w:smartTag w:uri="urn:schemas-microsoft-com:office:smarttags" w:element="City">
          <w:r w:rsidRPr="00FB3A6F">
            <w:rPr>
              <w:rFonts w:ascii="Arial" w:hAnsi="Arial"/>
              <w:sz w:val="20"/>
              <w:szCs w:val="20"/>
            </w:rPr>
            <w:t>London</w:t>
          </w:r>
        </w:smartTag>
      </w:smartTag>
      <w:r w:rsidRPr="00FB3A6F">
        <w:rPr>
          <w:rFonts w:ascii="Arial" w:hAnsi="Arial"/>
          <w:sz w:val="20"/>
          <w:szCs w:val="20"/>
        </w:rPr>
        <w:t xml:space="preserve"> Pacific Advisors</w:t>
      </w:r>
    </w:p>
    <w:p w:rsidR="00FB3A6F" w:rsidRPr="00FB3A6F" w:rsidRDefault="00FB3A6F" w:rsidP="00FB3A6F">
      <w:pPr>
        <w:widowControl w:val="0"/>
        <w:numPr>
          <w:ilvl w:val="0"/>
          <w:numId w:val="80"/>
        </w:numPr>
        <w:spacing w:before="40" w:after="40"/>
        <w:ind w:right="115"/>
        <w:jc w:val="both"/>
        <w:rPr>
          <w:rFonts w:ascii="Arial" w:hAnsi="Arial"/>
          <w:sz w:val="20"/>
          <w:szCs w:val="20"/>
        </w:rPr>
      </w:pPr>
      <w:r w:rsidRPr="00FB3A6F">
        <w:rPr>
          <w:rFonts w:ascii="Arial" w:hAnsi="Arial"/>
          <w:sz w:val="20"/>
          <w:szCs w:val="20"/>
        </w:rPr>
        <w:t>Brinker Capital</w:t>
      </w:r>
    </w:p>
    <w:p w:rsidR="00FB3A6F" w:rsidRPr="00FB3A6F" w:rsidRDefault="00FB3A6F" w:rsidP="00FB3A6F">
      <w:pPr>
        <w:widowControl w:val="0"/>
        <w:numPr>
          <w:ilvl w:val="0"/>
          <w:numId w:val="80"/>
        </w:numPr>
        <w:spacing w:before="40" w:after="40"/>
        <w:ind w:right="115"/>
        <w:jc w:val="both"/>
        <w:rPr>
          <w:rFonts w:ascii="Arial" w:hAnsi="Arial"/>
          <w:sz w:val="20"/>
          <w:szCs w:val="20"/>
        </w:rPr>
      </w:pPr>
      <w:r w:rsidRPr="00FB3A6F">
        <w:rPr>
          <w:rFonts w:ascii="Arial" w:hAnsi="Arial"/>
          <w:sz w:val="20"/>
          <w:szCs w:val="20"/>
        </w:rPr>
        <w:t>Asset mark</w:t>
      </w:r>
    </w:p>
    <w:p w:rsidR="00FB3A6F" w:rsidRPr="00FB3A6F" w:rsidRDefault="003A04ED" w:rsidP="00FB3A6F">
      <w:pPr>
        <w:widowControl w:val="0"/>
        <w:numPr>
          <w:ilvl w:val="0"/>
          <w:numId w:val="80"/>
        </w:numPr>
        <w:spacing w:before="40" w:after="40"/>
        <w:ind w:right="115"/>
        <w:jc w:val="both"/>
        <w:rPr>
          <w:rFonts w:ascii="Arial" w:hAnsi="Arial"/>
          <w:sz w:val="20"/>
          <w:szCs w:val="20"/>
        </w:rPr>
      </w:pPr>
      <w:r w:rsidRPr="00FB3A6F">
        <w:rPr>
          <w:rFonts w:ascii="Arial" w:hAnsi="Arial"/>
          <w:sz w:val="20"/>
          <w:szCs w:val="20"/>
        </w:rPr>
        <w:t>SunGard</w:t>
      </w:r>
      <w:r w:rsidR="00FB3A6F" w:rsidRPr="00FB3A6F">
        <w:rPr>
          <w:rFonts w:ascii="Arial" w:hAnsi="Arial"/>
          <w:sz w:val="20"/>
          <w:szCs w:val="20"/>
        </w:rPr>
        <w:t xml:space="preserve"> Advisor Technologies</w:t>
      </w:r>
    </w:p>
    <w:p w:rsidR="00FB3A6F" w:rsidRPr="00FB3A6F" w:rsidRDefault="00FB3A6F" w:rsidP="00FB3A6F">
      <w:pPr>
        <w:spacing w:before="40" w:after="40"/>
        <w:jc w:val="both"/>
        <w:rPr>
          <w:rFonts w:ascii="Arial" w:hAnsi="Arial"/>
          <w:sz w:val="20"/>
          <w:szCs w:val="20"/>
        </w:rPr>
      </w:pPr>
      <w:r w:rsidRPr="00FB3A6F">
        <w:rPr>
          <w:rFonts w:ascii="Arial" w:hAnsi="Arial"/>
          <w:sz w:val="20"/>
          <w:szCs w:val="20"/>
        </w:rPr>
        <w:t>Third Party vendors may have their own technology systems and may be the competitors of Technology providers.</w:t>
      </w:r>
    </w:p>
    <w:p w:rsidR="00FB3A6F" w:rsidRDefault="00FB3A6F" w:rsidP="00FB3A6F">
      <w:pPr>
        <w:pStyle w:val="Cog-body"/>
        <w:spacing w:line="240" w:lineRule="auto"/>
        <w:ind w:left="0"/>
      </w:pPr>
    </w:p>
    <w:p w:rsidR="003A5DB6" w:rsidRDefault="002C4694" w:rsidP="0040385F">
      <w:pPr>
        <w:pStyle w:val="Heading2"/>
        <w:keepNext w:val="0"/>
        <w:spacing w:before="120" w:after="120" w:line="240" w:lineRule="atLeast"/>
        <w:ind w:left="0" w:firstLine="0"/>
        <w:jc w:val="both"/>
        <w:rPr>
          <w:szCs w:val="22"/>
        </w:rPr>
      </w:pPr>
      <w:bookmarkStart w:id="609" w:name="_Toc226530559"/>
      <w:r>
        <w:rPr>
          <w:szCs w:val="22"/>
        </w:rPr>
        <w:t>Organization Structure</w:t>
      </w:r>
      <w:r w:rsidR="003A04ED">
        <w:rPr>
          <w:szCs w:val="22"/>
        </w:rPr>
        <w:t xml:space="preserve"> </w:t>
      </w:r>
      <w:proofErr w:type="gramStart"/>
      <w:r w:rsidR="00DB7F86">
        <w:rPr>
          <w:szCs w:val="22"/>
        </w:rPr>
        <w:t>( Sponsor</w:t>
      </w:r>
      <w:proofErr w:type="gramEnd"/>
      <w:r w:rsidR="00DB7F86">
        <w:rPr>
          <w:szCs w:val="22"/>
        </w:rPr>
        <w:t>)</w:t>
      </w:r>
      <w:bookmarkEnd w:id="609"/>
    </w:p>
    <w:p w:rsidR="00DB7F86" w:rsidRPr="00451D5C" w:rsidRDefault="00DB7F86" w:rsidP="004F2DC2">
      <w:pPr>
        <w:pStyle w:val="Cog-body"/>
        <w:spacing w:line="240" w:lineRule="auto"/>
        <w:ind w:left="0"/>
        <w:rPr>
          <w:color w:val="000000"/>
          <w:szCs w:val="20"/>
        </w:rPr>
      </w:pPr>
      <w:r w:rsidRPr="00451D5C">
        <w:rPr>
          <w:color w:val="000000"/>
          <w:szCs w:val="20"/>
        </w:rPr>
        <w:t>The sponsor organization can be classified into three groups based on its size:</w:t>
      </w:r>
    </w:p>
    <w:p w:rsidR="00DB7F86" w:rsidRPr="00451D5C" w:rsidRDefault="00DB7F86" w:rsidP="009874A6">
      <w:pPr>
        <w:pStyle w:val="Cog-body-bulletted"/>
        <w:numPr>
          <w:ilvl w:val="0"/>
          <w:numId w:val="9"/>
        </w:numPr>
        <w:tabs>
          <w:tab w:val="clear" w:pos="1620"/>
          <w:tab w:val="num" w:pos="720"/>
        </w:tabs>
        <w:spacing w:line="240" w:lineRule="auto"/>
        <w:ind w:left="720"/>
        <w:jc w:val="both"/>
        <w:rPr>
          <w:rFonts w:ascii="Arial" w:hAnsi="Arial"/>
          <w:color w:val="000000"/>
          <w:szCs w:val="20"/>
        </w:rPr>
      </w:pPr>
      <w:r w:rsidRPr="00451D5C">
        <w:rPr>
          <w:rFonts w:ascii="Arial" w:hAnsi="Arial"/>
          <w:color w:val="000000"/>
          <w:szCs w:val="20"/>
        </w:rPr>
        <w:t>Large (500+ employees)</w:t>
      </w:r>
    </w:p>
    <w:p w:rsidR="00DB7F86" w:rsidRPr="00451D5C" w:rsidRDefault="00DB7F86" w:rsidP="009874A6">
      <w:pPr>
        <w:pStyle w:val="Cog-body-bulletted"/>
        <w:numPr>
          <w:ilvl w:val="0"/>
          <w:numId w:val="9"/>
        </w:numPr>
        <w:tabs>
          <w:tab w:val="clear" w:pos="1620"/>
          <w:tab w:val="num" w:pos="720"/>
        </w:tabs>
        <w:spacing w:line="240" w:lineRule="auto"/>
        <w:ind w:left="720"/>
        <w:jc w:val="both"/>
        <w:rPr>
          <w:rFonts w:ascii="Arial" w:hAnsi="Arial"/>
          <w:color w:val="000000"/>
          <w:szCs w:val="20"/>
        </w:rPr>
      </w:pPr>
      <w:r w:rsidRPr="00451D5C">
        <w:rPr>
          <w:rFonts w:ascii="Arial" w:hAnsi="Arial"/>
          <w:color w:val="000000"/>
          <w:szCs w:val="20"/>
        </w:rPr>
        <w:t>Medium (100-500 employees)</w:t>
      </w:r>
    </w:p>
    <w:p w:rsidR="00DB7F86" w:rsidRPr="00451D5C" w:rsidRDefault="00DB7F86" w:rsidP="009874A6">
      <w:pPr>
        <w:pStyle w:val="Cog-body-bulletted"/>
        <w:numPr>
          <w:ilvl w:val="0"/>
          <w:numId w:val="9"/>
        </w:numPr>
        <w:tabs>
          <w:tab w:val="clear" w:pos="1620"/>
          <w:tab w:val="num" w:pos="720"/>
        </w:tabs>
        <w:spacing w:line="240" w:lineRule="auto"/>
        <w:ind w:left="720"/>
        <w:jc w:val="both"/>
        <w:rPr>
          <w:rFonts w:ascii="Arial" w:hAnsi="Arial"/>
          <w:color w:val="000000"/>
          <w:szCs w:val="20"/>
        </w:rPr>
      </w:pPr>
      <w:r w:rsidRPr="00451D5C">
        <w:rPr>
          <w:rFonts w:ascii="Arial" w:hAnsi="Arial"/>
          <w:color w:val="000000"/>
          <w:szCs w:val="20"/>
        </w:rPr>
        <w:t>Small (less than 100 employees)</w:t>
      </w:r>
    </w:p>
    <w:p w:rsidR="00DB7F86" w:rsidRPr="00451D5C" w:rsidRDefault="00DB7F86" w:rsidP="004F2DC2">
      <w:pPr>
        <w:pStyle w:val="Cog-body"/>
        <w:spacing w:line="240" w:lineRule="auto"/>
        <w:ind w:left="0"/>
        <w:rPr>
          <w:color w:val="000000"/>
          <w:szCs w:val="20"/>
        </w:rPr>
      </w:pPr>
      <w:r w:rsidRPr="00451D5C">
        <w:rPr>
          <w:color w:val="000000"/>
          <w:szCs w:val="20"/>
        </w:rPr>
        <w:t>In the case of the medium and small sponsor organizations, about one third of the employees work exclusively on the SMA related activities.</w:t>
      </w:r>
    </w:p>
    <w:p w:rsidR="00DB7F86" w:rsidRPr="00451D5C" w:rsidRDefault="00DB7F86" w:rsidP="004F2DC2">
      <w:pPr>
        <w:pStyle w:val="Cog-body"/>
        <w:spacing w:line="240" w:lineRule="auto"/>
        <w:ind w:left="0"/>
        <w:rPr>
          <w:color w:val="000000"/>
          <w:szCs w:val="20"/>
        </w:rPr>
      </w:pPr>
      <w:r w:rsidRPr="00451D5C">
        <w:rPr>
          <w:color w:val="000000"/>
          <w:szCs w:val="20"/>
        </w:rPr>
        <w:t>A typical sponsor organization has four groups:</w:t>
      </w:r>
    </w:p>
    <w:tbl>
      <w:tblPr>
        <w:tblW w:w="0" w:type="auto"/>
        <w:tblLook w:val="0000"/>
      </w:tblPr>
      <w:tblGrid>
        <w:gridCol w:w="1961"/>
        <w:gridCol w:w="6787"/>
      </w:tblGrid>
      <w:tr w:rsidR="00DB7F86" w:rsidRPr="00451D5C" w:rsidTr="00686A5A">
        <w:tc>
          <w:tcPr>
            <w:tcW w:w="1961"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Support services</w:t>
            </w:r>
          </w:p>
        </w:tc>
        <w:tc>
          <w:tcPr>
            <w:tcW w:w="6787"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The support services group provides the support functionality to the managers by performing services related to account creation, portfolio administration, compliance and client reporting.</w:t>
            </w:r>
          </w:p>
        </w:tc>
      </w:tr>
      <w:tr w:rsidR="00DB7F86" w:rsidRPr="00451D5C" w:rsidTr="00686A5A">
        <w:tc>
          <w:tcPr>
            <w:tcW w:w="1961"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Marketing and Consulting</w:t>
            </w:r>
          </w:p>
        </w:tc>
        <w:tc>
          <w:tcPr>
            <w:tcW w:w="6787"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This group works on marketing the programs to the clients, i.e. the investor.</w:t>
            </w:r>
          </w:p>
        </w:tc>
      </w:tr>
      <w:tr w:rsidR="00DB7F86" w:rsidRPr="00451D5C" w:rsidTr="00686A5A">
        <w:tc>
          <w:tcPr>
            <w:tcW w:w="1961"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Brokerage and Client Services</w:t>
            </w:r>
          </w:p>
        </w:tc>
        <w:tc>
          <w:tcPr>
            <w:tcW w:w="6787"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 xml:space="preserve">Based on the program segment in which sponsor offers programs, this group can provide portfolio and order management services. In case of the Rep-As-A-Manager, the brokerage and client services group provides order management services, while for the RIA, it performs the portfolio </w:t>
            </w:r>
            <w:r w:rsidRPr="00451D5C">
              <w:rPr>
                <w:rFonts w:ascii="Arial" w:hAnsi="Arial"/>
                <w:color w:val="000000"/>
                <w:szCs w:val="20"/>
              </w:rPr>
              <w:lastRenderedPageBreak/>
              <w:t>management services.</w:t>
            </w:r>
          </w:p>
        </w:tc>
      </w:tr>
      <w:tr w:rsidR="00DB7F86" w:rsidRPr="00451D5C" w:rsidTr="00686A5A">
        <w:tc>
          <w:tcPr>
            <w:tcW w:w="1961"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lastRenderedPageBreak/>
              <w:t>Advisory and Due Diligence</w:t>
            </w:r>
          </w:p>
        </w:tc>
        <w:tc>
          <w:tcPr>
            <w:tcW w:w="6787"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This group works on providing research and other information to the managers.</w:t>
            </w:r>
          </w:p>
          <w:p w:rsidR="00DB7F86" w:rsidRPr="00451D5C" w:rsidRDefault="00DB7F86" w:rsidP="00686A5A">
            <w:pPr>
              <w:pStyle w:val="TableText"/>
              <w:spacing w:line="240" w:lineRule="auto"/>
              <w:rPr>
                <w:rFonts w:ascii="Arial" w:hAnsi="Arial"/>
                <w:color w:val="000000"/>
                <w:szCs w:val="20"/>
              </w:rPr>
            </w:pPr>
            <w:r w:rsidRPr="00451D5C">
              <w:rPr>
                <w:rFonts w:ascii="Arial" w:hAnsi="Arial"/>
                <w:color w:val="000000"/>
                <w:szCs w:val="20"/>
              </w:rPr>
              <w:t>Each of the divisions focuses on and performs specialized functions as listed in the diagram below.</w:t>
            </w:r>
          </w:p>
        </w:tc>
      </w:tr>
    </w:tbl>
    <w:p w:rsidR="00DB7F86" w:rsidRPr="00451D5C" w:rsidRDefault="00DB7F86" w:rsidP="00DB7F86">
      <w:pPr>
        <w:jc w:val="both"/>
        <w:rPr>
          <w:rFonts w:ascii="Arial" w:hAnsi="Arial" w:cs="Arial"/>
          <w:color w:val="000000"/>
          <w:sz w:val="20"/>
          <w:szCs w:val="20"/>
        </w:rPr>
      </w:pPr>
    </w:p>
    <w:p w:rsidR="00DB7F86" w:rsidRPr="00451D5C" w:rsidRDefault="00DB7F86" w:rsidP="00DB7F86">
      <w:pPr>
        <w:ind w:left="1440"/>
        <w:jc w:val="both"/>
        <w:rPr>
          <w:rFonts w:ascii="Arial" w:hAnsi="Arial" w:cs="Arial"/>
          <w:color w:val="000000"/>
          <w:sz w:val="20"/>
          <w:szCs w:val="20"/>
        </w:rPr>
      </w:pPr>
    </w:p>
    <w:p w:rsidR="00DB7F86" w:rsidRPr="00451D5C" w:rsidRDefault="00C164AF" w:rsidP="00DB7F86">
      <w:pPr>
        <w:pStyle w:val="Caption"/>
        <w:jc w:val="both"/>
        <w:rPr>
          <w:rFonts w:ascii="Arial" w:hAnsi="Arial" w:cs="Arial"/>
          <w:b w:val="0"/>
          <w:bCs w:val="0"/>
          <w:color w:val="000000"/>
        </w:rPr>
      </w:pPr>
      <w:r>
        <w:rPr>
          <w:rFonts w:ascii="Arial" w:hAnsi="Arial" w:cs="Arial"/>
          <w:b w:val="0"/>
          <w:bCs w:val="0"/>
          <w:noProof/>
          <w:color w:val="000000"/>
        </w:rPr>
        <w:drawing>
          <wp:inline distT="0" distB="0" distL="0" distR="0">
            <wp:extent cx="5724525" cy="3095625"/>
            <wp:effectExtent l="19050" t="0" r="9525" b="0"/>
            <wp:docPr id="18" name="Picture 1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4"/>
                    <pic:cNvPicPr>
                      <a:picLocks noChangeAspect="1" noChangeArrowheads="1"/>
                    </pic:cNvPicPr>
                  </pic:nvPicPr>
                  <pic:blipFill>
                    <a:blip r:embed="rId120" cstate="print"/>
                    <a:srcRect/>
                    <a:stretch>
                      <a:fillRect/>
                    </a:stretch>
                  </pic:blipFill>
                  <pic:spPr bwMode="auto">
                    <a:xfrm>
                      <a:off x="0" y="0"/>
                      <a:ext cx="5724525" cy="3095625"/>
                    </a:xfrm>
                    <a:prstGeom prst="rect">
                      <a:avLst/>
                    </a:prstGeom>
                    <a:noFill/>
                    <a:ln w="9525">
                      <a:noFill/>
                      <a:miter lim="800000"/>
                      <a:headEnd/>
                      <a:tailEnd/>
                    </a:ln>
                  </pic:spPr>
                </pic:pic>
              </a:graphicData>
            </a:graphic>
          </wp:inline>
        </w:drawing>
      </w:r>
    </w:p>
    <w:p w:rsidR="00DB7F86" w:rsidRPr="00451D5C" w:rsidRDefault="00DB7F86" w:rsidP="00DB7F86">
      <w:pPr>
        <w:pStyle w:val="Caption"/>
        <w:ind w:left="2250" w:firstLine="54"/>
        <w:jc w:val="both"/>
        <w:rPr>
          <w:rFonts w:ascii="Arial" w:hAnsi="Arial" w:cs="Arial"/>
          <w:b w:val="0"/>
          <w:bCs w:val="0"/>
          <w:color w:val="000000"/>
        </w:rPr>
      </w:pPr>
      <w:r w:rsidRPr="00451D5C">
        <w:rPr>
          <w:rFonts w:ascii="Arial" w:hAnsi="Arial" w:cs="Arial"/>
          <w:b w:val="0"/>
          <w:bCs w:val="0"/>
          <w:color w:val="000000"/>
        </w:rPr>
        <w:t xml:space="preserve">Figure </w:t>
      </w:r>
      <w:r w:rsidR="00FC0435" w:rsidRPr="00451D5C">
        <w:rPr>
          <w:rFonts w:ascii="Arial" w:hAnsi="Arial" w:cs="Arial"/>
          <w:b w:val="0"/>
          <w:bCs w:val="0"/>
          <w:color w:val="000000"/>
        </w:rPr>
        <w:fldChar w:fldCharType="begin"/>
      </w:r>
      <w:r w:rsidRPr="00451D5C">
        <w:rPr>
          <w:rFonts w:ascii="Arial" w:hAnsi="Arial" w:cs="Arial"/>
          <w:b w:val="0"/>
          <w:bCs w:val="0"/>
          <w:color w:val="000000"/>
        </w:rPr>
        <w:instrText xml:space="preserve"> SEQ Figure \* ARABIC </w:instrText>
      </w:r>
      <w:r w:rsidR="00FC0435" w:rsidRPr="00451D5C">
        <w:rPr>
          <w:rFonts w:ascii="Arial" w:hAnsi="Arial" w:cs="Arial"/>
          <w:b w:val="0"/>
          <w:bCs w:val="0"/>
          <w:color w:val="000000"/>
        </w:rPr>
        <w:fldChar w:fldCharType="separate"/>
      </w:r>
      <w:r w:rsidR="0060131C">
        <w:rPr>
          <w:rFonts w:ascii="Arial" w:hAnsi="Arial" w:cs="Arial"/>
          <w:b w:val="0"/>
          <w:bCs w:val="0"/>
          <w:noProof/>
          <w:color w:val="000000"/>
        </w:rPr>
        <w:t>2</w:t>
      </w:r>
      <w:r w:rsidR="00FC0435" w:rsidRPr="00451D5C">
        <w:rPr>
          <w:rFonts w:ascii="Arial" w:hAnsi="Arial" w:cs="Arial"/>
          <w:b w:val="0"/>
          <w:bCs w:val="0"/>
          <w:color w:val="000000"/>
        </w:rPr>
        <w:fldChar w:fldCharType="end"/>
      </w:r>
      <w:r w:rsidRPr="00451D5C">
        <w:rPr>
          <w:rFonts w:ascii="Arial" w:hAnsi="Arial" w:cs="Arial"/>
          <w:b w:val="0"/>
          <w:bCs w:val="0"/>
          <w:color w:val="000000"/>
        </w:rPr>
        <w:t>: Typical Sponsor Organizational Structure</w:t>
      </w:r>
    </w:p>
    <w:p w:rsidR="00DB7F86" w:rsidRPr="00451D5C" w:rsidRDefault="00DB7F86" w:rsidP="00DB7F86">
      <w:pPr>
        <w:pStyle w:val="Cog-body"/>
        <w:spacing w:line="240" w:lineRule="auto"/>
        <w:ind w:left="0"/>
        <w:rPr>
          <w:color w:val="000000"/>
          <w:szCs w:val="20"/>
        </w:rPr>
      </w:pPr>
      <w:r w:rsidRPr="00451D5C">
        <w:rPr>
          <w:color w:val="000000"/>
          <w:szCs w:val="20"/>
        </w:rPr>
        <w:t>If the sponsor organization offers WRAP programs, the support services group further has six sub groups:</w:t>
      </w:r>
    </w:p>
    <w:tbl>
      <w:tblPr>
        <w:tblW w:w="9648" w:type="dxa"/>
        <w:tblLook w:val="0000"/>
      </w:tblPr>
      <w:tblGrid>
        <w:gridCol w:w="2808"/>
        <w:gridCol w:w="6840"/>
      </w:tblGrid>
      <w:tr w:rsidR="00DB7F86" w:rsidRPr="00451D5C" w:rsidTr="00686A5A">
        <w:tc>
          <w:tcPr>
            <w:tcW w:w="2808"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New Account Group</w:t>
            </w:r>
          </w:p>
        </w:tc>
        <w:tc>
          <w:tcPr>
            <w:tcW w:w="6840"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Performs functionality related to account creation and its administration.</w:t>
            </w:r>
          </w:p>
        </w:tc>
      </w:tr>
      <w:tr w:rsidR="00DB7F86" w:rsidRPr="00451D5C" w:rsidTr="00686A5A">
        <w:tc>
          <w:tcPr>
            <w:tcW w:w="2808"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Client Service Group</w:t>
            </w:r>
          </w:p>
        </w:tc>
        <w:tc>
          <w:tcPr>
            <w:tcW w:w="6840"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The client service group focuses on the order administration.</w:t>
            </w:r>
          </w:p>
        </w:tc>
      </w:tr>
      <w:tr w:rsidR="00DB7F86" w:rsidRPr="00451D5C" w:rsidTr="00686A5A">
        <w:tc>
          <w:tcPr>
            <w:tcW w:w="2808"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Reconciliation Group</w:t>
            </w:r>
          </w:p>
        </w:tc>
        <w:tc>
          <w:tcPr>
            <w:tcW w:w="6840"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As the name suggests, the reconciliation group works on the books and processes corporate actions.</w:t>
            </w:r>
          </w:p>
        </w:tc>
      </w:tr>
      <w:tr w:rsidR="00DB7F86" w:rsidRPr="00451D5C" w:rsidTr="00686A5A">
        <w:tc>
          <w:tcPr>
            <w:tcW w:w="2808"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Performance Group</w:t>
            </w:r>
          </w:p>
        </w:tc>
        <w:tc>
          <w:tcPr>
            <w:tcW w:w="6840"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This group works on client billing and reporting functions.</w:t>
            </w:r>
          </w:p>
        </w:tc>
      </w:tr>
      <w:tr w:rsidR="00DB7F86" w:rsidRPr="00451D5C" w:rsidTr="00686A5A">
        <w:tc>
          <w:tcPr>
            <w:tcW w:w="2808"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Compliance Group</w:t>
            </w:r>
          </w:p>
        </w:tc>
        <w:tc>
          <w:tcPr>
            <w:tcW w:w="6840"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This group tracks and reports on legal compliance.</w:t>
            </w:r>
          </w:p>
        </w:tc>
      </w:tr>
      <w:tr w:rsidR="00DB7F86" w:rsidRPr="00451D5C" w:rsidTr="00686A5A">
        <w:tc>
          <w:tcPr>
            <w:tcW w:w="2808"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Settlements Group</w:t>
            </w:r>
          </w:p>
        </w:tc>
        <w:tc>
          <w:tcPr>
            <w:tcW w:w="6840" w:type="dxa"/>
          </w:tcPr>
          <w:p w:rsidR="00DB7F86" w:rsidRPr="00451D5C" w:rsidRDefault="00DB7F86" w:rsidP="00686A5A">
            <w:pPr>
              <w:pStyle w:val="TableText"/>
              <w:spacing w:before="240" w:line="240" w:lineRule="auto"/>
              <w:rPr>
                <w:rFonts w:ascii="Arial" w:hAnsi="Arial"/>
                <w:color w:val="000000"/>
                <w:szCs w:val="20"/>
              </w:rPr>
            </w:pPr>
            <w:r w:rsidRPr="00451D5C">
              <w:rPr>
                <w:rFonts w:ascii="Arial" w:hAnsi="Arial"/>
                <w:color w:val="000000"/>
                <w:szCs w:val="20"/>
              </w:rPr>
              <w:t>This group works with the custodians, brokers, and clearing firms to track trade settlements, passing on exceptions to the Reconciliation group.</w:t>
            </w:r>
          </w:p>
        </w:tc>
      </w:tr>
    </w:tbl>
    <w:p w:rsidR="00DB7F86" w:rsidRPr="00DB7F86" w:rsidRDefault="00DB7F86" w:rsidP="00DB7F86"/>
    <w:p w:rsidR="005F20A6" w:rsidRDefault="005F20A6" w:rsidP="0040385F">
      <w:pPr>
        <w:pStyle w:val="Heading2"/>
        <w:keepNext w:val="0"/>
        <w:spacing w:before="120" w:after="120" w:line="240" w:lineRule="atLeast"/>
        <w:ind w:left="0" w:firstLine="0"/>
        <w:jc w:val="both"/>
        <w:rPr>
          <w:szCs w:val="22"/>
        </w:rPr>
      </w:pPr>
      <w:bookmarkStart w:id="610" w:name="_Toc226530560"/>
      <w:r>
        <w:rPr>
          <w:szCs w:val="22"/>
        </w:rPr>
        <w:t>Products and Services</w:t>
      </w:r>
      <w:bookmarkEnd w:id="610"/>
    </w:p>
    <w:p w:rsidR="005F20A6" w:rsidRDefault="005F20A6" w:rsidP="005F20A6">
      <w:pPr>
        <w:pStyle w:val="Heading3"/>
        <w:widowControl w:val="0"/>
        <w:tabs>
          <w:tab w:val="clear" w:pos="6444"/>
          <w:tab w:val="left" w:pos="900"/>
          <w:tab w:val="num" w:pos="1800"/>
        </w:tabs>
        <w:spacing w:before="0" w:after="240" w:line="240" w:lineRule="atLeast"/>
        <w:ind w:left="1224" w:right="115" w:hanging="1224"/>
        <w:jc w:val="both"/>
      </w:pPr>
      <w:bookmarkStart w:id="611" w:name="_Toc143579311"/>
      <w:r>
        <w:lastRenderedPageBreak/>
        <w:t>Sponsor Products</w:t>
      </w:r>
      <w:bookmarkEnd w:id="611"/>
    </w:p>
    <w:p w:rsidR="005F20A6" w:rsidRPr="005F20A6" w:rsidRDefault="005F20A6" w:rsidP="005F20A6">
      <w:pPr>
        <w:pStyle w:val="Cog-body"/>
        <w:spacing w:line="240" w:lineRule="auto"/>
        <w:ind w:left="0"/>
        <w:rPr>
          <w:rFonts w:cs="Times New Roman"/>
          <w:szCs w:val="20"/>
        </w:rPr>
      </w:pPr>
      <w:r w:rsidRPr="005F20A6">
        <w:rPr>
          <w:rFonts w:cs="Times New Roman"/>
          <w:szCs w:val="20"/>
        </w:rPr>
        <w:t>For sponsors of SMA accounts the products that they offer to investors are known as SMA programs. These products usually map to one of the business segments described in the previous segment. They include:</w:t>
      </w:r>
    </w:p>
    <w:p w:rsidR="005F20A6" w:rsidRPr="005F20A6" w:rsidRDefault="005F20A6" w:rsidP="005F20A6">
      <w:pPr>
        <w:pStyle w:val="Cog-body"/>
        <w:spacing w:line="240" w:lineRule="auto"/>
        <w:rPr>
          <w:rFonts w:cs="Times New Roman"/>
          <w:szCs w:val="20"/>
        </w:rPr>
      </w:pPr>
      <w:r w:rsidRPr="005F20A6">
        <w:rPr>
          <w:rFonts w:cs="Times New Roman"/>
          <w:szCs w:val="20"/>
        </w:rPr>
        <w:t>OCW Programs</w:t>
      </w:r>
    </w:p>
    <w:p w:rsidR="005F20A6" w:rsidRPr="005F20A6" w:rsidRDefault="005F20A6" w:rsidP="005F20A6">
      <w:pPr>
        <w:pStyle w:val="Cog-body"/>
        <w:spacing w:line="240" w:lineRule="auto"/>
        <w:rPr>
          <w:rFonts w:cs="Times New Roman"/>
          <w:szCs w:val="20"/>
        </w:rPr>
      </w:pPr>
      <w:r w:rsidRPr="005F20A6">
        <w:rPr>
          <w:rFonts w:cs="Times New Roman"/>
          <w:szCs w:val="20"/>
        </w:rPr>
        <w:t>Rep as Manager Program</w:t>
      </w:r>
    </w:p>
    <w:p w:rsidR="005F20A6" w:rsidRPr="005F20A6" w:rsidRDefault="005F20A6" w:rsidP="005F20A6">
      <w:pPr>
        <w:pStyle w:val="Cog-body"/>
        <w:spacing w:line="240" w:lineRule="auto"/>
        <w:rPr>
          <w:rFonts w:cs="Times New Roman"/>
          <w:szCs w:val="20"/>
        </w:rPr>
      </w:pPr>
      <w:r w:rsidRPr="005F20A6">
        <w:rPr>
          <w:rFonts w:cs="Times New Roman"/>
          <w:szCs w:val="20"/>
        </w:rPr>
        <w:t>Fee Based Brokerage Program</w:t>
      </w:r>
    </w:p>
    <w:p w:rsidR="005F20A6" w:rsidRPr="005F20A6" w:rsidRDefault="005F20A6" w:rsidP="005F20A6">
      <w:pPr>
        <w:pStyle w:val="Cog-body"/>
        <w:spacing w:line="240" w:lineRule="auto"/>
        <w:rPr>
          <w:rFonts w:cs="Times New Roman"/>
          <w:szCs w:val="20"/>
        </w:rPr>
      </w:pPr>
      <w:r w:rsidRPr="005F20A6">
        <w:rPr>
          <w:rFonts w:cs="Times New Roman"/>
          <w:szCs w:val="20"/>
        </w:rPr>
        <w:t>Mutual Fund Wrap Program</w:t>
      </w:r>
    </w:p>
    <w:p w:rsidR="005F20A6" w:rsidRPr="005F20A6" w:rsidRDefault="005F20A6" w:rsidP="005F20A6">
      <w:pPr>
        <w:pStyle w:val="Heading3"/>
        <w:widowControl w:val="0"/>
        <w:numPr>
          <w:ilvl w:val="0"/>
          <w:numId w:val="0"/>
        </w:numPr>
        <w:tabs>
          <w:tab w:val="left" w:pos="900"/>
        </w:tabs>
        <w:spacing w:before="0" w:after="240" w:line="240" w:lineRule="atLeast"/>
        <w:ind w:right="115"/>
        <w:jc w:val="both"/>
        <w:rPr>
          <w:color w:val="008080"/>
          <w:sz w:val="20"/>
          <w:szCs w:val="20"/>
        </w:rPr>
      </w:pPr>
      <w:bookmarkStart w:id="612" w:name="_Toc69641539"/>
      <w:bookmarkStart w:id="613" w:name="_Toc89595054"/>
      <w:bookmarkStart w:id="614" w:name="_Toc90454678"/>
      <w:bookmarkStart w:id="615" w:name="_Toc143579312"/>
      <w:r w:rsidRPr="005F20A6">
        <w:rPr>
          <w:color w:val="008080"/>
          <w:sz w:val="20"/>
          <w:szCs w:val="20"/>
        </w:rPr>
        <w:t>Multiple Style Portfolio</w:t>
      </w:r>
      <w:bookmarkEnd w:id="612"/>
      <w:bookmarkEnd w:id="613"/>
      <w:bookmarkEnd w:id="614"/>
      <w:bookmarkEnd w:id="615"/>
      <w:r w:rsidRPr="005F20A6">
        <w:rPr>
          <w:color w:val="008080"/>
          <w:sz w:val="20"/>
          <w:szCs w:val="20"/>
        </w:rPr>
        <w:t xml:space="preserve"> </w:t>
      </w:r>
    </w:p>
    <w:p w:rsidR="005F20A6" w:rsidRPr="005F20A6" w:rsidRDefault="005F20A6" w:rsidP="005F20A6">
      <w:pPr>
        <w:pStyle w:val="Cog-body"/>
        <w:spacing w:line="240" w:lineRule="auto"/>
        <w:ind w:left="0"/>
        <w:rPr>
          <w:rFonts w:cs="Times New Roman"/>
          <w:szCs w:val="20"/>
        </w:rPr>
      </w:pPr>
      <w:r w:rsidRPr="005F20A6">
        <w:rPr>
          <w:rFonts w:cs="Times New Roman"/>
          <w:szCs w:val="20"/>
        </w:rPr>
        <w:t xml:space="preserve">The Multiple Style Portfolio (MSP) is an investment account vehicle provided by a sponsor to manage the accounts in multiple portfolios matching the risk profile of the investor. MSPs, also known as Multiple Discipline Accounts (MDA) allows for a blend of investment styles from various investment managers in a single custodial account, providing benefits to the investor, the sponsor and the investment manager. </w:t>
      </w:r>
    </w:p>
    <w:p w:rsidR="005F20A6" w:rsidRPr="005F20A6" w:rsidRDefault="005F20A6" w:rsidP="005F20A6">
      <w:pPr>
        <w:pStyle w:val="Cog-body"/>
        <w:spacing w:line="240" w:lineRule="auto"/>
        <w:ind w:left="0"/>
        <w:rPr>
          <w:rFonts w:cs="Times New Roman"/>
          <w:szCs w:val="20"/>
        </w:rPr>
      </w:pPr>
      <w:r w:rsidRPr="005F20A6">
        <w:rPr>
          <w:rFonts w:cs="Times New Roman"/>
          <w:szCs w:val="20"/>
        </w:rPr>
        <w:t>Most MSP programs involve a Master or Overlay Manager who is responsible for the management and maintenance of the MSP. In many cases, this Overlay Manager will handle the account operations, while in other cases the Overlay Manager will oversee the work of individual style managers.</w:t>
      </w:r>
    </w:p>
    <w:p w:rsidR="005F20A6" w:rsidRPr="005F20A6" w:rsidRDefault="005F20A6" w:rsidP="005F20A6">
      <w:pPr>
        <w:pStyle w:val="Cog-body"/>
        <w:spacing w:line="240" w:lineRule="auto"/>
        <w:ind w:left="0"/>
        <w:rPr>
          <w:rFonts w:cs="Times New Roman"/>
          <w:szCs w:val="20"/>
        </w:rPr>
      </w:pPr>
      <w:r w:rsidRPr="005F20A6">
        <w:rPr>
          <w:rFonts w:cs="Times New Roman"/>
          <w:szCs w:val="20"/>
        </w:rPr>
        <w:t>There are several different types of MSP programs; each is known within the industry as a “generation”, which reflects the progression of the program.</w:t>
      </w:r>
    </w:p>
    <w:p w:rsidR="005F20A6" w:rsidRPr="005F20A6" w:rsidRDefault="005F20A6" w:rsidP="005F20A6">
      <w:pPr>
        <w:pStyle w:val="Cog-body"/>
        <w:spacing w:line="240" w:lineRule="auto"/>
        <w:ind w:left="0"/>
        <w:rPr>
          <w:rFonts w:cs="Times New Roman"/>
          <w:szCs w:val="20"/>
        </w:rPr>
      </w:pPr>
      <w:r w:rsidRPr="005F20A6">
        <w:rPr>
          <w:rFonts w:cs="Times New Roman"/>
          <w:szCs w:val="20"/>
        </w:rPr>
        <w:t>MSP programs are getting increasingly popular and are showing strong growth in terms of both volume and value.</w:t>
      </w:r>
    </w:p>
    <w:p w:rsidR="005F20A6" w:rsidRDefault="005F20A6" w:rsidP="005F20A6">
      <w:pPr>
        <w:pStyle w:val="Cog-body"/>
        <w:ind w:left="0"/>
      </w:pPr>
    </w:p>
    <w:tbl>
      <w:tblPr>
        <w:tblW w:w="8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952"/>
        <w:gridCol w:w="5778"/>
      </w:tblGrid>
      <w:tr w:rsidR="005F20A6" w:rsidRPr="000612E0" w:rsidTr="005F20A6">
        <w:trPr>
          <w:cantSplit/>
          <w:tblHeader/>
        </w:trPr>
        <w:tc>
          <w:tcPr>
            <w:tcW w:w="2952" w:type="dxa"/>
            <w:shd w:val="clear" w:color="auto" w:fill="CCCCCC"/>
          </w:tcPr>
          <w:p w:rsidR="005F20A6" w:rsidRPr="005F20A6" w:rsidRDefault="005F20A6" w:rsidP="005F20A6">
            <w:pPr>
              <w:pStyle w:val="Cog-body"/>
              <w:spacing w:line="240" w:lineRule="auto"/>
              <w:ind w:left="0"/>
              <w:rPr>
                <w:rFonts w:cs="Times New Roman"/>
                <w:szCs w:val="20"/>
              </w:rPr>
            </w:pPr>
            <w:r w:rsidRPr="005F20A6">
              <w:rPr>
                <w:rFonts w:cs="Times New Roman"/>
                <w:szCs w:val="20"/>
              </w:rPr>
              <w:t>MSP Model</w:t>
            </w:r>
          </w:p>
        </w:tc>
        <w:tc>
          <w:tcPr>
            <w:tcW w:w="5778" w:type="dxa"/>
          </w:tcPr>
          <w:p w:rsidR="005F20A6" w:rsidRPr="005F20A6" w:rsidRDefault="005F20A6" w:rsidP="005F20A6">
            <w:pPr>
              <w:pStyle w:val="Cog-body"/>
              <w:spacing w:line="240" w:lineRule="auto"/>
              <w:ind w:left="0"/>
              <w:rPr>
                <w:rFonts w:cs="Times New Roman"/>
                <w:szCs w:val="20"/>
              </w:rPr>
            </w:pPr>
            <w:r w:rsidRPr="005F20A6">
              <w:rPr>
                <w:rFonts w:cs="Times New Roman"/>
                <w:szCs w:val="20"/>
              </w:rPr>
              <w:t>Characteristics</w:t>
            </w:r>
          </w:p>
        </w:tc>
      </w:tr>
      <w:tr w:rsidR="005F20A6" w:rsidRPr="000612E0" w:rsidTr="005F20A6">
        <w:trPr>
          <w:cantSplit/>
        </w:trPr>
        <w:tc>
          <w:tcPr>
            <w:tcW w:w="2952" w:type="dxa"/>
            <w:shd w:val="clear" w:color="auto" w:fill="CCCCCC"/>
            <w:vAlign w:val="center"/>
          </w:tcPr>
          <w:p w:rsidR="005F20A6" w:rsidRPr="005F20A6" w:rsidRDefault="005F20A6" w:rsidP="005F20A6">
            <w:pPr>
              <w:pStyle w:val="Cog-body"/>
              <w:spacing w:line="240" w:lineRule="auto"/>
              <w:ind w:left="0"/>
              <w:rPr>
                <w:rFonts w:cs="Times New Roman"/>
                <w:szCs w:val="20"/>
              </w:rPr>
            </w:pPr>
            <w:r w:rsidRPr="005F20A6">
              <w:rPr>
                <w:rFonts w:cs="Times New Roman"/>
                <w:szCs w:val="20"/>
              </w:rPr>
              <w:t xml:space="preserve">1st Generation </w:t>
            </w:r>
          </w:p>
        </w:tc>
        <w:tc>
          <w:tcPr>
            <w:tcW w:w="5778" w:type="dxa"/>
          </w:tcPr>
          <w:p w:rsidR="005F20A6" w:rsidRPr="005F20A6" w:rsidRDefault="005F20A6" w:rsidP="005F20A6">
            <w:pPr>
              <w:pStyle w:val="Cog-body"/>
              <w:spacing w:line="240" w:lineRule="auto"/>
              <w:ind w:left="0"/>
              <w:rPr>
                <w:rFonts w:cs="Times New Roman"/>
                <w:szCs w:val="20"/>
              </w:rPr>
            </w:pPr>
            <w:r w:rsidRPr="005F20A6">
              <w:rPr>
                <w:rFonts w:cs="Times New Roman"/>
                <w:szCs w:val="20"/>
              </w:rPr>
              <w:t>The asset management division of the sponsor firm controls the styles and trading of an MSP account. (Overlay and Sub Managers from Sponsor firm)</w:t>
            </w:r>
          </w:p>
        </w:tc>
      </w:tr>
      <w:tr w:rsidR="005F20A6" w:rsidRPr="000612E0" w:rsidTr="005F20A6">
        <w:trPr>
          <w:cantSplit/>
        </w:trPr>
        <w:tc>
          <w:tcPr>
            <w:tcW w:w="2952" w:type="dxa"/>
            <w:shd w:val="clear" w:color="auto" w:fill="CCCCCC"/>
            <w:vAlign w:val="center"/>
          </w:tcPr>
          <w:p w:rsidR="005F20A6" w:rsidRPr="005F20A6" w:rsidRDefault="005F20A6" w:rsidP="005F20A6">
            <w:pPr>
              <w:pStyle w:val="Cog-body"/>
              <w:spacing w:line="240" w:lineRule="auto"/>
              <w:ind w:left="0"/>
              <w:rPr>
                <w:rFonts w:cs="Times New Roman"/>
                <w:szCs w:val="20"/>
              </w:rPr>
            </w:pPr>
            <w:r w:rsidRPr="005F20A6">
              <w:rPr>
                <w:rFonts w:cs="Times New Roman"/>
                <w:szCs w:val="20"/>
              </w:rPr>
              <w:t>2nd Generation</w:t>
            </w:r>
          </w:p>
        </w:tc>
        <w:tc>
          <w:tcPr>
            <w:tcW w:w="5778" w:type="dxa"/>
          </w:tcPr>
          <w:p w:rsidR="005F20A6" w:rsidRPr="005F20A6" w:rsidRDefault="005F20A6" w:rsidP="005F20A6">
            <w:pPr>
              <w:pStyle w:val="Cog-body"/>
              <w:spacing w:line="240" w:lineRule="auto"/>
              <w:ind w:left="0"/>
              <w:rPr>
                <w:rFonts w:cs="Times New Roman"/>
                <w:szCs w:val="20"/>
              </w:rPr>
            </w:pPr>
            <w:r w:rsidRPr="005F20A6">
              <w:rPr>
                <w:rFonts w:cs="Times New Roman"/>
                <w:szCs w:val="20"/>
              </w:rPr>
              <w:t>Program sponsor partners with a single asset management firm that is responsible for trading on the account and for providing all the strategies within the MSP product. (Overlay Manager and Sub Managers– NOT part of Sponsor’s firm)</w:t>
            </w:r>
          </w:p>
        </w:tc>
      </w:tr>
      <w:tr w:rsidR="005F20A6" w:rsidRPr="000612E0" w:rsidTr="005F20A6">
        <w:tc>
          <w:tcPr>
            <w:tcW w:w="2952" w:type="dxa"/>
            <w:shd w:val="clear" w:color="auto" w:fill="CCCCCC"/>
            <w:vAlign w:val="center"/>
          </w:tcPr>
          <w:p w:rsidR="005F20A6" w:rsidRPr="005F20A6" w:rsidRDefault="005F20A6" w:rsidP="005F20A6">
            <w:pPr>
              <w:pStyle w:val="Cog-body"/>
              <w:spacing w:line="240" w:lineRule="auto"/>
              <w:ind w:left="0"/>
              <w:rPr>
                <w:rFonts w:cs="Times New Roman"/>
                <w:szCs w:val="20"/>
              </w:rPr>
            </w:pPr>
            <w:r w:rsidRPr="005F20A6">
              <w:rPr>
                <w:rFonts w:cs="Times New Roman"/>
                <w:szCs w:val="20"/>
              </w:rPr>
              <w:t>3rd Generation</w:t>
            </w:r>
          </w:p>
        </w:tc>
        <w:tc>
          <w:tcPr>
            <w:tcW w:w="5778" w:type="dxa"/>
          </w:tcPr>
          <w:p w:rsidR="005F20A6" w:rsidRPr="005F20A6" w:rsidRDefault="005F20A6" w:rsidP="005F20A6">
            <w:pPr>
              <w:pStyle w:val="Cog-body"/>
              <w:spacing w:line="240" w:lineRule="auto"/>
              <w:ind w:left="0"/>
              <w:rPr>
                <w:rFonts w:cs="Times New Roman"/>
                <w:szCs w:val="20"/>
              </w:rPr>
            </w:pPr>
            <w:r w:rsidRPr="005F20A6">
              <w:rPr>
                <w:rFonts w:cs="Times New Roman"/>
                <w:szCs w:val="20"/>
              </w:rPr>
              <w:t>Program sponsor selects several unaffiliated managers for their MSP program; each manager provides a model for their individual investment advisory.</w:t>
            </w:r>
          </w:p>
          <w:p w:rsidR="005F20A6" w:rsidRPr="005F20A6" w:rsidRDefault="005F20A6" w:rsidP="005F20A6">
            <w:pPr>
              <w:pStyle w:val="Cog-body"/>
              <w:spacing w:line="240" w:lineRule="auto"/>
              <w:ind w:left="0"/>
              <w:rPr>
                <w:rFonts w:cs="Times New Roman"/>
                <w:szCs w:val="20"/>
              </w:rPr>
            </w:pPr>
            <w:r w:rsidRPr="005F20A6">
              <w:rPr>
                <w:rFonts w:cs="Times New Roman"/>
                <w:szCs w:val="20"/>
              </w:rPr>
              <w:t>Active Overlay</w:t>
            </w:r>
          </w:p>
          <w:p w:rsidR="005F20A6" w:rsidRPr="005F20A6" w:rsidRDefault="005F20A6" w:rsidP="005F20A6">
            <w:pPr>
              <w:pStyle w:val="Cog-body"/>
              <w:spacing w:line="240" w:lineRule="auto"/>
              <w:ind w:left="0"/>
              <w:rPr>
                <w:rFonts w:cs="Times New Roman"/>
                <w:szCs w:val="20"/>
              </w:rPr>
            </w:pPr>
            <w:r w:rsidRPr="005F20A6">
              <w:rPr>
                <w:rFonts w:cs="Times New Roman"/>
                <w:szCs w:val="20"/>
              </w:rPr>
              <w:t>Strong Overlay Manager from Sponsor’s organization is responsible for rebalancing (Sponsor may employ an independent party as overlay)</w:t>
            </w:r>
          </w:p>
          <w:p w:rsidR="005F20A6" w:rsidRPr="005F20A6" w:rsidRDefault="005F20A6" w:rsidP="005F20A6">
            <w:pPr>
              <w:pStyle w:val="Cog-body"/>
              <w:spacing w:line="240" w:lineRule="auto"/>
              <w:ind w:left="0"/>
              <w:rPr>
                <w:rFonts w:cs="Times New Roman"/>
                <w:szCs w:val="20"/>
              </w:rPr>
            </w:pPr>
            <w:r w:rsidRPr="005F20A6">
              <w:rPr>
                <w:rFonts w:cs="Times New Roman"/>
                <w:szCs w:val="20"/>
              </w:rPr>
              <w:t>Passive Overlay</w:t>
            </w:r>
          </w:p>
          <w:p w:rsidR="005F20A6" w:rsidRPr="005F20A6" w:rsidRDefault="005F20A6" w:rsidP="005F20A6">
            <w:pPr>
              <w:pStyle w:val="Cog-body"/>
              <w:spacing w:line="240" w:lineRule="auto"/>
              <w:ind w:left="0"/>
              <w:rPr>
                <w:rFonts w:cs="Times New Roman"/>
                <w:szCs w:val="20"/>
              </w:rPr>
            </w:pPr>
            <w:r w:rsidRPr="005F20A6">
              <w:rPr>
                <w:rFonts w:cs="Times New Roman"/>
                <w:szCs w:val="20"/>
              </w:rPr>
              <w:t>Weak Overlay Manager – Manager from Sponsor is not responsible for rebalancing the account across sleeves.</w:t>
            </w:r>
          </w:p>
        </w:tc>
      </w:tr>
      <w:tr w:rsidR="005F20A6" w:rsidRPr="000612E0" w:rsidTr="005F20A6">
        <w:trPr>
          <w:cantSplit/>
        </w:trPr>
        <w:tc>
          <w:tcPr>
            <w:tcW w:w="2952" w:type="dxa"/>
            <w:shd w:val="clear" w:color="auto" w:fill="CCCCCC"/>
            <w:vAlign w:val="center"/>
          </w:tcPr>
          <w:p w:rsidR="005F20A6" w:rsidRPr="005F20A6" w:rsidRDefault="005F20A6" w:rsidP="005F20A6">
            <w:pPr>
              <w:pStyle w:val="Cog-body"/>
              <w:spacing w:line="240" w:lineRule="auto"/>
              <w:ind w:left="0"/>
              <w:rPr>
                <w:rFonts w:cs="Times New Roman"/>
                <w:szCs w:val="20"/>
              </w:rPr>
            </w:pPr>
            <w:r w:rsidRPr="005F20A6">
              <w:rPr>
                <w:rFonts w:cs="Times New Roman"/>
                <w:szCs w:val="20"/>
              </w:rPr>
              <w:t>4th Generation</w:t>
            </w:r>
          </w:p>
        </w:tc>
        <w:tc>
          <w:tcPr>
            <w:tcW w:w="5778" w:type="dxa"/>
          </w:tcPr>
          <w:p w:rsidR="005F20A6" w:rsidRPr="005F20A6" w:rsidRDefault="005F20A6" w:rsidP="005F20A6">
            <w:pPr>
              <w:pStyle w:val="Cog-body"/>
              <w:spacing w:line="240" w:lineRule="auto"/>
              <w:ind w:left="0"/>
              <w:rPr>
                <w:rFonts w:cs="Times New Roman"/>
                <w:szCs w:val="20"/>
              </w:rPr>
            </w:pPr>
            <w:r w:rsidRPr="005F20A6">
              <w:rPr>
                <w:rFonts w:cs="Times New Roman"/>
                <w:szCs w:val="20"/>
              </w:rPr>
              <w:t>Sponsors allow investors or Financial Advisors to select managers and allocations dynamically. (Can be for a strong or weak overlay)</w:t>
            </w:r>
          </w:p>
        </w:tc>
      </w:tr>
    </w:tbl>
    <w:p w:rsidR="005F20A6" w:rsidRDefault="005F20A6" w:rsidP="005F20A6">
      <w:pPr>
        <w:pStyle w:val="Cog-body"/>
        <w:spacing w:line="240" w:lineRule="auto"/>
        <w:ind w:left="0"/>
        <w:rPr>
          <w:b/>
          <w:bCs/>
          <w:i/>
          <w:iCs/>
        </w:rPr>
      </w:pPr>
      <w:r>
        <w:rPr>
          <w:b/>
          <w:bCs/>
          <w:i/>
          <w:iCs/>
        </w:rPr>
        <w:t>Characteristics</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lastRenderedPageBreak/>
        <w:t>The MSP offers style diversification to the investor as opposed to standard SMA.</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Some firms offer MSPs for as low as USD25,000, though USD100,000 is a typical minimum</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MSP programs involve a Master or Overlay Manager and multiple style managers (sub-managers) – each one responsible for a portion of the overall portfolio</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Single account handling multiple portfolios, there is no need to open multiple accounts for multiple managers. In the past, a financial advisor would need to convince a client to open multiple accounts, each meeting the minimum account balance requirements, for proper diversification.</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The administrative functions related to managing account are simplified, including the sales process, paperwork, staffing needs and communications.</w:t>
      </w:r>
    </w:p>
    <w:p w:rsidR="005F20A6" w:rsidRDefault="005F20A6" w:rsidP="009874A6">
      <w:pPr>
        <w:pStyle w:val="Cog-body-bulletted"/>
        <w:numPr>
          <w:ilvl w:val="0"/>
          <w:numId w:val="9"/>
        </w:numPr>
        <w:tabs>
          <w:tab w:val="num" w:pos="360"/>
        </w:tabs>
        <w:spacing w:line="240" w:lineRule="auto"/>
        <w:ind w:left="360"/>
        <w:jc w:val="both"/>
      </w:pPr>
      <w:r w:rsidRPr="005F20A6">
        <w:rPr>
          <w:rFonts w:ascii="Arial" w:hAnsi="Arial" w:cs="Times New Roman"/>
          <w:szCs w:val="20"/>
        </w:rPr>
        <w:t>The financial advisor can alter style allocations to quickly match an investor’s changing risk profile at any time. If an investor has a change in risk aversion – probably because a child is approaching college age, or the investor is nearing retirement – the allocation of assets is quickly adjusted in one step within the MSP. Once adjusted, the manager trades the account to bring it in line with this new allocation.</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Paperwork is minimized; account opening is simplified with everything handled in a single account. In addition, clients receive one statement encompassing his or her holdings along with the performance of individual styles.</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Staffing needs for account administration and reconciliation are streamlined. The need to communicate among multiple manager firms is reduced; for example, when a withdrawal request is initiated, only one manager needs to handle this task; no need to break up the request among multiple accounts.</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Previously, a tax sensitive trade request was needed to be spread across multiple accounts, now with all holdings in one MSP account, this request is handled in one step.</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Rebalancing is made simpler with one step to its multiple style allocations. By rebalancing the account to its original asset allocation, the investor’s risk is mitigated and assets are realigned with minimal work.</w:t>
      </w:r>
    </w:p>
    <w:p w:rsidR="005F20A6" w:rsidRPr="005F20A6" w:rsidRDefault="005F20A6" w:rsidP="009874A6">
      <w:pPr>
        <w:pStyle w:val="Cog-body-bulletted"/>
        <w:numPr>
          <w:ilvl w:val="0"/>
          <w:numId w:val="9"/>
        </w:numPr>
        <w:tabs>
          <w:tab w:val="num" w:pos="360"/>
        </w:tabs>
        <w:spacing w:line="240" w:lineRule="auto"/>
        <w:ind w:left="360"/>
        <w:jc w:val="both"/>
        <w:rPr>
          <w:rFonts w:ascii="Arial" w:hAnsi="Arial" w:cs="Times New Roman"/>
          <w:szCs w:val="20"/>
        </w:rPr>
      </w:pPr>
      <w:r w:rsidRPr="005F20A6">
        <w:rPr>
          <w:rFonts w:ascii="Arial" w:hAnsi="Arial" w:cs="Times New Roman"/>
          <w:szCs w:val="20"/>
        </w:rPr>
        <w:t>Performance values are calculated on the style level, as well as at the total account level.</w:t>
      </w:r>
    </w:p>
    <w:p w:rsidR="005F20A6" w:rsidRDefault="005F20A6" w:rsidP="005F20A6">
      <w:pPr>
        <w:pStyle w:val="Cog-body-bulletted"/>
        <w:ind w:left="1620" w:hanging="360"/>
        <w:jc w:val="both"/>
      </w:pPr>
    </w:p>
    <w:p w:rsidR="005F20A6" w:rsidRDefault="00C164AF" w:rsidP="005F20A6">
      <w:pPr>
        <w:pStyle w:val="Cog-body-bulletted"/>
        <w:ind w:left="1620" w:hanging="360"/>
        <w:jc w:val="both"/>
      </w:pPr>
      <w:r>
        <w:rPr>
          <w:noProof/>
        </w:rPr>
        <w:drawing>
          <wp:anchor distT="0" distB="0" distL="114300" distR="114300" simplePos="0" relativeHeight="251662848" behindDoc="0" locked="0" layoutInCell="1" allowOverlap="1">
            <wp:simplePos x="0" y="0"/>
            <wp:positionH relativeFrom="column">
              <wp:posOffset>0</wp:posOffset>
            </wp:positionH>
            <wp:positionV relativeFrom="paragraph">
              <wp:posOffset>12700</wp:posOffset>
            </wp:positionV>
            <wp:extent cx="5715000" cy="3001645"/>
            <wp:effectExtent l="1905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21" cstate="print"/>
                    <a:srcRect/>
                    <a:stretch>
                      <a:fillRect/>
                    </a:stretch>
                  </pic:blipFill>
                  <pic:spPr bwMode="auto">
                    <a:xfrm>
                      <a:off x="0" y="0"/>
                      <a:ext cx="5715000" cy="3001645"/>
                    </a:xfrm>
                    <a:prstGeom prst="rect">
                      <a:avLst/>
                    </a:prstGeom>
                    <a:noFill/>
                    <a:ln w="9525">
                      <a:noFill/>
                      <a:miter lim="800000"/>
                      <a:headEnd/>
                      <a:tailEnd/>
                    </a:ln>
                  </pic:spPr>
                </pic:pic>
              </a:graphicData>
            </a:graphic>
          </wp:anchor>
        </w:drawing>
      </w: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Default="005F20A6" w:rsidP="005F20A6">
      <w:pPr>
        <w:pStyle w:val="Cog-body-bulletted"/>
        <w:ind w:left="1620" w:hanging="360"/>
        <w:jc w:val="both"/>
      </w:pPr>
    </w:p>
    <w:p w:rsidR="005F20A6" w:rsidRPr="001974FC" w:rsidRDefault="005F20A6" w:rsidP="005F20A6">
      <w:pPr>
        <w:pStyle w:val="Caption"/>
        <w:jc w:val="both"/>
        <w:rPr>
          <w:rFonts w:ascii="Verdana" w:hAnsi="Verdana"/>
          <w:b w:val="0"/>
        </w:rPr>
      </w:pPr>
      <w:r>
        <w:t xml:space="preserve">                                             Figure </w:t>
      </w:r>
      <w:r w:rsidR="00FC0435">
        <w:fldChar w:fldCharType="begin"/>
      </w:r>
      <w:r w:rsidR="00E732DA">
        <w:instrText xml:space="preserve"> SEQ Figure \* ARABIC </w:instrText>
      </w:r>
      <w:r w:rsidR="00FC0435">
        <w:fldChar w:fldCharType="separate"/>
      </w:r>
      <w:r w:rsidR="0060131C">
        <w:rPr>
          <w:noProof/>
        </w:rPr>
        <w:t>3</w:t>
      </w:r>
      <w:r w:rsidR="00FC0435">
        <w:fldChar w:fldCharType="end"/>
      </w:r>
      <w:r>
        <w:t xml:space="preserve">: </w:t>
      </w:r>
      <w:r w:rsidRPr="001974FC">
        <w:rPr>
          <w:rFonts w:ascii="Verdana" w:hAnsi="Verdana"/>
          <w:b w:val="0"/>
        </w:rPr>
        <w:t xml:space="preserve">Multiple Style </w:t>
      </w:r>
      <w:proofErr w:type="gramStart"/>
      <w:r w:rsidRPr="001974FC">
        <w:rPr>
          <w:rFonts w:ascii="Verdana" w:hAnsi="Verdana"/>
          <w:b w:val="0"/>
        </w:rPr>
        <w:t>Portfolio</w:t>
      </w:r>
      <w:proofErr w:type="gramEnd"/>
    </w:p>
    <w:p w:rsidR="005F20A6" w:rsidRDefault="005F20A6" w:rsidP="005F20A6">
      <w:pPr>
        <w:jc w:val="both"/>
        <w:rPr>
          <w:b/>
          <w:color w:val="008080"/>
        </w:rPr>
      </w:pPr>
    </w:p>
    <w:p w:rsidR="005F20A6" w:rsidRPr="005F20A6" w:rsidRDefault="005F20A6" w:rsidP="005F20A6">
      <w:pPr>
        <w:pStyle w:val="Heading3"/>
        <w:widowControl w:val="0"/>
        <w:numPr>
          <w:ilvl w:val="0"/>
          <w:numId w:val="0"/>
        </w:numPr>
        <w:tabs>
          <w:tab w:val="left" w:pos="900"/>
        </w:tabs>
        <w:spacing w:before="0" w:after="240" w:line="240" w:lineRule="atLeast"/>
        <w:ind w:right="115"/>
        <w:jc w:val="both"/>
        <w:rPr>
          <w:color w:val="008080"/>
          <w:sz w:val="20"/>
          <w:szCs w:val="20"/>
        </w:rPr>
      </w:pPr>
      <w:bookmarkStart w:id="616" w:name="_Toc69641540"/>
      <w:bookmarkStart w:id="617" w:name="_Toc89595055"/>
      <w:bookmarkStart w:id="618" w:name="_Toc90454679"/>
      <w:bookmarkStart w:id="619" w:name="_Toc143579313"/>
      <w:r w:rsidRPr="005F20A6">
        <w:rPr>
          <w:color w:val="008080"/>
          <w:sz w:val="20"/>
          <w:szCs w:val="20"/>
        </w:rPr>
        <w:t>Unified Managed Account (UMA)</w:t>
      </w:r>
      <w:bookmarkEnd w:id="616"/>
      <w:bookmarkEnd w:id="617"/>
      <w:bookmarkEnd w:id="618"/>
      <w:bookmarkEnd w:id="619"/>
    </w:p>
    <w:p w:rsidR="005F20A6" w:rsidRPr="005F20A6" w:rsidRDefault="005F20A6" w:rsidP="005F20A6">
      <w:pPr>
        <w:pStyle w:val="Cog-body-bulletted"/>
        <w:spacing w:line="240" w:lineRule="auto"/>
        <w:jc w:val="both"/>
        <w:rPr>
          <w:rFonts w:ascii="Arial" w:hAnsi="Arial" w:cs="Times New Roman"/>
          <w:szCs w:val="20"/>
        </w:rPr>
      </w:pPr>
      <w:r w:rsidRPr="005F20A6">
        <w:rPr>
          <w:rFonts w:ascii="Arial" w:hAnsi="Arial" w:cs="Times New Roman"/>
          <w:szCs w:val="20"/>
        </w:rPr>
        <w:t xml:space="preserve">Unified Managed account is an emerging trend in the SMA industry wherein sponsors are looking to consolidate different types of investment accounts that investors have with them under a single umbrella UMA so as to offer several benefits such as a consolidated view of all accounts, reduced costs etc. refer to </w:t>
      </w:r>
      <w:hyperlink w:anchor="_Emerging_Trends_-_Unified Managed A" w:history="1">
        <w:r w:rsidRPr="005F20A6">
          <w:rPr>
            <w:rFonts w:ascii="Arial" w:hAnsi="Arial" w:cs="Times New Roman"/>
            <w:szCs w:val="20"/>
          </w:rPr>
          <w:t>Section 3.3.5</w:t>
        </w:r>
      </w:hyperlink>
      <w:r w:rsidRPr="005F20A6">
        <w:rPr>
          <w:rFonts w:ascii="Arial" w:hAnsi="Arial" w:cs="Times New Roman"/>
          <w:szCs w:val="20"/>
        </w:rPr>
        <w:t xml:space="preserve"> for more details on UMA.</w:t>
      </w:r>
    </w:p>
    <w:p w:rsidR="005F20A6" w:rsidRDefault="005F20A6" w:rsidP="005F20A6">
      <w:pPr>
        <w:pStyle w:val="Cog-body-bulletted"/>
        <w:jc w:val="both"/>
      </w:pPr>
    </w:p>
    <w:p w:rsidR="005F20A6" w:rsidRDefault="005F20A6" w:rsidP="005F20A6">
      <w:pPr>
        <w:pStyle w:val="Heading3"/>
        <w:widowControl w:val="0"/>
        <w:tabs>
          <w:tab w:val="clear" w:pos="6444"/>
          <w:tab w:val="left" w:pos="900"/>
          <w:tab w:val="num" w:pos="1800"/>
        </w:tabs>
        <w:spacing w:before="0" w:after="240" w:line="240" w:lineRule="atLeast"/>
        <w:ind w:left="1224" w:right="115" w:hanging="1224"/>
        <w:jc w:val="both"/>
      </w:pPr>
      <w:bookmarkStart w:id="620" w:name="_Toc143579314"/>
      <w:r>
        <w:t>Investment Manager Products</w:t>
      </w:r>
      <w:bookmarkEnd w:id="620"/>
    </w:p>
    <w:p w:rsidR="005F20A6" w:rsidRPr="005F20A6" w:rsidRDefault="005F20A6" w:rsidP="005F20A6">
      <w:pPr>
        <w:pStyle w:val="Cog-body-bulletted"/>
        <w:spacing w:line="240" w:lineRule="auto"/>
        <w:jc w:val="both"/>
        <w:rPr>
          <w:rFonts w:ascii="Arial" w:hAnsi="Arial" w:cs="Times New Roman"/>
          <w:szCs w:val="20"/>
        </w:rPr>
      </w:pPr>
      <w:r w:rsidRPr="005F20A6">
        <w:rPr>
          <w:rFonts w:ascii="Arial" w:hAnsi="Arial" w:cs="Times New Roman"/>
          <w:szCs w:val="20"/>
        </w:rPr>
        <w:t>Investment Managers offer products based on the Investment Style they specialize in. An Investment Style defines the nature of investments that would be made and essentially specifies the portfolio composition. Some of the most common Investment Styles are:</w:t>
      </w:r>
    </w:p>
    <w:p w:rsidR="005F20A6" w:rsidRDefault="005F20A6" w:rsidP="005F20A6">
      <w:pPr>
        <w:pStyle w:val="Cog-body"/>
        <w:numPr>
          <w:ilvl w:val="0"/>
          <w:numId w:val="81"/>
        </w:numPr>
        <w:spacing w:before="40" w:after="40" w:line="240" w:lineRule="auto"/>
      </w:pPr>
      <w:r w:rsidRPr="00B25B92">
        <w:rPr>
          <w:b/>
        </w:rPr>
        <w:t>Large Cap Growth</w:t>
      </w:r>
      <w:r>
        <w:t xml:space="preserve"> – For e.g. this style would focus on investments in equities with a large Market Capitalization and that have demonstrated a high growth historically and consistently outperformed the Index (for e.g. Microsoft, IBM etc.)</w:t>
      </w:r>
    </w:p>
    <w:p w:rsidR="005F20A6" w:rsidRDefault="005F20A6" w:rsidP="005F20A6">
      <w:pPr>
        <w:pStyle w:val="Cog-body"/>
        <w:numPr>
          <w:ilvl w:val="0"/>
          <w:numId w:val="81"/>
        </w:numPr>
        <w:spacing w:before="40" w:after="40" w:line="240" w:lineRule="auto"/>
      </w:pPr>
      <w:r w:rsidRPr="00B25B92">
        <w:rPr>
          <w:b/>
        </w:rPr>
        <w:t>Large Cap Value</w:t>
      </w:r>
      <w:r w:rsidRPr="00B25B92">
        <w:t xml:space="preserve"> </w:t>
      </w:r>
      <w:r>
        <w:t>– These investments focus on equities with large market capitalization and that have shown consistent performance</w:t>
      </w:r>
    </w:p>
    <w:p w:rsidR="005F20A6" w:rsidRDefault="005F20A6" w:rsidP="005F20A6">
      <w:pPr>
        <w:pStyle w:val="Cog-body"/>
        <w:numPr>
          <w:ilvl w:val="0"/>
          <w:numId w:val="81"/>
        </w:numPr>
        <w:spacing w:before="40" w:after="40" w:line="240" w:lineRule="auto"/>
      </w:pPr>
      <w:r w:rsidRPr="00B25B92">
        <w:rPr>
          <w:b/>
        </w:rPr>
        <w:t>Mid Cap Growth</w:t>
      </w:r>
      <w:r>
        <w:t xml:space="preserve"> – This style seeks investments in mid cap stocks that have consistently outperformed the benchmarks</w:t>
      </w:r>
    </w:p>
    <w:p w:rsidR="005F20A6" w:rsidRDefault="005F20A6" w:rsidP="005F20A6">
      <w:pPr>
        <w:pStyle w:val="Cog-body"/>
        <w:numPr>
          <w:ilvl w:val="0"/>
          <w:numId w:val="81"/>
        </w:numPr>
        <w:spacing w:before="40" w:after="40" w:line="240" w:lineRule="auto"/>
      </w:pPr>
      <w:r w:rsidRPr="00B25B92">
        <w:rPr>
          <w:b/>
        </w:rPr>
        <w:t>Fixed Income</w:t>
      </w:r>
      <w:r>
        <w:t xml:space="preserve"> – This style focuses on fixed income securities such as corporate bonds, municipal bonds, US Treasuries etc. that would offer a less but assured fixed returns.</w:t>
      </w:r>
    </w:p>
    <w:p w:rsidR="005F20A6" w:rsidRDefault="005F20A6" w:rsidP="005F20A6">
      <w:pPr>
        <w:pStyle w:val="Cog-body"/>
        <w:numPr>
          <w:ilvl w:val="0"/>
          <w:numId w:val="81"/>
        </w:numPr>
        <w:spacing w:before="40" w:after="40" w:line="240" w:lineRule="auto"/>
      </w:pPr>
      <w:r w:rsidRPr="00B25B92">
        <w:rPr>
          <w:b/>
        </w:rPr>
        <w:t>Balanced</w:t>
      </w:r>
      <w:r>
        <w:t xml:space="preserve"> – This style offers a blend of equities having potential to offer high returns and fixed income investments that are relatively safe. </w:t>
      </w:r>
    </w:p>
    <w:p w:rsidR="005F20A6" w:rsidRDefault="005F20A6" w:rsidP="005F20A6">
      <w:pPr>
        <w:pStyle w:val="Cog-body"/>
        <w:numPr>
          <w:ilvl w:val="0"/>
          <w:numId w:val="81"/>
        </w:numPr>
        <w:spacing w:before="40" w:after="40" w:line="240" w:lineRule="auto"/>
      </w:pPr>
      <w:r w:rsidRPr="00B25B92">
        <w:rPr>
          <w:b/>
        </w:rPr>
        <w:t>Large Cap International</w:t>
      </w:r>
      <w:r>
        <w:t xml:space="preserve"> – This investment styles offers growth potential by investing in large cap stocks across various countries. For e.g. this portfolio might comprise of stocks such as British Petroleum, Nokia, </w:t>
      </w:r>
      <w:proofErr w:type="gramStart"/>
      <w:r>
        <w:t>Vodafone</w:t>
      </w:r>
      <w:proofErr w:type="gramEnd"/>
      <w:r>
        <w:t xml:space="preserve"> etc.</w:t>
      </w:r>
    </w:p>
    <w:p w:rsidR="005F20A6" w:rsidRPr="00420C2F" w:rsidRDefault="005F20A6" w:rsidP="005F20A6">
      <w:pPr>
        <w:pStyle w:val="Cog-body"/>
        <w:spacing w:before="40" w:after="40" w:line="240" w:lineRule="auto"/>
        <w:ind w:left="0"/>
      </w:pPr>
      <w:r>
        <w:t>Thus, each investment style has a distinct investment objective and this essentially implies the level of risk associated with it.</w:t>
      </w:r>
    </w:p>
    <w:p w:rsidR="005F20A6" w:rsidRDefault="005F20A6" w:rsidP="005F20A6">
      <w:pPr>
        <w:pStyle w:val="Cog-body-bulletted"/>
        <w:ind w:left="720"/>
        <w:jc w:val="both"/>
      </w:pPr>
    </w:p>
    <w:p w:rsidR="005F20A6" w:rsidRDefault="005F20A6" w:rsidP="005F20A6">
      <w:pPr>
        <w:pStyle w:val="Heading3"/>
        <w:widowControl w:val="0"/>
        <w:tabs>
          <w:tab w:val="clear" w:pos="6444"/>
          <w:tab w:val="left" w:pos="900"/>
          <w:tab w:val="num" w:pos="1800"/>
        </w:tabs>
        <w:spacing w:before="0" w:after="240" w:line="240" w:lineRule="atLeast"/>
        <w:ind w:left="1224" w:right="115" w:hanging="1224"/>
        <w:jc w:val="both"/>
      </w:pPr>
      <w:bookmarkStart w:id="621" w:name="_SMA_–_Services"/>
      <w:bookmarkStart w:id="622" w:name="_SMA_–_Services_Offered_by_Sponsors"/>
      <w:bookmarkStart w:id="623" w:name="_Toc143579315"/>
      <w:bookmarkStart w:id="624" w:name="_Toc90454680"/>
      <w:bookmarkEnd w:id="621"/>
      <w:bookmarkEnd w:id="622"/>
      <w:r>
        <w:t>SMA – Services</w:t>
      </w:r>
      <w:bookmarkEnd w:id="623"/>
      <w:r>
        <w:t xml:space="preserve"> </w:t>
      </w:r>
      <w:bookmarkEnd w:id="624"/>
    </w:p>
    <w:p w:rsidR="005F20A6" w:rsidRPr="005F20A6" w:rsidRDefault="005F20A6" w:rsidP="005F20A6">
      <w:pPr>
        <w:pStyle w:val="Cog-body-bulletted"/>
        <w:spacing w:line="240" w:lineRule="auto"/>
        <w:jc w:val="both"/>
        <w:rPr>
          <w:rFonts w:ascii="Arial" w:hAnsi="Arial" w:cs="Times New Roman"/>
          <w:szCs w:val="20"/>
        </w:rPr>
      </w:pPr>
      <w:r w:rsidRPr="005F20A6">
        <w:rPr>
          <w:rFonts w:ascii="Arial" w:hAnsi="Arial" w:cs="Times New Roman"/>
          <w:szCs w:val="20"/>
        </w:rPr>
        <w:t>The major business entities in the SMA industry are Sponsors, Investment Mangers and Financial Advisor. Given below are the some of the services offered by each of these business entities to the investors/customers. This section covers the services in brief.</w:t>
      </w:r>
    </w:p>
    <w:p w:rsidR="005F20A6" w:rsidRDefault="005F20A6" w:rsidP="005F20A6">
      <w:pPr>
        <w:pStyle w:val="Cog-body"/>
        <w:ind w:left="0"/>
      </w:pPr>
    </w:p>
    <w:p w:rsidR="005F20A6" w:rsidRPr="005F20A6" w:rsidRDefault="005F20A6" w:rsidP="005F20A6">
      <w:pPr>
        <w:pStyle w:val="Heading3"/>
        <w:widowControl w:val="0"/>
        <w:numPr>
          <w:ilvl w:val="0"/>
          <w:numId w:val="0"/>
        </w:numPr>
        <w:tabs>
          <w:tab w:val="left" w:pos="900"/>
        </w:tabs>
        <w:spacing w:before="0" w:after="240"/>
        <w:ind w:right="115"/>
        <w:jc w:val="both"/>
        <w:rPr>
          <w:color w:val="008080"/>
          <w:sz w:val="20"/>
          <w:szCs w:val="20"/>
        </w:rPr>
      </w:pPr>
      <w:bookmarkStart w:id="625" w:name="_Toc143579316"/>
      <w:r w:rsidRPr="005F20A6">
        <w:rPr>
          <w:color w:val="008080"/>
          <w:sz w:val="20"/>
          <w:szCs w:val="20"/>
        </w:rPr>
        <w:t>Sponsor Services</w:t>
      </w:r>
      <w:bookmarkEnd w:id="625"/>
    </w:p>
    <w:p w:rsidR="005F20A6" w:rsidRPr="005F20A6" w:rsidRDefault="005F20A6" w:rsidP="005F20A6">
      <w:pPr>
        <w:pStyle w:val="Cog-body"/>
        <w:spacing w:line="240" w:lineRule="auto"/>
        <w:ind w:left="0"/>
        <w:rPr>
          <w:rFonts w:cs="Times New Roman"/>
          <w:szCs w:val="20"/>
        </w:rPr>
      </w:pPr>
      <w:r w:rsidRPr="005F20A6">
        <w:rPr>
          <w:rFonts w:cs="Times New Roman"/>
          <w:szCs w:val="20"/>
        </w:rPr>
        <w:t xml:space="preserve">These are the services provided by the back office operations of an SMA sponsor. This section is created to provide an insight into the type of core services required by the sponsor segments. The business process flows will provide the detail functions, processes and dependencies </w:t>
      </w:r>
      <w:proofErr w:type="spellStart"/>
      <w:r w:rsidRPr="005F20A6">
        <w:rPr>
          <w:rFonts w:cs="Times New Roman"/>
          <w:szCs w:val="20"/>
        </w:rPr>
        <w:t>with in</w:t>
      </w:r>
      <w:proofErr w:type="spellEnd"/>
      <w:r w:rsidRPr="005F20A6">
        <w:rPr>
          <w:rFonts w:cs="Times New Roman"/>
          <w:szCs w:val="20"/>
        </w:rPr>
        <w:t xml:space="preserve"> and with each of these services. Some of these services may be provided with in SMA sponsor, while some services will be provided by external providers like external broker/dealers or custodians.</w:t>
      </w:r>
    </w:p>
    <w:p w:rsidR="005F20A6" w:rsidRPr="00A4239A" w:rsidRDefault="005F20A6" w:rsidP="005F20A6">
      <w:pPr>
        <w:pStyle w:val="Cog-body"/>
        <w:spacing w:line="240" w:lineRule="auto"/>
        <w:ind w:left="0"/>
        <w:rPr>
          <w:b/>
        </w:rPr>
      </w:pPr>
      <w:r>
        <w:rPr>
          <w:b/>
        </w:rPr>
        <w:t>SMA Program Management Service</w:t>
      </w:r>
    </w:p>
    <w:p w:rsidR="005F20A6" w:rsidRPr="005F20A6" w:rsidRDefault="005F20A6" w:rsidP="005F20A6">
      <w:pPr>
        <w:pStyle w:val="Cog-body"/>
        <w:spacing w:line="240" w:lineRule="auto"/>
        <w:ind w:left="0"/>
      </w:pPr>
      <w:r>
        <w:t xml:space="preserve">These are </w:t>
      </w:r>
      <w:r w:rsidRPr="005F20A6">
        <w:t>the services that the program sponsors should have to manage the SMA program they provide to investors. Some of the activities are</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Program definition and maintenance</w:t>
      </w:r>
    </w:p>
    <w:p w:rsidR="005F20A6" w:rsidRPr="00A4239A" w:rsidRDefault="005F20A6" w:rsidP="005F20A6">
      <w:pPr>
        <w:pStyle w:val="Cog-body"/>
        <w:spacing w:line="240" w:lineRule="auto"/>
        <w:ind w:left="0"/>
        <w:rPr>
          <w:b/>
        </w:rPr>
      </w:pPr>
      <w:r>
        <w:rPr>
          <w:b/>
        </w:rPr>
        <w:t>Account Management Service</w:t>
      </w:r>
    </w:p>
    <w:p w:rsidR="005F20A6" w:rsidRPr="005F20A6" w:rsidRDefault="005F20A6" w:rsidP="005F20A6">
      <w:pPr>
        <w:pStyle w:val="Cog-body"/>
        <w:spacing w:line="240" w:lineRule="auto"/>
        <w:ind w:left="0"/>
      </w:pPr>
      <w:r>
        <w:lastRenderedPageBreak/>
        <w:t xml:space="preserve">An </w:t>
      </w:r>
      <w:r w:rsidRPr="005F20A6">
        <w:t>account is a contractual relationship between a buyer (investor) and a seller (sponsor). Since the sponsor is the owner of the investor account he has the responsibility of provided services to maintain the account for the investor. Some of the activities involved in account management are:</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Account Registration &amp; Creation</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Account Maintenance</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Account Performance Reporting</w:t>
      </w:r>
    </w:p>
    <w:p w:rsidR="005F20A6" w:rsidRPr="005C0694" w:rsidRDefault="005F20A6" w:rsidP="005F20A6">
      <w:pPr>
        <w:pStyle w:val="Cog-body"/>
        <w:spacing w:line="240" w:lineRule="auto"/>
        <w:ind w:left="0"/>
        <w:rPr>
          <w:b/>
        </w:rPr>
      </w:pPr>
      <w:r>
        <w:rPr>
          <w:b/>
        </w:rPr>
        <w:t>Order Management Service</w:t>
      </w:r>
    </w:p>
    <w:p w:rsidR="005F20A6" w:rsidRPr="005F20A6" w:rsidRDefault="005F20A6" w:rsidP="005F20A6">
      <w:pPr>
        <w:pStyle w:val="Cog-body"/>
        <w:spacing w:line="240" w:lineRule="auto"/>
        <w:ind w:left="0"/>
      </w:pPr>
      <w:r w:rsidRPr="005F20A6">
        <w:t>Sponsors, in most cases also act as the broker/dealers through whom the managers route the orders for the accounts. Order management process starts from the point when orders are received to the point when execution details are sent back to the managers. This service is offered by the brokerage arm of the sponsor firm and includes activities such as</w:t>
      </w:r>
    </w:p>
    <w:p w:rsidR="005F20A6" w:rsidRPr="005F20A6" w:rsidRDefault="005F20A6" w:rsidP="009874A6">
      <w:pPr>
        <w:pStyle w:val="Cog-body-bulletted"/>
        <w:numPr>
          <w:ilvl w:val="0"/>
          <w:numId w:val="9"/>
        </w:numPr>
        <w:tabs>
          <w:tab w:val="clear" w:pos="1620"/>
          <w:tab w:val="num" w:pos="720"/>
        </w:tabs>
        <w:spacing w:line="240" w:lineRule="auto"/>
        <w:ind w:left="720"/>
        <w:jc w:val="both"/>
        <w:rPr>
          <w:rFonts w:ascii="Arial" w:hAnsi="Arial"/>
        </w:rPr>
      </w:pPr>
      <w:r w:rsidRPr="005F20A6">
        <w:rPr>
          <w:rFonts w:ascii="Arial" w:hAnsi="Arial"/>
        </w:rPr>
        <w:t>Order Receipt/Capture</w:t>
      </w:r>
    </w:p>
    <w:p w:rsidR="005F20A6" w:rsidRPr="005F20A6" w:rsidRDefault="005F20A6" w:rsidP="009874A6">
      <w:pPr>
        <w:pStyle w:val="Cog-body-bulletted"/>
        <w:numPr>
          <w:ilvl w:val="0"/>
          <w:numId w:val="9"/>
        </w:numPr>
        <w:tabs>
          <w:tab w:val="clear" w:pos="1620"/>
          <w:tab w:val="num" w:pos="720"/>
        </w:tabs>
        <w:spacing w:line="240" w:lineRule="auto"/>
        <w:ind w:left="720"/>
        <w:jc w:val="both"/>
        <w:rPr>
          <w:rFonts w:ascii="Arial" w:hAnsi="Arial"/>
        </w:rPr>
      </w:pPr>
      <w:r w:rsidRPr="005F20A6">
        <w:rPr>
          <w:rFonts w:ascii="Arial" w:hAnsi="Arial"/>
        </w:rPr>
        <w:t>Order Validation</w:t>
      </w:r>
    </w:p>
    <w:p w:rsidR="005F20A6" w:rsidRPr="005F20A6" w:rsidRDefault="005F20A6" w:rsidP="009874A6">
      <w:pPr>
        <w:pStyle w:val="Cog-body-bulletted"/>
        <w:numPr>
          <w:ilvl w:val="0"/>
          <w:numId w:val="9"/>
        </w:numPr>
        <w:tabs>
          <w:tab w:val="clear" w:pos="1620"/>
          <w:tab w:val="num" w:pos="720"/>
        </w:tabs>
        <w:spacing w:line="240" w:lineRule="auto"/>
        <w:ind w:left="720"/>
        <w:jc w:val="both"/>
        <w:rPr>
          <w:rFonts w:ascii="Arial" w:hAnsi="Arial"/>
        </w:rPr>
      </w:pPr>
      <w:r w:rsidRPr="005F20A6">
        <w:rPr>
          <w:rFonts w:ascii="Arial" w:hAnsi="Arial"/>
        </w:rPr>
        <w:t>Order Routing and Execution Processing</w:t>
      </w:r>
    </w:p>
    <w:p w:rsidR="005F20A6" w:rsidRPr="005F20A6" w:rsidRDefault="005F20A6" w:rsidP="009874A6">
      <w:pPr>
        <w:pStyle w:val="Cog-body-bulletted"/>
        <w:numPr>
          <w:ilvl w:val="0"/>
          <w:numId w:val="9"/>
        </w:numPr>
        <w:tabs>
          <w:tab w:val="clear" w:pos="1620"/>
          <w:tab w:val="num" w:pos="720"/>
        </w:tabs>
        <w:spacing w:line="240" w:lineRule="auto"/>
        <w:ind w:left="720"/>
        <w:jc w:val="both"/>
        <w:rPr>
          <w:rFonts w:ascii="Arial" w:hAnsi="Arial"/>
        </w:rPr>
      </w:pPr>
      <w:r w:rsidRPr="005F20A6">
        <w:rPr>
          <w:rFonts w:ascii="Arial" w:hAnsi="Arial"/>
        </w:rPr>
        <w:t>Open Order Maintenance</w:t>
      </w:r>
    </w:p>
    <w:p w:rsidR="005F20A6" w:rsidRPr="000F339A" w:rsidRDefault="005F20A6" w:rsidP="005F20A6">
      <w:pPr>
        <w:pStyle w:val="Cog-body"/>
        <w:spacing w:line="240" w:lineRule="auto"/>
        <w:ind w:left="0"/>
        <w:rPr>
          <w:b/>
        </w:rPr>
      </w:pPr>
      <w:r w:rsidRPr="000F339A">
        <w:rPr>
          <w:b/>
        </w:rPr>
        <w:t>SMA Record Keeping Service</w:t>
      </w:r>
    </w:p>
    <w:p w:rsidR="005F20A6" w:rsidRPr="005F20A6" w:rsidRDefault="005F20A6" w:rsidP="005F20A6">
      <w:pPr>
        <w:pStyle w:val="Cog-body"/>
        <w:spacing w:line="240" w:lineRule="auto"/>
        <w:ind w:left="0"/>
      </w:pPr>
      <w:r w:rsidRPr="005F20A6">
        <w:t>These are services provided by sponsors of SMA programs to maintain account and account activity records for the account holder. It includes capturing and reconciling records of the investor. Some of the activities included are:</w:t>
      </w:r>
    </w:p>
    <w:p w:rsidR="005F20A6" w:rsidRPr="005F20A6" w:rsidRDefault="005F20A6" w:rsidP="009874A6">
      <w:pPr>
        <w:pStyle w:val="Cog-body-bulletted"/>
        <w:numPr>
          <w:ilvl w:val="0"/>
          <w:numId w:val="9"/>
        </w:numPr>
        <w:tabs>
          <w:tab w:val="clear" w:pos="1620"/>
          <w:tab w:val="num" w:pos="720"/>
        </w:tabs>
        <w:spacing w:line="240" w:lineRule="auto"/>
        <w:ind w:left="720"/>
        <w:jc w:val="both"/>
        <w:rPr>
          <w:rFonts w:ascii="Arial" w:hAnsi="Arial"/>
        </w:rPr>
      </w:pPr>
      <w:r w:rsidRPr="005F20A6">
        <w:rPr>
          <w:rFonts w:ascii="Arial" w:hAnsi="Arial"/>
        </w:rPr>
        <w:t>Investment Accounting</w:t>
      </w:r>
    </w:p>
    <w:p w:rsidR="005F20A6" w:rsidRPr="005F20A6" w:rsidRDefault="005F20A6" w:rsidP="009874A6">
      <w:pPr>
        <w:pStyle w:val="Cog-body-bulletted"/>
        <w:numPr>
          <w:ilvl w:val="0"/>
          <w:numId w:val="9"/>
        </w:numPr>
        <w:tabs>
          <w:tab w:val="clear" w:pos="1620"/>
          <w:tab w:val="num" w:pos="720"/>
        </w:tabs>
        <w:spacing w:line="240" w:lineRule="auto"/>
        <w:ind w:left="720"/>
        <w:jc w:val="both"/>
        <w:rPr>
          <w:rFonts w:ascii="Arial" w:hAnsi="Arial"/>
        </w:rPr>
      </w:pPr>
      <w:r w:rsidRPr="005F20A6">
        <w:rPr>
          <w:rFonts w:ascii="Arial" w:hAnsi="Arial"/>
        </w:rPr>
        <w:t>Income Processing</w:t>
      </w:r>
    </w:p>
    <w:p w:rsidR="005F20A6" w:rsidRPr="005F20A6" w:rsidRDefault="005F20A6" w:rsidP="009874A6">
      <w:pPr>
        <w:pStyle w:val="Cog-body-bulletted"/>
        <w:numPr>
          <w:ilvl w:val="0"/>
          <w:numId w:val="9"/>
        </w:numPr>
        <w:tabs>
          <w:tab w:val="clear" w:pos="1620"/>
          <w:tab w:val="num" w:pos="720"/>
        </w:tabs>
        <w:spacing w:line="240" w:lineRule="auto"/>
        <w:ind w:left="720"/>
        <w:jc w:val="both"/>
        <w:rPr>
          <w:rFonts w:ascii="Arial" w:hAnsi="Arial"/>
        </w:rPr>
      </w:pPr>
      <w:r w:rsidRPr="005F20A6">
        <w:rPr>
          <w:rFonts w:ascii="Arial" w:hAnsi="Arial"/>
        </w:rPr>
        <w:t>Cash Management</w:t>
      </w:r>
    </w:p>
    <w:p w:rsidR="005F20A6" w:rsidRPr="005F20A6" w:rsidRDefault="005F20A6" w:rsidP="009874A6">
      <w:pPr>
        <w:pStyle w:val="Cog-body-bulletted"/>
        <w:numPr>
          <w:ilvl w:val="0"/>
          <w:numId w:val="9"/>
        </w:numPr>
        <w:tabs>
          <w:tab w:val="clear" w:pos="1620"/>
          <w:tab w:val="num" w:pos="720"/>
        </w:tabs>
        <w:spacing w:line="240" w:lineRule="auto"/>
        <w:ind w:left="720"/>
        <w:jc w:val="both"/>
        <w:rPr>
          <w:rFonts w:ascii="Arial" w:hAnsi="Arial"/>
        </w:rPr>
      </w:pPr>
      <w:r w:rsidRPr="005F20A6">
        <w:rPr>
          <w:rFonts w:ascii="Arial" w:hAnsi="Arial"/>
        </w:rPr>
        <w:t>Reconciliation</w:t>
      </w:r>
    </w:p>
    <w:p w:rsidR="005F20A6" w:rsidRDefault="005F20A6" w:rsidP="005F20A6">
      <w:pPr>
        <w:pStyle w:val="Cog-body-bulletted"/>
        <w:ind w:left="360"/>
        <w:jc w:val="both"/>
      </w:pPr>
    </w:p>
    <w:p w:rsidR="005F20A6" w:rsidRPr="005F20A6" w:rsidRDefault="005F20A6" w:rsidP="005F20A6">
      <w:pPr>
        <w:pStyle w:val="Heading3"/>
        <w:widowControl w:val="0"/>
        <w:numPr>
          <w:ilvl w:val="0"/>
          <w:numId w:val="0"/>
        </w:numPr>
        <w:tabs>
          <w:tab w:val="left" w:pos="900"/>
        </w:tabs>
        <w:spacing w:before="0" w:after="240" w:line="240" w:lineRule="atLeast"/>
        <w:ind w:right="115"/>
        <w:jc w:val="both"/>
        <w:rPr>
          <w:color w:val="008080"/>
          <w:sz w:val="20"/>
          <w:szCs w:val="20"/>
        </w:rPr>
      </w:pPr>
      <w:bookmarkStart w:id="626" w:name="_Toc143579317"/>
      <w:r w:rsidRPr="005F20A6">
        <w:rPr>
          <w:color w:val="008080"/>
          <w:sz w:val="20"/>
          <w:szCs w:val="20"/>
        </w:rPr>
        <w:t>Investment Manager Services</w:t>
      </w:r>
      <w:bookmarkEnd w:id="626"/>
    </w:p>
    <w:p w:rsidR="005F20A6" w:rsidRPr="00A565BE" w:rsidRDefault="005F20A6" w:rsidP="005F20A6">
      <w:pPr>
        <w:pStyle w:val="Cog-body"/>
        <w:ind w:left="0"/>
        <w:rPr>
          <w:b/>
        </w:rPr>
      </w:pPr>
      <w:bookmarkStart w:id="627" w:name="_Toc57081467"/>
      <w:bookmarkStart w:id="628" w:name="_Toc89595059"/>
      <w:bookmarkStart w:id="629" w:name="_Toc90454683"/>
      <w:r w:rsidRPr="00A565BE">
        <w:rPr>
          <w:b/>
        </w:rPr>
        <w:t>Portfolio Management Service</w:t>
      </w:r>
      <w:bookmarkEnd w:id="627"/>
      <w:bookmarkEnd w:id="628"/>
      <w:bookmarkEnd w:id="629"/>
    </w:p>
    <w:p w:rsidR="005F20A6" w:rsidRPr="005F20A6" w:rsidRDefault="005F20A6" w:rsidP="005F20A6">
      <w:pPr>
        <w:pStyle w:val="Cog-body"/>
        <w:spacing w:line="240" w:lineRule="auto"/>
        <w:ind w:left="0"/>
      </w:pPr>
      <w:r w:rsidRPr="005F20A6">
        <w:t>Portfolio management services are provided to manage the portfolio of the investor, these services help the portfolio manager or investment manager to make sophisticated investment decisions that permit to classify, estimate, and control both the kind and amount of expected risk and return. The following are the sub-services in portfolio management</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Asset Allocation Models</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Order initiation and Routing</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Confirmations/Affirmations</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 xml:space="preserve">Trade Allocations </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Settlement/Delivery instructions</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Posting and Balance Maintenance</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Investment Accounting</w:t>
      </w:r>
    </w:p>
    <w:p w:rsidR="005F20A6" w:rsidRDefault="005F20A6" w:rsidP="005F20A6">
      <w:pPr>
        <w:pStyle w:val="Cog-body"/>
        <w:ind w:left="0"/>
      </w:pPr>
    </w:p>
    <w:p w:rsidR="005F20A6" w:rsidRPr="005F20A6" w:rsidRDefault="005F20A6" w:rsidP="005F20A6">
      <w:pPr>
        <w:pStyle w:val="Heading3"/>
        <w:widowControl w:val="0"/>
        <w:numPr>
          <w:ilvl w:val="0"/>
          <w:numId w:val="0"/>
        </w:numPr>
        <w:tabs>
          <w:tab w:val="left" w:pos="900"/>
        </w:tabs>
        <w:spacing w:before="0" w:after="240" w:line="240" w:lineRule="atLeast"/>
        <w:ind w:right="115"/>
        <w:jc w:val="both"/>
        <w:rPr>
          <w:color w:val="008080"/>
          <w:sz w:val="20"/>
          <w:szCs w:val="20"/>
        </w:rPr>
      </w:pPr>
      <w:bookmarkStart w:id="630" w:name="_Toc143579318"/>
      <w:r w:rsidRPr="005F20A6">
        <w:rPr>
          <w:color w:val="008080"/>
          <w:sz w:val="20"/>
          <w:szCs w:val="20"/>
        </w:rPr>
        <w:t>Financial Advisory Services</w:t>
      </w:r>
      <w:bookmarkEnd w:id="630"/>
    </w:p>
    <w:p w:rsidR="005F20A6" w:rsidRPr="005F20A6" w:rsidRDefault="005F20A6" w:rsidP="005F20A6">
      <w:pPr>
        <w:pStyle w:val="Cog-body"/>
        <w:spacing w:line="240" w:lineRule="auto"/>
        <w:ind w:left="0"/>
      </w:pPr>
      <w:r w:rsidRPr="005F20A6">
        <w:t>In the SMA industry, the role of the financial advisor is mostly investor facing. They are responsible for marketing the various SMA products to investors and helping the investors in choosing the appropriate product based on their risk appetite. Occasionally, as in the rep as manager programs, financial advisors may also actually manage the investors account. Some of the services offered by financial advisors include:</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lastRenderedPageBreak/>
        <w:t>Investor Profiling</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SMA Proposal Management</w:t>
      </w:r>
    </w:p>
    <w:p w:rsidR="005F20A6" w:rsidRPr="005F20A6" w:rsidRDefault="005F20A6" w:rsidP="009874A6">
      <w:pPr>
        <w:pStyle w:val="Cog-body-bulletted"/>
        <w:numPr>
          <w:ilvl w:val="0"/>
          <w:numId w:val="9"/>
        </w:numPr>
        <w:tabs>
          <w:tab w:val="num" w:pos="720"/>
        </w:tabs>
        <w:spacing w:line="240" w:lineRule="auto"/>
        <w:ind w:left="720"/>
        <w:jc w:val="both"/>
        <w:rPr>
          <w:rFonts w:ascii="Arial" w:hAnsi="Arial"/>
        </w:rPr>
      </w:pPr>
      <w:r w:rsidRPr="005F20A6">
        <w:rPr>
          <w:rFonts w:ascii="Arial" w:hAnsi="Arial"/>
        </w:rPr>
        <w:t>Portfolio Management</w:t>
      </w:r>
    </w:p>
    <w:p w:rsidR="005F20A6" w:rsidRPr="005F20A6" w:rsidRDefault="005F20A6" w:rsidP="005F20A6"/>
    <w:p w:rsidR="0040385F" w:rsidRPr="004B3BDF" w:rsidRDefault="0040385F" w:rsidP="00DC72A9">
      <w:pPr>
        <w:pStyle w:val="Heading3"/>
        <w:widowControl w:val="0"/>
        <w:tabs>
          <w:tab w:val="clear" w:pos="6444"/>
          <w:tab w:val="left" w:pos="900"/>
          <w:tab w:val="num" w:pos="1800"/>
        </w:tabs>
        <w:spacing w:before="0" w:after="240" w:line="240" w:lineRule="atLeast"/>
        <w:ind w:left="1224" w:right="115" w:hanging="1224"/>
        <w:jc w:val="both"/>
        <w:rPr>
          <w:szCs w:val="22"/>
        </w:rPr>
      </w:pPr>
      <w:r w:rsidRPr="004B3BDF">
        <w:t>Key Business Processes</w:t>
      </w:r>
      <w:bookmarkEnd w:id="608"/>
    </w:p>
    <w:p w:rsidR="0040385F" w:rsidRPr="004B3BDF" w:rsidRDefault="0040385F" w:rsidP="00D73E38">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The key entities and the process flow of SMA are given in the following diagram. </w:t>
      </w:r>
    </w:p>
    <w:p w:rsidR="0040385F" w:rsidRPr="004B3BDF" w:rsidRDefault="00C164AF" w:rsidP="0040385F">
      <w:pPr>
        <w:pStyle w:val="body"/>
        <w:spacing w:before="120" w:after="120" w:line="240" w:lineRule="atLeast"/>
        <w:jc w:val="both"/>
        <w:rPr>
          <w:rFonts w:ascii="Arial" w:hAnsi="Arial" w:cs="Arial"/>
          <w:szCs w:val="22"/>
        </w:rPr>
      </w:pPr>
      <w:r>
        <w:rPr>
          <w:rFonts w:ascii="Arial" w:hAnsi="Arial" w:cs="Arial"/>
          <w:noProof/>
        </w:rPr>
        <w:drawing>
          <wp:inline distT="0" distB="0" distL="0" distR="0">
            <wp:extent cx="5829300" cy="4038600"/>
            <wp:effectExtent l="19050" t="0" r="0" b="0"/>
            <wp:docPr id="19" name="Picture 19" descr="SM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_new"/>
                    <pic:cNvPicPr>
                      <a:picLocks noChangeAspect="1" noChangeArrowheads="1"/>
                    </pic:cNvPicPr>
                  </pic:nvPicPr>
                  <pic:blipFill>
                    <a:blip r:embed="rId122" cstate="print"/>
                    <a:srcRect/>
                    <a:stretch>
                      <a:fillRect/>
                    </a:stretch>
                  </pic:blipFill>
                  <pic:spPr bwMode="auto">
                    <a:xfrm>
                      <a:off x="0" y="0"/>
                      <a:ext cx="5829300" cy="4038600"/>
                    </a:xfrm>
                    <a:prstGeom prst="rect">
                      <a:avLst/>
                    </a:prstGeom>
                    <a:noFill/>
                    <a:ln w="9525">
                      <a:noFill/>
                      <a:miter lim="800000"/>
                      <a:headEnd/>
                      <a:tailEnd/>
                    </a:ln>
                  </pic:spPr>
                </pic:pic>
              </a:graphicData>
            </a:graphic>
          </wp:inline>
        </w:drawing>
      </w:r>
    </w:p>
    <w:p w:rsidR="0040385F" w:rsidRPr="004B3BDF" w:rsidRDefault="0040385F" w:rsidP="0040385F">
      <w:pPr>
        <w:pStyle w:val="Caption"/>
        <w:jc w:val="center"/>
        <w:rPr>
          <w:rFonts w:ascii="Arial" w:hAnsi="Arial" w:cs="Arial"/>
        </w:rPr>
      </w:pPr>
      <w:bookmarkStart w:id="631" w:name="_Toc199669764"/>
      <w:bookmarkStart w:id="632" w:name="_Toc207007218"/>
      <w:r w:rsidRPr="004B3BDF">
        <w:rPr>
          <w:rFonts w:ascii="Arial" w:hAnsi="Arial" w:cs="Arial"/>
        </w:rPr>
        <w:t xml:space="preserve">Figure </w:t>
      </w:r>
      <w:r w:rsidR="00FC0435" w:rsidRPr="004B3BDF">
        <w:rPr>
          <w:rFonts w:ascii="Arial" w:hAnsi="Arial" w:cs="Arial"/>
        </w:rPr>
        <w:fldChar w:fldCharType="begin"/>
      </w:r>
      <w:r w:rsidRPr="004B3BDF">
        <w:rPr>
          <w:rFonts w:ascii="Arial" w:hAnsi="Arial" w:cs="Arial"/>
        </w:rPr>
        <w:instrText xml:space="preserve"> STYLEREF 1 \s </w:instrText>
      </w:r>
      <w:r w:rsidR="00FC0435" w:rsidRPr="004B3BDF">
        <w:rPr>
          <w:rFonts w:ascii="Arial" w:hAnsi="Arial" w:cs="Arial"/>
        </w:rPr>
        <w:fldChar w:fldCharType="separate"/>
      </w:r>
      <w:r w:rsidR="0060131C">
        <w:rPr>
          <w:rFonts w:ascii="Arial" w:hAnsi="Arial" w:cs="Arial"/>
          <w:noProof/>
        </w:rPr>
        <w:t>10</w:t>
      </w:r>
      <w:r w:rsidR="00FC0435" w:rsidRPr="004B3BDF">
        <w:rPr>
          <w:rFonts w:ascii="Arial" w:hAnsi="Arial" w:cs="Arial"/>
        </w:rPr>
        <w:fldChar w:fldCharType="end"/>
      </w:r>
      <w:r w:rsidRPr="004B3BDF">
        <w:rPr>
          <w:rFonts w:ascii="Arial" w:hAnsi="Arial" w:cs="Arial"/>
        </w:rPr>
        <w:noBreakHyphen/>
      </w:r>
      <w:r w:rsidR="00FC0435" w:rsidRPr="004B3BDF">
        <w:rPr>
          <w:rFonts w:ascii="Arial" w:hAnsi="Arial" w:cs="Arial"/>
        </w:rPr>
        <w:fldChar w:fldCharType="begin"/>
      </w:r>
      <w:r w:rsidRPr="004B3BDF">
        <w:rPr>
          <w:rFonts w:ascii="Arial" w:hAnsi="Arial" w:cs="Arial"/>
        </w:rPr>
        <w:instrText xml:space="preserve"> SEQ Figure \* ARABIC \s 1 </w:instrText>
      </w:r>
      <w:r w:rsidR="00FC0435" w:rsidRPr="004B3BDF">
        <w:rPr>
          <w:rFonts w:ascii="Arial" w:hAnsi="Arial" w:cs="Arial"/>
        </w:rPr>
        <w:fldChar w:fldCharType="separate"/>
      </w:r>
      <w:r w:rsidR="0060131C">
        <w:rPr>
          <w:rFonts w:ascii="Arial" w:hAnsi="Arial" w:cs="Arial"/>
          <w:noProof/>
        </w:rPr>
        <w:t>4</w:t>
      </w:r>
      <w:r w:rsidR="00FC0435" w:rsidRPr="004B3BDF">
        <w:rPr>
          <w:rFonts w:ascii="Arial" w:hAnsi="Arial" w:cs="Arial"/>
        </w:rPr>
        <w:fldChar w:fldCharType="end"/>
      </w:r>
      <w:r w:rsidRPr="004B3BDF">
        <w:rPr>
          <w:rFonts w:ascii="Arial" w:hAnsi="Arial" w:cs="Arial"/>
        </w:rPr>
        <w:t>: SMA Business Processes and Key Entities</w:t>
      </w:r>
      <w:bookmarkEnd w:id="631"/>
      <w:bookmarkEnd w:id="632"/>
    </w:p>
    <w:p w:rsidR="0040385F" w:rsidRPr="004B3BDF" w:rsidRDefault="0040385F" w:rsidP="00D73E38">
      <w:pPr>
        <w:pStyle w:val="body"/>
        <w:spacing w:before="120" w:after="120" w:line="240" w:lineRule="auto"/>
        <w:jc w:val="both"/>
        <w:rPr>
          <w:rFonts w:ascii="Arial" w:hAnsi="Arial" w:cs="Arial"/>
          <w:sz w:val="20"/>
          <w:szCs w:val="20"/>
        </w:rPr>
      </w:pPr>
      <w:r w:rsidRPr="004B3BDF">
        <w:rPr>
          <w:rFonts w:ascii="Arial" w:hAnsi="Arial" w:cs="Arial"/>
          <w:sz w:val="20"/>
          <w:szCs w:val="20"/>
        </w:rPr>
        <w:t>The key business processes involved in SMA are:</w:t>
      </w:r>
    </w:p>
    <w:p w:rsidR="0040385F" w:rsidRPr="004B3BDF" w:rsidRDefault="0040385F" w:rsidP="00810CCD">
      <w:pPr>
        <w:pStyle w:val="body"/>
        <w:numPr>
          <w:ilvl w:val="0"/>
          <w:numId w:val="7"/>
        </w:numPr>
        <w:spacing w:before="120" w:after="120" w:line="240" w:lineRule="auto"/>
        <w:ind w:left="0" w:firstLine="0"/>
        <w:jc w:val="both"/>
        <w:rPr>
          <w:rFonts w:ascii="Arial" w:hAnsi="Arial" w:cs="Arial"/>
          <w:sz w:val="20"/>
          <w:szCs w:val="20"/>
        </w:rPr>
      </w:pPr>
      <w:r w:rsidRPr="004B3BDF">
        <w:rPr>
          <w:rFonts w:ascii="Arial" w:hAnsi="Arial" w:cs="Arial"/>
          <w:sz w:val="20"/>
          <w:szCs w:val="20"/>
        </w:rPr>
        <w:t>Account creation</w:t>
      </w:r>
    </w:p>
    <w:p w:rsidR="0040385F" w:rsidRPr="004B3BDF" w:rsidRDefault="0040385F" w:rsidP="00810CCD">
      <w:pPr>
        <w:pStyle w:val="body"/>
        <w:numPr>
          <w:ilvl w:val="0"/>
          <w:numId w:val="7"/>
        </w:numPr>
        <w:spacing w:before="120" w:after="120" w:line="240" w:lineRule="auto"/>
        <w:ind w:left="0" w:firstLine="0"/>
        <w:jc w:val="both"/>
        <w:rPr>
          <w:rFonts w:ascii="Arial" w:hAnsi="Arial" w:cs="Arial"/>
          <w:sz w:val="20"/>
          <w:szCs w:val="20"/>
        </w:rPr>
      </w:pPr>
      <w:r w:rsidRPr="004B3BDF">
        <w:rPr>
          <w:rFonts w:ascii="Arial" w:hAnsi="Arial" w:cs="Arial"/>
          <w:sz w:val="20"/>
          <w:szCs w:val="20"/>
        </w:rPr>
        <w:t>Investment model Setup</w:t>
      </w:r>
    </w:p>
    <w:p w:rsidR="0040385F" w:rsidRPr="004B3BDF" w:rsidRDefault="0040385F" w:rsidP="00810CCD">
      <w:pPr>
        <w:pStyle w:val="body"/>
        <w:numPr>
          <w:ilvl w:val="0"/>
          <w:numId w:val="7"/>
        </w:numPr>
        <w:spacing w:before="120" w:after="120" w:line="240" w:lineRule="auto"/>
        <w:ind w:left="0" w:firstLine="0"/>
        <w:jc w:val="both"/>
        <w:rPr>
          <w:rFonts w:ascii="Arial" w:hAnsi="Arial" w:cs="Arial"/>
          <w:sz w:val="20"/>
          <w:szCs w:val="20"/>
        </w:rPr>
      </w:pPr>
      <w:r w:rsidRPr="004B3BDF">
        <w:rPr>
          <w:rFonts w:ascii="Arial" w:hAnsi="Arial" w:cs="Arial"/>
          <w:sz w:val="20"/>
          <w:szCs w:val="20"/>
        </w:rPr>
        <w:t xml:space="preserve">Order Management </w:t>
      </w:r>
    </w:p>
    <w:p w:rsidR="0040385F" w:rsidRPr="004B3BDF" w:rsidRDefault="0040385F" w:rsidP="00810CCD">
      <w:pPr>
        <w:pStyle w:val="body"/>
        <w:numPr>
          <w:ilvl w:val="0"/>
          <w:numId w:val="7"/>
        </w:numPr>
        <w:spacing w:before="120" w:after="120" w:line="240" w:lineRule="auto"/>
        <w:ind w:left="0" w:firstLine="0"/>
        <w:jc w:val="both"/>
        <w:rPr>
          <w:rFonts w:ascii="Arial" w:hAnsi="Arial" w:cs="Arial"/>
          <w:sz w:val="20"/>
          <w:szCs w:val="20"/>
        </w:rPr>
      </w:pPr>
      <w:r w:rsidRPr="004B3BDF">
        <w:rPr>
          <w:rFonts w:ascii="Arial" w:hAnsi="Arial" w:cs="Arial"/>
          <w:sz w:val="20"/>
          <w:szCs w:val="20"/>
        </w:rPr>
        <w:t>Portfolio Accounting</w:t>
      </w:r>
    </w:p>
    <w:p w:rsidR="0040385F" w:rsidRPr="00DC72A9" w:rsidRDefault="0040385F" w:rsidP="00DC72A9">
      <w:pPr>
        <w:pStyle w:val="Heading3"/>
        <w:keepNext w:val="0"/>
        <w:numPr>
          <w:ilvl w:val="0"/>
          <w:numId w:val="0"/>
        </w:numPr>
        <w:spacing w:before="120" w:after="120" w:line="240" w:lineRule="atLeast"/>
        <w:jc w:val="both"/>
        <w:rPr>
          <w:bCs w:val="0"/>
          <w:i w:val="0"/>
          <w:color w:val="auto"/>
          <w:sz w:val="20"/>
          <w:szCs w:val="20"/>
        </w:rPr>
      </w:pPr>
      <w:r w:rsidRPr="00DC72A9">
        <w:rPr>
          <w:bCs w:val="0"/>
          <w:i w:val="0"/>
          <w:color w:val="auto"/>
          <w:sz w:val="20"/>
          <w:szCs w:val="20"/>
        </w:rPr>
        <w:t>Account Creation</w:t>
      </w:r>
    </w:p>
    <w:p w:rsidR="0040385F" w:rsidRPr="004B3BDF" w:rsidRDefault="0040385F" w:rsidP="00D73E38">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In this process, the sponsor provides the detail of the investment product to investment advisor. A questionnaire is administered to the customer, where in the advisor seeks to understand the client’s purpose of investing, his return expectations, and risk tolerance and investment experience. </w:t>
      </w:r>
    </w:p>
    <w:p w:rsidR="0040385F" w:rsidRPr="004B3BDF" w:rsidRDefault="0040385F" w:rsidP="00D73E38">
      <w:pPr>
        <w:pStyle w:val="body"/>
        <w:spacing w:before="120" w:after="120" w:line="240" w:lineRule="auto"/>
        <w:jc w:val="both"/>
        <w:rPr>
          <w:rFonts w:ascii="Arial" w:hAnsi="Arial" w:cs="Arial"/>
          <w:sz w:val="20"/>
          <w:szCs w:val="20"/>
        </w:rPr>
      </w:pPr>
      <w:r w:rsidRPr="004B3BDF">
        <w:rPr>
          <w:rFonts w:ascii="Arial" w:hAnsi="Arial" w:cs="Arial"/>
          <w:sz w:val="20"/>
          <w:szCs w:val="20"/>
        </w:rPr>
        <w:lastRenderedPageBreak/>
        <w:t>Proposal is generated based on the response to the client-profiling questionnaire. The purpose of the proposal is to provide client choices for asset allocation. The sponsor reviews the proposal and if approved, the proposal is sent to the investment manager firm for new account creation. It is the most time consuming process in the whole flow</w:t>
      </w:r>
    </w:p>
    <w:p w:rsidR="0040385F" w:rsidRPr="00DC72A9" w:rsidRDefault="0040385F" w:rsidP="0040385F">
      <w:pPr>
        <w:pStyle w:val="Heading3"/>
        <w:keepNext w:val="0"/>
        <w:numPr>
          <w:ilvl w:val="0"/>
          <w:numId w:val="0"/>
        </w:numPr>
        <w:spacing w:before="120" w:after="120" w:line="240" w:lineRule="atLeast"/>
        <w:jc w:val="both"/>
        <w:rPr>
          <w:bCs w:val="0"/>
          <w:i w:val="0"/>
          <w:color w:val="auto"/>
          <w:sz w:val="20"/>
          <w:szCs w:val="20"/>
        </w:rPr>
      </w:pPr>
      <w:r w:rsidRPr="00DC72A9">
        <w:rPr>
          <w:bCs w:val="0"/>
          <w:i w:val="0"/>
          <w:color w:val="auto"/>
          <w:sz w:val="20"/>
          <w:szCs w:val="20"/>
        </w:rPr>
        <w:t>Investment Model Setup</w:t>
      </w:r>
    </w:p>
    <w:p w:rsidR="0040385F" w:rsidRPr="004B3BDF" w:rsidRDefault="0040385F" w:rsidP="00D73E38">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Money managers set up the investment models to be applied to their respective accounts. Investment models streamline account management by enabling the manager to create model accounts against which the performance of other accounts may be judged. </w:t>
      </w:r>
    </w:p>
    <w:p w:rsidR="0040385F" w:rsidRPr="004B3BDF" w:rsidRDefault="0040385F" w:rsidP="00D73E38">
      <w:pPr>
        <w:pStyle w:val="body"/>
        <w:spacing w:before="120" w:after="120" w:line="240" w:lineRule="auto"/>
        <w:jc w:val="both"/>
        <w:rPr>
          <w:rFonts w:ascii="Arial" w:hAnsi="Arial" w:cs="Arial"/>
          <w:sz w:val="20"/>
          <w:szCs w:val="20"/>
        </w:rPr>
      </w:pPr>
      <w:r w:rsidRPr="004B3BDF">
        <w:rPr>
          <w:rFonts w:ascii="Arial" w:hAnsi="Arial" w:cs="Arial"/>
          <w:sz w:val="20"/>
          <w:szCs w:val="20"/>
        </w:rPr>
        <w:t>Based on the risk return profile of the investor, the financial advisor in consultation with the money manager customizes the investment strategy. The money manager develops a formal investment strategy that decides the asset – allocation for the portfolio. The strategy involves investment in a diverse basket of securities and may include equities, fixed income, exchange traded funds and derivatives. This investment strategy is referred to as Model.</w:t>
      </w:r>
    </w:p>
    <w:p w:rsidR="0040385F" w:rsidRPr="00DC72A9" w:rsidRDefault="0040385F" w:rsidP="0040385F">
      <w:pPr>
        <w:pStyle w:val="Heading3"/>
        <w:keepNext w:val="0"/>
        <w:numPr>
          <w:ilvl w:val="0"/>
          <w:numId w:val="0"/>
        </w:numPr>
        <w:spacing w:before="120" w:after="120" w:line="240" w:lineRule="atLeast"/>
        <w:jc w:val="both"/>
        <w:rPr>
          <w:bCs w:val="0"/>
          <w:i w:val="0"/>
          <w:color w:val="auto"/>
          <w:sz w:val="20"/>
          <w:szCs w:val="20"/>
        </w:rPr>
      </w:pPr>
      <w:r w:rsidRPr="00DC72A9">
        <w:rPr>
          <w:bCs w:val="0"/>
          <w:i w:val="0"/>
          <w:color w:val="auto"/>
          <w:sz w:val="20"/>
          <w:szCs w:val="20"/>
        </w:rPr>
        <w:t xml:space="preserve">Order and Trade Management </w:t>
      </w:r>
    </w:p>
    <w:p w:rsidR="0040385F" w:rsidRPr="004B3BDF" w:rsidRDefault="0040385F" w:rsidP="00D73E38">
      <w:pPr>
        <w:pStyle w:val="body"/>
        <w:spacing w:before="120" w:after="120" w:line="240" w:lineRule="auto"/>
        <w:jc w:val="both"/>
        <w:rPr>
          <w:rFonts w:ascii="Arial" w:hAnsi="Arial" w:cs="Arial"/>
          <w:sz w:val="20"/>
          <w:szCs w:val="20"/>
        </w:rPr>
      </w:pPr>
      <w:r w:rsidRPr="004B3BDF">
        <w:rPr>
          <w:rFonts w:ascii="Arial" w:hAnsi="Arial" w:cs="Arial"/>
          <w:sz w:val="20"/>
          <w:szCs w:val="20"/>
        </w:rPr>
        <w:t>Order and Trade Management allows the money manager to create order on behalf of client accounts and route them to the broker/dealer for trading.  Accounts are frequently rebalanced for portfolio drifts and constraints, which then becomes the basis for construction of orders. The rebalancing is done to align the holdings of one or more accounts to an investment model and the order are placed. Certain rules are applied to check for validity and compliance before the trade is executed. Typically the order management system has ‘what if’ tools to assist the manager in generation of orders.</w:t>
      </w:r>
    </w:p>
    <w:p w:rsidR="0040385F" w:rsidRPr="00DC72A9" w:rsidRDefault="0040385F" w:rsidP="0040385F">
      <w:pPr>
        <w:pStyle w:val="Heading3"/>
        <w:keepNext w:val="0"/>
        <w:numPr>
          <w:ilvl w:val="0"/>
          <w:numId w:val="0"/>
        </w:numPr>
        <w:spacing w:before="120" w:after="120" w:line="240" w:lineRule="atLeast"/>
        <w:jc w:val="both"/>
        <w:rPr>
          <w:bCs w:val="0"/>
          <w:i w:val="0"/>
          <w:color w:val="auto"/>
          <w:sz w:val="20"/>
          <w:szCs w:val="20"/>
        </w:rPr>
      </w:pPr>
      <w:r w:rsidRPr="00DC72A9">
        <w:rPr>
          <w:bCs w:val="0"/>
          <w:i w:val="0"/>
          <w:color w:val="auto"/>
          <w:sz w:val="20"/>
          <w:szCs w:val="20"/>
        </w:rPr>
        <w:t>Portfolio Accounting</w:t>
      </w:r>
      <w:r w:rsidRPr="00DC72A9">
        <w:rPr>
          <w:bCs w:val="0"/>
          <w:i w:val="0"/>
          <w:color w:val="auto"/>
          <w:sz w:val="20"/>
          <w:szCs w:val="20"/>
        </w:rPr>
        <w:tab/>
      </w:r>
    </w:p>
    <w:p w:rsidR="0040385F" w:rsidRPr="004B3BDF" w:rsidRDefault="0040385F" w:rsidP="00D73E38">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Portfolio Accounting is general ledger maintenance and accounting for tax purposes. All account portfolio data (holdings) are stored at the transaction level in the form of tax lots.  This allows tracking and reporting of each transaction contributing to the holdings. All account transactions (buys and sells) are applied in batch process to reflect current holdings. </w:t>
      </w:r>
    </w:p>
    <w:p w:rsidR="0040385F" w:rsidRPr="004B3BDF" w:rsidRDefault="0040385F" w:rsidP="00ED02A4">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The general ledger entries are also maintained to reflect the cash movements that indicate the cash balances as on the trade date. </w:t>
      </w:r>
    </w:p>
    <w:p w:rsidR="0040385F" w:rsidRPr="004B3BDF" w:rsidRDefault="0040385F" w:rsidP="0040385F">
      <w:pPr>
        <w:pStyle w:val="body"/>
        <w:spacing w:before="120" w:after="120" w:line="240" w:lineRule="atLeast"/>
        <w:jc w:val="both"/>
        <w:rPr>
          <w:rFonts w:ascii="Arial" w:hAnsi="Arial" w:cs="Arial"/>
          <w:szCs w:val="22"/>
        </w:rPr>
      </w:pPr>
      <w:bookmarkStart w:id="633" w:name="_Toc203556511"/>
      <w:bookmarkStart w:id="634" w:name="_Toc203793854"/>
      <w:bookmarkStart w:id="635" w:name="_Toc203794002"/>
      <w:bookmarkStart w:id="636" w:name="_Toc203794421"/>
      <w:bookmarkStart w:id="637" w:name="_Toc203794751"/>
      <w:bookmarkStart w:id="638" w:name="_Toc203795305"/>
      <w:bookmarkStart w:id="639" w:name="_Toc203798933"/>
      <w:bookmarkStart w:id="640" w:name="_Toc204420394"/>
      <w:bookmarkEnd w:id="633"/>
      <w:bookmarkEnd w:id="634"/>
      <w:bookmarkEnd w:id="635"/>
      <w:bookmarkEnd w:id="636"/>
      <w:bookmarkEnd w:id="637"/>
      <w:bookmarkEnd w:id="638"/>
      <w:bookmarkEnd w:id="639"/>
      <w:bookmarkEnd w:id="640"/>
    </w:p>
    <w:p w:rsidR="0040385F" w:rsidRPr="004B3BDF" w:rsidRDefault="0040385F" w:rsidP="0040385F">
      <w:pPr>
        <w:pStyle w:val="Heading1"/>
        <w:keepNext w:val="0"/>
        <w:pageBreakBefore w:val="0"/>
        <w:spacing w:before="120" w:after="120" w:line="240" w:lineRule="atLeast"/>
        <w:ind w:left="0" w:firstLine="0"/>
        <w:jc w:val="both"/>
      </w:pPr>
      <w:r w:rsidRPr="004B3BDF">
        <w:rPr>
          <w:szCs w:val="22"/>
        </w:rPr>
        <w:br w:type="page"/>
      </w:r>
      <w:bookmarkStart w:id="641" w:name="_Toc199669734"/>
      <w:bookmarkStart w:id="642" w:name="_Toc226530561"/>
      <w:r w:rsidRPr="004B3BDF">
        <w:lastRenderedPageBreak/>
        <w:t>Hedge Funds</w:t>
      </w:r>
      <w:bookmarkEnd w:id="641"/>
      <w:bookmarkEnd w:id="642"/>
    </w:p>
    <w:p w:rsidR="0040385F" w:rsidRPr="004B3BDF" w:rsidRDefault="0040385F" w:rsidP="0040385F">
      <w:pPr>
        <w:pStyle w:val="Heading2"/>
        <w:keepNext w:val="0"/>
        <w:spacing w:before="120" w:after="120" w:line="240" w:lineRule="atLeast"/>
        <w:ind w:left="0" w:firstLine="0"/>
        <w:jc w:val="both"/>
      </w:pPr>
      <w:bookmarkStart w:id="643" w:name="_Toc226530562"/>
      <w:bookmarkStart w:id="644" w:name="_Toc199669735"/>
      <w:r w:rsidRPr="004B3BDF">
        <w:t>Introduction</w:t>
      </w:r>
      <w:bookmarkEnd w:id="643"/>
      <w:r w:rsidRPr="004B3BDF">
        <w:t xml:space="preserve"> </w:t>
      </w:r>
      <w:bookmarkEnd w:id="644"/>
    </w:p>
    <w:p w:rsidR="0040385F" w:rsidRPr="00262498" w:rsidRDefault="0040385F" w:rsidP="00262498">
      <w:pPr>
        <w:pStyle w:val="body"/>
        <w:spacing w:before="120" w:after="120" w:line="240" w:lineRule="auto"/>
        <w:jc w:val="both"/>
        <w:rPr>
          <w:rFonts w:ascii="Arial" w:hAnsi="Arial" w:cs="Arial"/>
          <w:sz w:val="20"/>
          <w:szCs w:val="20"/>
        </w:rPr>
      </w:pPr>
      <w:r w:rsidRPr="00262498">
        <w:rPr>
          <w:rFonts w:ascii="Arial" w:hAnsi="Arial" w:cs="Arial"/>
          <w:sz w:val="20"/>
          <w:szCs w:val="20"/>
        </w:rPr>
        <w:t>Hedge funds</w:t>
      </w:r>
      <w:r w:rsidR="00F96875">
        <w:rPr>
          <w:rFonts w:ascii="Arial" w:hAnsi="Arial" w:cs="Arial"/>
          <w:sz w:val="20"/>
          <w:szCs w:val="20"/>
        </w:rPr>
        <w:t xml:space="preserve"> are</w:t>
      </w:r>
      <w:r w:rsidRPr="00262498">
        <w:rPr>
          <w:rFonts w:ascii="Arial" w:hAnsi="Arial" w:cs="Arial"/>
          <w:sz w:val="20"/>
          <w:szCs w:val="20"/>
        </w:rPr>
        <w:t xml:space="preserve"> unregistered private investment partnerships</w:t>
      </w:r>
      <w:r w:rsidR="00F96875">
        <w:rPr>
          <w:rFonts w:ascii="Arial" w:hAnsi="Arial" w:cs="Arial"/>
          <w:sz w:val="20"/>
          <w:szCs w:val="20"/>
        </w:rPr>
        <w:t xml:space="preserve"> or offshore investment corporations constituted in terms of funds</w:t>
      </w:r>
      <w:r w:rsidRPr="00262498">
        <w:rPr>
          <w:rFonts w:ascii="Arial" w:hAnsi="Arial" w:cs="Arial"/>
          <w:sz w:val="20"/>
          <w:szCs w:val="20"/>
        </w:rPr>
        <w:t xml:space="preserve"> or pools that may invest and trade in many different markets, strategies and instruments and are NOT subject to the same regulatory requirements as Mutual funds. </w:t>
      </w:r>
      <w:r w:rsidR="00F96875">
        <w:rPr>
          <w:rFonts w:ascii="Arial" w:hAnsi="Arial" w:cs="Arial"/>
          <w:sz w:val="20"/>
          <w:szCs w:val="20"/>
        </w:rPr>
        <w:t xml:space="preserve">  Hedge fund u</w:t>
      </w:r>
      <w:r w:rsidRPr="00262498">
        <w:rPr>
          <w:rFonts w:ascii="Arial" w:hAnsi="Arial" w:cs="Arial"/>
          <w:sz w:val="20"/>
          <w:szCs w:val="20"/>
        </w:rPr>
        <w:t>se</w:t>
      </w:r>
      <w:r w:rsidR="00F96875">
        <w:rPr>
          <w:rFonts w:ascii="Arial" w:hAnsi="Arial" w:cs="Arial"/>
          <w:sz w:val="20"/>
          <w:szCs w:val="20"/>
        </w:rPr>
        <w:t>s</w:t>
      </w:r>
      <w:r w:rsidRPr="00262498">
        <w:rPr>
          <w:rFonts w:ascii="Arial" w:hAnsi="Arial" w:cs="Arial"/>
          <w:sz w:val="20"/>
          <w:szCs w:val="20"/>
        </w:rPr>
        <w:t xml:space="preserve"> a wide variety of trading strategies involving position-taking in a range of markets</w:t>
      </w:r>
      <w:r w:rsidR="00F96875">
        <w:rPr>
          <w:rFonts w:ascii="Arial" w:hAnsi="Arial" w:cs="Arial"/>
          <w:sz w:val="20"/>
          <w:szCs w:val="20"/>
        </w:rPr>
        <w:t xml:space="preserve">. Often an assortment of trading techniques and instruments are used. The pay for hedge fund managers </w:t>
      </w:r>
      <w:r w:rsidR="005A5CA4">
        <w:rPr>
          <w:rFonts w:ascii="Arial" w:hAnsi="Arial" w:cs="Arial"/>
          <w:sz w:val="20"/>
          <w:szCs w:val="20"/>
        </w:rPr>
        <w:t xml:space="preserve">are performance based. </w:t>
      </w:r>
      <w:r w:rsidRPr="00262498">
        <w:rPr>
          <w:rFonts w:ascii="Arial" w:hAnsi="Arial" w:cs="Arial"/>
          <w:sz w:val="20"/>
          <w:szCs w:val="20"/>
        </w:rPr>
        <w:t xml:space="preserve">The term “Hedge Funds”, first came into use in the 1950s to describe any investment fund that used incentive fees, short selling, and leverage. Over time, hedge funds began to diversify their investment portfolios to include other financial instruments and engage in a wider variety of investment strategies. </w:t>
      </w:r>
    </w:p>
    <w:p w:rsidR="0040385F" w:rsidRPr="004B3BDF" w:rsidRDefault="0040385F" w:rsidP="00762986">
      <w:pPr>
        <w:pStyle w:val="Heading3"/>
        <w:keepNext w:val="0"/>
        <w:tabs>
          <w:tab w:val="clear" w:pos="6444"/>
          <w:tab w:val="num" w:pos="540"/>
        </w:tabs>
        <w:spacing w:before="120" w:after="120" w:line="240" w:lineRule="atLeast"/>
        <w:ind w:left="0" w:firstLine="0"/>
        <w:jc w:val="both"/>
      </w:pPr>
      <w:bookmarkStart w:id="645" w:name="_Toc199669736"/>
      <w:r w:rsidRPr="004B3BDF">
        <w:t>Types of Hedge Funds</w:t>
      </w:r>
      <w:bookmarkEnd w:id="645"/>
    </w:p>
    <w:p w:rsidR="0040385F" w:rsidRPr="00762986" w:rsidRDefault="0040385F" w:rsidP="00762986">
      <w:pPr>
        <w:pStyle w:val="Heading3"/>
        <w:keepNext w:val="0"/>
        <w:numPr>
          <w:ilvl w:val="0"/>
          <w:numId w:val="0"/>
        </w:numPr>
        <w:spacing w:before="120" w:after="120" w:line="240" w:lineRule="atLeast"/>
        <w:jc w:val="both"/>
        <w:rPr>
          <w:i w:val="0"/>
          <w:color w:val="000000"/>
          <w:sz w:val="20"/>
          <w:szCs w:val="20"/>
        </w:rPr>
      </w:pPr>
      <w:r w:rsidRPr="00762986">
        <w:rPr>
          <w:i w:val="0"/>
          <w:color w:val="000000"/>
          <w:sz w:val="20"/>
          <w:szCs w:val="20"/>
        </w:rPr>
        <w:t>Domestic Hedge Fund</w:t>
      </w:r>
    </w:p>
    <w:p w:rsidR="0040385F" w:rsidRPr="004B3BDF" w:rsidRDefault="0040385F" w:rsidP="00262498">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Domestic hedge funds are usually organized as limited partnerships to accommodate investors that are subject to </w:t>
      </w:r>
      <w:smartTag w:uri="urn:schemas-microsoft-com:office:smarttags" w:element="place">
        <w:smartTag w:uri="urn:schemas-microsoft-com:office:smarttags" w:element="country-region">
          <w:r w:rsidRPr="004B3BDF">
            <w:rPr>
              <w:rFonts w:ascii="Arial" w:hAnsi="Arial" w:cs="Arial"/>
              <w:sz w:val="20"/>
              <w:szCs w:val="20"/>
            </w:rPr>
            <w:t>U.S.</w:t>
          </w:r>
        </w:smartTag>
      </w:smartTag>
      <w:r w:rsidRPr="004B3BDF">
        <w:rPr>
          <w:rFonts w:ascii="Arial" w:hAnsi="Arial" w:cs="Arial"/>
          <w:sz w:val="20"/>
          <w:szCs w:val="20"/>
        </w:rPr>
        <w:t xml:space="preserve"> income taxation. The fund’s sponsor typically is the general partner and investment advisor. Hedge funds may also take the form of limited liability companies (LLC) or business trusts. LLPs, LLCs and business trusts are generally not separately taxed and, as a result, income is taxed only at the level of the individual investors. Each of these firms also limits investor’s liability.  LLCs offer the additional benefit of limited liability for fund advisors (general partners).</w:t>
      </w:r>
    </w:p>
    <w:p w:rsidR="0040385F" w:rsidRPr="00762986" w:rsidRDefault="0040385F" w:rsidP="00762986">
      <w:pPr>
        <w:pStyle w:val="Heading3"/>
        <w:keepNext w:val="0"/>
        <w:numPr>
          <w:ilvl w:val="0"/>
          <w:numId w:val="0"/>
        </w:numPr>
        <w:spacing w:before="120" w:after="120" w:line="240" w:lineRule="atLeast"/>
        <w:jc w:val="both"/>
        <w:rPr>
          <w:i w:val="0"/>
          <w:color w:val="000000"/>
          <w:sz w:val="20"/>
          <w:szCs w:val="20"/>
        </w:rPr>
      </w:pPr>
      <w:r w:rsidRPr="00762986">
        <w:rPr>
          <w:i w:val="0"/>
          <w:color w:val="000000"/>
          <w:sz w:val="20"/>
          <w:szCs w:val="20"/>
        </w:rPr>
        <w:t>The offshore Hedge Fund</w:t>
      </w:r>
    </w:p>
    <w:p w:rsidR="0040385F" w:rsidRPr="004B3BDF" w:rsidRDefault="0040385F" w:rsidP="00402388">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Offshore funds are investment companies, organized outside the </w:t>
      </w:r>
      <w:smartTag w:uri="urn:schemas-microsoft-com:office:smarttags" w:element="country-region">
        <w:r w:rsidRPr="004B3BDF">
          <w:rPr>
            <w:rFonts w:ascii="Arial" w:hAnsi="Arial" w:cs="Arial"/>
            <w:sz w:val="20"/>
            <w:szCs w:val="20"/>
          </w:rPr>
          <w:t>United States</w:t>
        </w:r>
      </w:smartTag>
      <w:r w:rsidRPr="004B3BDF">
        <w:rPr>
          <w:rFonts w:ascii="Arial" w:hAnsi="Arial" w:cs="Arial"/>
          <w:sz w:val="20"/>
          <w:szCs w:val="20"/>
        </w:rPr>
        <w:t xml:space="preserve">, which offer their securities primarily to non-U.S. investors (and to </w:t>
      </w:r>
      <w:smartTag w:uri="urn:schemas-microsoft-com:office:smarttags" w:element="place">
        <w:smartTag w:uri="urn:schemas-microsoft-com:office:smarttags" w:element="country-region">
          <w:r w:rsidRPr="004B3BDF">
            <w:rPr>
              <w:rFonts w:ascii="Arial" w:hAnsi="Arial" w:cs="Arial"/>
              <w:sz w:val="20"/>
              <w:szCs w:val="20"/>
            </w:rPr>
            <w:t>U.S.</w:t>
          </w:r>
        </w:smartTag>
      </w:smartTag>
      <w:r w:rsidRPr="004B3BDF">
        <w:rPr>
          <w:rFonts w:ascii="Arial" w:hAnsi="Arial" w:cs="Arial"/>
          <w:sz w:val="20"/>
          <w:szCs w:val="20"/>
        </w:rPr>
        <w:t xml:space="preserve"> tax exempt investors in some instances, where the offshore fund is not subject to Unrelated Business Taxable Income - UBTI). Offshore funds are typically created by investment managers who have significant potential investors outside the </w:t>
      </w:r>
      <w:smartTag w:uri="urn:schemas-microsoft-com:office:smarttags" w:element="place">
        <w:smartTag w:uri="urn:schemas-microsoft-com:office:smarttags" w:element="country-region">
          <w:r w:rsidRPr="004B3BDF">
            <w:rPr>
              <w:rFonts w:ascii="Arial" w:hAnsi="Arial" w:cs="Arial"/>
              <w:sz w:val="20"/>
              <w:szCs w:val="20"/>
            </w:rPr>
            <w:t>United States</w:t>
          </w:r>
        </w:smartTag>
      </w:smartTag>
      <w:r w:rsidRPr="004B3BDF">
        <w:rPr>
          <w:rFonts w:ascii="Arial" w:hAnsi="Arial" w:cs="Arial"/>
          <w:sz w:val="20"/>
          <w:szCs w:val="20"/>
        </w:rPr>
        <w:t xml:space="preserve">. The advantage of an offshore fund is that the investors in the fund would generally not be subject to </w:t>
      </w:r>
      <w:smartTag w:uri="urn:schemas-microsoft-com:office:smarttags" w:element="place">
        <w:smartTag w:uri="urn:schemas-microsoft-com:office:smarttags" w:element="country-region">
          <w:r w:rsidRPr="004B3BDF">
            <w:rPr>
              <w:rFonts w:ascii="Arial" w:hAnsi="Arial" w:cs="Arial"/>
              <w:sz w:val="20"/>
              <w:szCs w:val="20"/>
            </w:rPr>
            <w:t>United States</w:t>
          </w:r>
        </w:smartTag>
      </w:smartTag>
      <w:r w:rsidRPr="004B3BDF">
        <w:rPr>
          <w:rFonts w:ascii="Arial" w:hAnsi="Arial" w:cs="Arial"/>
          <w:sz w:val="20"/>
          <w:szCs w:val="20"/>
        </w:rPr>
        <w:t xml:space="preserve"> taxation as long as the fund complied with certain rules established by the Internal Revenue Service (the US Income Tax department).</w:t>
      </w:r>
    </w:p>
    <w:p w:rsidR="0040385F" w:rsidRPr="004B3BDF" w:rsidRDefault="0040385F" w:rsidP="00402388">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The </w:t>
      </w:r>
      <w:smartTag w:uri="urn:schemas-microsoft-com:office:smarttags" w:element="place">
        <w:r w:rsidRPr="004B3BDF">
          <w:rPr>
            <w:rFonts w:ascii="Arial" w:hAnsi="Arial" w:cs="Arial"/>
            <w:sz w:val="20"/>
            <w:szCs w:val="20"/>
          </w:rPr>
          <w:t>Cayman Islands</w:t>
        </w:r>
      </w:smartTag>
      <w:r w:rsidRPr="004B3BDF">
        <w:rPr>
          <w:rFonts w:ascii="Arial" w:hAnsi="Arial" w:cs="Arial"/>
          <w:sz w:val="20"/>
          <w:szCs w:val="20"/>
        </w:rPr>
        <w:t xml:space="preserve"> is the most favored jurisdiction for offshore funds. About 80% of total offshore funds are registered in the </w:t>
      </w:r>
      <w:smartTag w:uri="urn:schemas-microsoft-com:office:smarttags" w:element="place">
        <w:r w:rsidRPr="004B3BDF">
          <w:rPr>
            <w:rFonts w:ascii="Arial" w:hAnsi="Arial" w:cs="Arial"/>
            <w:sz w:val="20"/>
            <w:szCs w:val="20"/>
          </w:rPr>
          <w:t>Cayman Islands</w:t>
        </w:r>
      </w:smartTag>
      <w:r w:rsidRPr="004B3BDF">
        <w:rPr>
          <w:rFonts w:ascii="Arial" w:hAnsi="Arial" w:cs="Arial"/>
          <w:sz w:val="20"/>
          <w:szCs w:val="20"/>
        </w:rPr>
        <w:t xml:space="preserve">. Other jurisdictions include such Caribbean ones as the British Virgin Islands, and such European ones as </w:t>
      </w:r>
      <w:smartTag w:uri="urn:schemas-microsoft-com:office:smarttags" w:element="country-region">
        <w:r w:rsidRPr="004B3BDF">
          <w:rPr>
            <w:rFonts w:ascii="Arial" w:hAnsi="Arial" w:cs="Arial"/>
            <w:sz w:val="20"/>
            <w:szCs w:val="20"/>
          </w:rPr>
          <w:t>Ireland</w:t>
        </w:r>
      </w:smartTag>
      <w:r w:rsidRPr="004B3BDF">
        <w:rPr>
          <w:rFonts w:ascii="Arial" w:hAnsi="Arial" w:cs="Arial"/>
          <w:sz w:val="20"/>
          <w:szCs w:val="20"/>
        </w:rPr>
        <w:t xml:space="preserve">, </w:t>
      </w:r>
      <w:smartTag w:uri="urn:schemas-microsoft-com:office:smarttags" w:element="country-region">
        <w:r w:rsidRPr="004B3BDF">
          <w:rPr>
            <w:rFonts w:ascii="Arial" w:hAnsi="Arial" w:cs="Arial"/>
            <w:sz w:val="20"/>
            <w:szCs w:val="20"/>
          </w:rPr>
          <w:t>Luxembourg</w:t>
        </w:r>
      </w:smartTag>
      <w:r w:rsidRPr="004B3BDF">
        <w:rPr>
          <w:rFonts w:ascii="Arial" w:hAnsi="Arial" w:cs="Arial"/>
          <w:sz w:val="20"/>
          <w:szCs w:val="20"/>
        </w:rPr>
        <w:t xml:space="preserve">, and the </w:t>
      </w:r>
      <w:smartTag w:uri="urn:schemas-microsoft-com:office:smarttags" w:element="place">
        <w:r w:rsidRPr="004B3BDF">
          <w:rPr>
            <w:rFonts w:ascii="Arial" w:hAnsi="Arial" w:cs="Arial"/>
            <w:sz w:val="20"/>
            <w:szCs w:val="20"/>
          </w:rPr>
          <w:t>Isle of Man</w:t>
        </w:r>
      </w:smartTag>
      <w:r w:rsidRPr="004B3BDF">
        <w:rPr>
          <w:rFonts w:ascii="Arial" w:hAnsi="Arial" w:cs="Arial"/>
          <w:sz w:val="20"/>
          <w:szCs w:val="20"/>
        </w:rPr>
        <w:t xml:space="preserve">, especially when the investor base is primarily European. The offshore hedge funds commonly employ a business structure called the ‘master-feeder’ structure. A “master/feeder” structure is one in which assets from domestic and offshore funds are dropped into a “master” fund which serves as the investment entity for both funds. The sole investment of the feeders is their respective ownership interest in the master fund. </w:t>
      </w:r>
    </w:p>
    <w:p w:rsidR="0040385F" w:rsidRPr="004B3BDF" w:rsidRDefault="0040385F" w:rsidP="00402388">
      <w:pPr>
        <w:pStyle w:val="body"/>
        <w:spacing w:before="120" w:after="120" w:line="240" w:lineRule="auto"/>
        <w:jc w:val="both"/>
        <w:rPr>
          <w:rFonts w:ascii="Arial" w:hAnsi="Arial" w:cs="Arial"/>
          <w:sz w:val="20"/>
          <w:szCs w:val="20"/>
        </w:rPr>
      </w:pPr>
      <w:r w:rsidRPr="004B3BDF">
        <w:rPr>
          <w:rFonts w:ascii="Arial" w:hAnsi="Arial" w:cs="Arial"/>
          <w:sz w:val="20"/>
          <w:szCs w:val="20"/>
        </w:rPr>
        <w:t>US investors investing in an offshore fund incorporated as a company are subject to taxation under rules applicable to controlled foreign corporations, passive foreign investment companies (PFICs) or foreign personal holdings companies (5 or less participants), which are subject to onerous tax treatment. A personal income tax of 40% is applicable on ordinary gain on sale of securities. Any long-term capital gain is deemed to be distributed over the life of the investment, with interest penalties applicable to deferred taxes. However, if they invest in offshore funds incorporated as limited partnerships, they are subject to more favorable taxation rules of an annual payment of tax.</w:t>
      </w:r>
    </w:p>
    <w:p w:rsidR="0040385F" w:rsidRPr="004B3BDF" w:rsidRDefault="0040385F" w:rsidP="0040385F">
      <w:pPr>
        <w:rPr>
          <w:rFonts w:ascii="Arial" w:hAnsi="Arial" w:cs="Arial"/>
        </w:rPr>
      </w:pPr>
    </w:p>
    <w:p w:rsidR="0040385F" w:rsidRPr="004B3BDF" w:rsidRDefault="0040385F" w:rsidP="00144DF6">
      <w:pPr>
        <w:pStyle w:val="Heading3"/>
        <w:keepNext w:val="0"/>
        <w:tabs>
          <w:tab w:val="clear" w:pos="6444"/>
          <w:tab w:val="num" w:pos="540"/>
        </w:tabs>
        <w:spacing w:before="120" w:after="120" w:line="240" w:lineRule="atLeast"/>
        <w:ind w:left="0" w:firstLine="0"/>
        <w:jc w:val="both"/>
      </w:pPr>
      <w:bookmarkStart w:id="646" w:name="_Toc199669737"/>
      <w:r w:rsidRPr="004B3BDF">
        <w:t>Hedge Fund Strategies &amp; Styles</w:t>
      </w:r>
      <w:bookmarkEnd w:id="646"/>
    </w:p>
    <w:p w:rsidR="0040385F" w:rsidRPr="00144DF6" w:rsidRDefault="0040385F" w:rsidP="00144DF6">
      <w:pPr>
        <w:pStyle w:val="Heading3"/>
        <w:keepNext w:val="0"/>
        <w:numPr>
          <w:ilvl w:val="0"/>
          <w:numId w:val="0"/>
        </w:numPr>
        <w:spacing w:before="120" w:after="120" w:line="240" w:lineRule="atLeast"/>
        <w:jc w:val="both"/>
        <w:rPr>
          <w:i w:val="0"/>
          <w:color w:val="000000"/>
          <w:sz w:val="20"/>
          <w:szCs w:val="20"/>
        </w:rPr>
      </w:pPr>
      <w:r w:rsidRPr="00144DF6">
        <w:rPr>
          <w:i w:val="0"/>
          <w:color w:val="000000"/>
          <w:sz w:val="20"/>
          <w:szCs w:val="20"/>
        </w:rPr>
        <w:t>Hedge Fund Strategies</w:t>
      </w:r>
    </w:p>
    <w:p w:rsidR="0040385F" w:rsidRPr="004B3BDF" w:rsidRDefault="0040385F" w:rsidP="0052036B">
      <w:pPr>
        <w:pStyle w:val="body"/>
        <w:spacing w:before="120" w:after="120" w:line="240" w:lineRule="auto"/>
        <w:jc w:val="both"/>
        <w:rPr>
          <w:rFonts w:ascii="Arial" w:hAnsi="Arial" w:cs="Arial"/>
          <w:sz w:val="20"/>
          <w:szCs w:val="20"/>
        </w:rPr>
      </w:pPr>
      <w:r w:rsidRPr="00144DF6">
        <w:rPr>
          <w:rFonts w:ascii="Arial" w:hAnsi="Arial" w:cs="Arial"/>
          <w:i/>
          <w:sz w:val="20"/>
          <w:szCs w:val="20"/>
        </w:rPr>
        <w:t>Leverage</w:t>
      </w:r>
      <w:r w:rsidR="00144DF6">
        <w:rPr>
          <w:rFonts w:ascii="Arial" w:hAnsi="Arial" w:cs="Arial"/>
          <w:sz w:val="20"/>
          <w:szCs w:val="20"/>
        </w:rPr>
        <w:t>:</w:t>
      </w:r>
      <w:r w:rsidRPr="00144DF6">
        <w:rPr>
          <w:rFonts w:ascii="Arial" w:hAnsi="Arial" w:cs="Arial"/>
          <w:sz w:val="20"/>
          <w:szCs w:val="20"/>
        </w:rPr>
        <w:t xml:space="preserve"> Leverage</w:t>
      </w:r>
      <w:r w:rsidRPr="004B3BDF">
        <w:rPr>
          <w:rFonts w:ascii="Arial" w:hAnsi="Arial" w:cs="Arial"/>
          <w:sz w:val="20"/>
          <w:szCs w:val="20"/>
        </w:rPr>
        <w:t xml:space="preserve"> is borrowing money in order to invest. The idea is that the fund manager will earn excessive returns on the whole investment, pay only interest to creditors and distribute the huge returns to investors.</w:t>
      </w:r>
    </w:p>
    <w:p w:rsidR="0040385F" w:rsidRPr="004B3BDF" w:rsidRDefault="0040385F" w:rsidP="0052036B">
      <w:pPr>
        <w:pStyle w:val="body"/>
        <w:spacing w:before="120" w:after="120" w:line="240" w:lineRule="auto"/>
        <w:jc w:val="both"/>
        <w:rPr>
          <w:rFonts w:ascii="Arial" w:hAnsi="Arial" w:cs="Arial"/>
          <w:sz w:val="20"/>
          <w:szCs w:val="20"/>
        </w:rPr>
      </w:pPr>
      <w:r w:rsidRPr="004B3BDF">
        <w:rPr>
          <w:rFonts w:ascii="Arial" w:hAnsi="Arial" w:cs="Arial"/>
          <w:sz w:val="20"/>
          <w:szCs w:val="20"/>
        </w:rPr>
        <w:t>(</w:t>
      </w:r>
      <w:r w:rsidR="00700E72" w:rsidRPr="004B3BDF">
        <w:rPr>
          <w:rFonts w:ascii="Arial" w:hAnsi="Arial" w:cs="Arial"/>
          <w:sz w:val="20"/>
          <w:szCs w:val="20"/>
        </w:rPr>
        <w:t>E.g</w:t>
      </w:r>
      <w:r w:rsidRPr="004B3BDF">
        <w:rPr>
          <w:rFonts w:ascii="Arial" w:hAnsi="Arial" w:cs="Arial"/>
          <w:sz w:val="20"/>
          <w:szCs w:val="20"/>
        </w:rPr>
        <w:t xml:space="preserve">. Investors put in $ 1 </w:t>
      </w:r>
      <w:proofErr w:type="spellStart"/>
      <w:r w:rsidRPr="004B3BDF">
        <w:rPr>
          <w:rFonts w:ascii="Arial" w:hAnsi="Arial" w:cs="Arial"/>
          <w:sz w:val="20"/>
          <w:szCs w:val="20"/>
        </w:rPr>
        <w:t>mn</w:t>
      </w:r>
      <w:proofErr w:type="spellEnd"/>
      <w:r w:rsidRPr="004B3BDF">
        <w:rPr>
          <w:rFonts w:ascii="Arial" w:hAnsi="Arial" w:cs="Arial"/>
          <w:sz w:val="20"/>
          <w:szCs w:val="20"/>
        </w:rPr>
        <w:t xml:space="preserve"> in a hedge fund. The fund manager borrows $ 9 </w:t>
      </w:r>
      <w:proofErr w:type="spellStart"/>
      <w:r w:rsidRPr="004B3BDF">
        <w:rPr>
          <w:rFonts w:ascii="Arial" w:hAnsi="Arial" w:cs="Arial"/>
          <w:sz w:val="20"/>
          <w:szCs w:val="20"/>
        </w:rPr>
        <w:t>mn</w:t>
      </w:r>
      <w:proofErr w:type="spellEnd"/>
      <w:r w:rsidRPr="004B3BDF">
        <w:rPr>
          <w:rFonts w:ascii="Arial" w:hAnsi="Arial" w:cs="Arial"/>
          <w:sz w:val="20"/>
          <w:szCs w:val="20"/>
        </w:rPr>
        <w:t xml:space="preserve"> @ 5% pa, invests this $ 10 </w:t>
      </w:r>
      <w:proofErr w:type="spellStart"/>
      <w:r w:rsidRPr="004B3BDF">
        <w:rPr>
          <w:rFonts w:ascii="Arial" w:hAnsi="Arial" w:cs="Arial"/>
          <w:sz w:val="20"/>
          <w:szCs w:val="20"/>
        </w:rPr>
        <w:t>mn</w:t>
      </w:r>
      <w:proofErr w:type="spellEnd"/>
      <w:r w:rsidRPr="004B3BDF">
        <w:rPr>
          <w:rFonts w:ascii="Arial" w:hAnsi="Arial" w:cs="Arial"/>
          <w:sz w:val="20"/>
          <w:szCs w:val="20"/>
        </w:rPr>
        <w:t xml:space="preserve">. Suppose, the fund manager’s choice of stocks happens to be good, and this $ 10 </w:t>
      </w:r>
      <w:proofErr w:type="spellStart"/>
      <w:r w:rsidRPr="004B3BDF">
        <w:rPr>
          <w:rFonts w:ascii="Arial" w:hAnsi="Arial" w:cs="Arial"/>
          <w:sz w:val="20"/>
          <w:szCs w:val="20"/>
        </w:rPr>
        <w:t>mn</w:t>
      </w:r>
      <w:proofErr w:type="spellEnd"/>
      <w:r w:rsidRPr="004B3BDF">
        <w:rPr>
          <w:rFonts w:ascii="Arial" w:hAnsi="Arial" w:cs="Arial"/>
          <w:sz w:val="20"/>
          <w:szCs w:val="20"/>
        </w:rPr>
        <w:t xml:space="preserve"> becomes $ 15 </w:t>
      </w:r>
      <w:proofErr w:type="spellStart"/>
      <w:r w:rsidRPr="004B3BDF">
        <w:rPr>
          <w:rFonts w:ascii="Arial" w:hAnsi="Arial" w:cs="Arial"/>
          <w:sz w:val="20"/>
          <w:szCs w:val="20"/>
        </w:rPr>
        <w:t>mn</w:t>
      </w:r>
      <w:proofErr w:type="spellEnd"/>
      <w:r w:rsidRPr="004B3BDF">
        <w:rPr>
          <w:rFonts w:ascii="Arial" w:hAnsi="Arial" w:cs="Arial"/>
          <w:sz w:val="20"/>
          <w:szCs w:val="20"/>
        </w:rPr>
        <w:t xml:space="preserve"> in 3 months. Then, the manager pays off $ 9.1125 </w:t>
      </w:r>
      <w:proofErr w:type="spellStart"/>
      <w:r w:rsidRPr="004B3BDF">
        <w:rPr>
          <w:rFonts w:ascii="Arial" w:hAnsi="Arial" w:cs="Arial"/>
          <w:sz w:val="20"/>
          <w:szCs w:val="20"/>
        </w:rPr>
        <w:t>mn</w:t>
      </w:r>
      <w:proofErr w:type="spellEnd"/>
      <w:r w:rsidRPr="004B3BDF">
        <w:rPr>
          <w:rFonts w:ascii="Arial" w:hAnsi="Arial" w:cs="Arial"/>
          <w:sz w:val="20"/>
          <w:szCs w:val="20"/>
        </w:rPr>
        <w:t xml:space="preserve"> to the creditors (Principal + 5% pa for 3 months). Thus, she has converted $ 1 </w:t>
      </w:r>
      <w:proofErr w:type="spellStart"/>
      <w:r w:rsidRPr="004B3BDF">
        <w:rPr>
          <w:rFonts w:ascii="Arial" w:hAnsi="Arial" w:cs="Arial"/>
          <w:sz w:val="20"/>
          <w:szCs w:val="20"/>
        </w:rPr>
        <w:t>mn</w:t>
      </w:r>
      <w:proofErr w:type="spellEnd"/>
      <w:r w:rsidRPr="004B3BDF">
        <w:rPr>
          <w:rFonts w:ascii="Arial" w:hAnsi="Arial" w:cs="Arial"/>
          <w:sz w:val="20"/>
          <w:szCs w:val="20"/>
        </w:rPr>
        <w:t xml:space="preserve"> of investors’ money into $ 5.8875 </w:t>
      </w:r>
      <w:proofErr w:type="spellStart"/>
      <w:r w:rsidRPr="004B3BDF">
        <w:rPr>
          <w:rFonts w:ascii="Arial" w:hAnsi="Arial" w:cs="Arial"/>
          <w:sz w:val="20"/>
          <w:szCs w:val="20"/>
        </w:rPr>
        <w:t>mn</w:t>
      </w:r>
      <w:proofErr w:type="spellEnd"/>
      <w:r w:rsidRPr="004B3BDF">
        <w:rPr>
          <w:rFonts w:ascii="Arial" w:hAnsi="Arial" w:cs="Arial"/>
          <w:sz w:val="20"/>
          <w:szCs w:val="20"/>
        </w:rPr>
        <w:t xml:space="preserve"> in 3 months, earning a 488% return or a 2000% annualized return!)</w:t>
      </w:r>
    </w:p>
    <w:p w:rsidR="0040385F" w:rsidRPr="004B3BDF" w:rsidRDefault="0040385F" w:rsidP="0052036B">
      <w:pPr>
        <w:pStyle w:val="body"/>
        <w:spacing w:before="120" w:after="120" w:line="240" w:lineRule="auto"/>
        <w:jc w:val="both"/>
        <w:rPr>
          <w:rFonts w:ascii="Arial" w:hAnsi="Arial" w:cs="Arial"/>
          <w:sz w:val="20"/>
          <w:szCs w:val="20"/>
        </w:rPr>
      </w:pPr>
      <w:r w:rsidRPr="00144DF6">
        <w:rPr>
          <w:rFonts w:ascii="Arial" w:hAnsi="Arial" w:cs="Arial"/>
          <w:i/>
          <w:sz w:val="20"/>
          <w:szCs w:val="20"/>
        </w:rPr>
        <w:t>Short Selling</w:t>
      </w:r>
      <w:r w:rsidR="00144DF6">
        <w:rPr>
          <w:rFonts w:ascii="Arial" w:hAnsi="Arial" w:cs="Arial"/>
          <w:sz w:val="20"/>
          <w:szCs w:val="20"/>
        </w:rPr>
        <w:t>:</w:t>
      </w:r>
      <w:r w:rsidR="0052036B" w:rsidRPr="004B3BDF">
        <w:rPr>
          <w:rFonts w:ascii="Arial" w:hAnsi="Arial" w:cs="Arial"/>
          <w:sz w:val="20"/>
          <w:szCs w:val="20"/>
        </w:rPr>
        <w:t xml:space="preserve"> Selling</w:t>
      </w:r>
      <w:r w:rsidRPr="004B3BDF">
        <w:rPr>
          <w:rStyle w:val="Body1Char"/>
          <w:rFonts w:cs="Arial"/>
          <w:sz w:val="20"/>
          <w:szCs w:val="20"/>
        </w:rPr>
        <w:t xml:space="preserve"> short is selling shares without owning them, hoping to buy them back at a future date at a lower price in the expectation that their price will drop</w:t>
      </w:r>
      <w:r w:rsidRPr="004B3BDF">
        <w:rPr>
          <w:rFonts w:ascii="Arial" w:hAnsi="Arial" w:cs="Arial"/>
          <w:sz w:val="20"/>
          <w:szCs w:val="20"/>
        </w:rPr>
        <w:t xml:space="preserve">. </w:t>
      </w:r>
    </w:p>
    <w:p w:rsidR="0040385F" w:rsidRPr="004B3BDF" w:rsidRDefault="0040385F" w:rsidP="0052036B">
      <w:pPr>
        <w:pStyle w:val="body"/>
        <w:spacing w:before="120" w:after="120" w:line="240" w:lineRule="auto"/>
        <w:jc w:val="both"/>
        <w:rPr>
          <w:rFonts w:ascii="Arial" w:hAnsi="Arial" w:cs="Arial"/>
          <w:sz w:val="20"/>
          <w:szCs w:val="20"/>
        </w:rPr>
      </w:pPr>
      <w:r w:rsidRPr="00144DF6">
        <w:rPr>
          <w:rFonts w:ascii="Arial" w:hAnsi="Arial" w:cs="Arial"/>
          <w:i/>
          <w:sz w:val="20"/>
          <w:szCs w:val="20"/>
        </w:rPr>
        <w:t>Arbitrage</w:t>
      </w:r>
      <w:r w:rsidR="00144DF6">
        <w:rPr>
          <w:rFonts w:ascii="Arial" w:hAnsi="Arial" w:cs="Arial"/>
          <w:sz w:val="20"/>
          <w:szCs w:val="20"/>
        </w:rPr>
        <w:t xml:space="preserve">: </w:t>
      </w:r>
      <w:r w:rsidRPr="004B3BDF">
        <w:rPr>
          <w:rFonts w:ascii="Arial" w:hAnsi="Arial" w:cs="Arial"/>
          <w:sz w:val="20"/>
          <w:szCs w:val="20"/>
        </w:rPr>
        <w:t>Arbitrage is seeking to exploit pricing inefficiencies between related securities - for example, go long on convertible bonds and short the underlying issuer’s equity.  This arbitrage is different from the one exploiting price mismatch between two markets (</w:t>
      </w:r>
      <w:proofErr w:type="spellStart"/>
      <w:r w:rsidRPr="004B3BDF">
        <w:rPr>
          <w:rFonts w:ascii="Arial" w:hAnsi="Arial" w:cs="Arial"/>
          <w:sz w:val="20"/>
          <w:szCs w:val="20"/>
        </w:rPr>
        <w:t>Eg</w:t>
      </w:r>
      <w:proofErr w:type="spellEnd"/>
      <w:r w:rsidRPr="004B3BDF">
        <w:rPr>
          <w:rFonts w:ascii="Arial" w:hAnsi="Arial" w:cs="Arial"/>
          <w:sz w:val="20"/>
          <w:szCs w:val="20"/>
        </w:rPr>
        <w:t xml:space="preserve"> same stock/currency different price in NYSE and LSE)</w:t>
      </w:r>
    </w:p>
    <w:p w:rsidR="0040385F" w:rsidRPr="004B3BDF" w:rsidRDefault="0040385F" w:rsidP="0052036B">
      <w:pPr>
        <w:pStyle w:val="body"/>
        <w:spacing w:before="120" w:after="120" w:line="240" w:lineRule="auto"/>
        <w:jc w:val="both"/>
        <w:rPr>
          <w:rFonts w:ascii="Arial" w:hAnsi="Arial" w:cs="Arial"/>
          <w:sz w:val="20"/>
          <w:szCs w:val="20"/>
        </w:rPr>
      </w:pPr>
      <w:r w:rsidRPr="00BA0CBF">
        <w:rPr>
          <w:rFonts w:ascii="Arial" w:hAnsi="Arial" w:cs="Arial"/>
          <w:i/>
          <w:sz w:val="20"/>
          <w:szCs w:val="20"/>
        </w:rPr>
        <w:t>Trading options or derivatives</w:t>
      </w:r>
      <w:proofErr w:type="gramStart"/>
      <w:r w:rsidR="00BA0CBF">
        <w:rPr>
          <w:rFonts w:ascii="Arial" w:hAnsi="Arial" w:cs="Arial"/>
          <w:i/>
          <w:sz w:val="20"/>
          <w:szCs w:val="20"/>
        </w:rPr>
        <w:t>:</w:t>
      </w:r>
      <w:r w:rsidRPr="00BA0CBF">
        <w:rPr>
          <w:rFonts w:ascii="Arial" w:hAnsi="Arial" w:cs="Arial"/>
          <w:i/>
          <w:sz w:val="20"/>
          <w:szCs w:val="20"/>
        </w:rPr>
        <w:t>-</w:t>
      </w:r>
      <w:proofErr w:type="gramEnd"/>
      <w:r w:rsidRPr="004B3BDF">
        <w:rPr>
          <w:rFonts w:ascii="Arial" w:hAnsi="Arial" w:cs="Arial"/>
          <w:sz w:val="20"/>
          <w:szCs w:val="20"/>
        </w:rPr>
        <w:t xml:space="preserve"> Derivatives are instruments whose values are based on the performance of any underlying financial asset, index or other investment.  Using derivatives gives the </w:t>
      </w:r>
      <w:proofErr w:type="spellStart"/>
      <w:r w:rsidRPr="004B3BDF">
        <w:rPr>
          <w:rFonts w:ascii="Arial" w:hAnsi="Arial" w:cs="Arial"/>
          <w:sz w:val="20"/>
          <w:szCs w:val="20"/>
        </w:rPr>
        <w:t>funds</w:t>
      </w:r>
      <w:proofErr w:type="spellEnd"/>
      <w:r w:rsidRPr="004B3BDF">
        <w:rPr>
          <w:rFonts w:ascii="Arial" w:hAnsi="Arial" w:cs="Arial"/>
          <w:sz w:val="20"/>
          <w:szCs w:val="20"/>
        </w:rPr>
        <w:t xml:space="preserve"> manager additional leverage in their investments. Leverage while increasing the risk also provides managers with opportunities to make large profits on lesser investment</w:t>
      </w:r>
    </w:p>
    <w:p w:rsidR="0040385F" w:rsidRPr="004B3BDF" w:rsidRDefault="0040385F" w:rsidP="0052036B">
      <w:pPr>
        <w:pStyle w:val="body"/>
        <w:spacing w:before="120" w:after="120" w:line="240" w:lineRule="auto"/>
        <w:jc w:val="both"/>
        <w:rPr>
          <w:rFonts w:ascii="Arial" w:hAnsi="Arial" w:cs="Arial"/>
          <w:sz w:val="20"/>
          <w:szCs w:val="20"/>
        </w:rPr>
      </w:pPr>
      <w:proofErr w:type="gramStart"/>
      <w:r w:rsidRPr="00AB0FB3">
        <w:rPr>
          <w:rFonts w:ascii="Arial" w:hAnsi="Arial" w:cs="Arial"/>
          <w:i/>
          <w:sz w:val="20"/>
          <w:szCs w:val="20"/>
        </w:rPr>
        <w:t>Investing in anticipation of a specific event</w:t>
      </w:r>
      <w:r w:rsidR="00AB0FB3" w:rsidRPr="00AB0FB3">
        <w:rPr>
          <w:rFonts w:ascii="Arial" w:hAnsi="Arial" w:cs="Arial"/>
          <w:i/>
          <w:sz w:val="20"/>
          <w:szCs w:val="20"/>
        </w:rPr>
        <w:t>:</w:t>
      </w:r>
      <w:r w:rsidR="00AB0FB3">
        <w:rPr>
          <w:rFonts w:ascii="Arial" w:hAnsi="Arial" w:cs="Arial"/>
          <w:sz w:val="20"/>
          <w:szCs w:val="20"/>
        </w:rPr>
        <w:t xml:space="preserve"> </w:t>
      </w:r>
      <w:r w:rsidR="00411A68">
        <w:rPr>
          <w:rFonts w:ascii="Arial" w:hAnsi="Arial" w:cs="Arial"/>
          <w:sz w:val="20"/>
          <w:szCs w:val="20"/>
        </w:rPr>
        <w:t xml:space="preserve"> </w:t>
      </w:r>
      <w:r w:rsidRPr="004B3BDF">
        <w:rPr>
          <w:rFonts w:ascii="Arial" w:hAnsi="Arial" w:cs="Arial"/>
          <w:sz w:val="20"/>
          <w:szCs w:val="20"/>
        </w:rPr>
        <w:t>The fund manager invests money expecting an upward rating in a company’s shares.</w:t>
      </w:r>
      <w:proofErr w:type="gramEnd"/>
      <w:r w:rsidRPr="004B3BDF">
        <w:rPr>
          <w:rFonts w:ascii="Arial" w:hAnsi="Arial" w:cs="Arial"/>
          <w:sz w:val="20"/>
          <w:szCs w:val="20"/>
        </w:rPr>
        <w:t xml:space="preserve"> The upward rating can happen due to events such as merger, hostile takeover, and spin-off.</w:t>
      </w:r>
    </w:p>
    <w:p w:rsidR="0040385F" w:rsidRPr="004B3BDF" w:rsidRDefault="0040385F" w:rsidP="0052036B">
      <w:pPr>
        <w:pStyle w:val="body"/>
        <w:spacing w:before="120" w:after="120" w:line="240" w:lineRule="auto"/>
        <w:jc w:val="both"/>
        <w:rPr>
          <w:rFonts w:ascii="Arial" w:hAnsi="Arial" w:cs="Arial"/>
          <w:sz w:val="20"/>
          <w:szCs w:val="20"/>
        </w:rPr>
      </w:pPr>
      <w:r w:rsidRPr="00BC2CF1">
        <w:rPr>
          <w:rFonts w:ascii="Arial" w:hAnsi="Arial" w:cs="Arial"/>
          <w:i/>
          <w:sz w:val="20"/>
          <w:szCs w:val="20"/>
        </w:rPr>
        <w:t xml:space="preserve">Investing in deeply discounted securities of </w:t>
      </w:r>
      <w:r w:rsidR="00BC2CF1" w:rsidRPr="00BC2CF1">
        <w:rPr>
          <w:rFonts w:ascii="Arial" w:hAnsi="Arial" w:cs="Arial"/>
          <w:i/>
          <w:sz w:val="20"/>
          <w:szCs w:val="20"/>
        </w:rPr>
        <w:t>companies</w:t>
      </w:r>
      <w:r w:rsidR="00BC2CF1">
        <w:rPr>
          <w:rFonts w:ascii="Arial" w:hAnsi="Arial" w:cs="Arial"/>
          <w:i/>
          <w:sz w:val="20"/>
          <w:szCs w:val="20"/>
        </w:rPr>
        <w:t>:</w:t>
      </w:r>
      <w:r w:rsidRPr="00BC2CF1">
        <w:rPr>
          <w:rFonts w:ascii="Arial" w:hAnsi="Arial" w:cs="Arial"/>
          <w:i/>
          <w:sz w:val="20"/>
          <w:szCs w:val="20"/>
        </w:rPr>
        <w:t xml:space="preserve"> </w:t>
      </w:r>
      <w:r w:rsidRPr="004B3BDF">
        <w:rPr>
          <w:rFonts w:ascii="Arial" w:hAnsi="Arial" w:cs="Arial"/>
          <w:sz w:val="20"/>
          <w:szCs w:val="20"/>
        </w:rPr>
        <w:t xml:space="preserve">The ones that are about to enter or exit financial distress or bankruptcy, often below liquidation value. </w:t>
      </w:r>
    </w:p>
    <w:p w:rsidR="0040385F" w:rsidRPr="004B3BDF" w:rsidRDefault="0040385F" w:rsidP="0052036B">
      <w:pPr>
        <w:pStyle w:val="body"/>
        <w:spacing w:before="120" w:after="120" w:line="240" w:lineRule="auto"/>
        <w:jc w:val="both"/>
        <w:rPr>
          <w:rFonts w:ascii="Arial" w:hAnsi="Arial" w:cs="Arial"/>
          <w:sz w:val="20"/>
          <w:szCs w:val="20"/>
        </w:rPr>
      </w:pPr>
      <w:r w:rsidRPr="00BC2CF1">
        <w:rPr>
          <w:rFonts w:ascii="Arial" w:hAnsi="Arial" w:cs="Arial"/>
          <w:i/>
          <w:sz w:val="20"/>
          <w:szCs w:val="20"/>
        </w:rPr>
        <w:t>Invest in near risk free combinations</w:t>
      </w:r>
      <w:r w:rsidR="00BC2CF1">
        <w:rPr>
          <w:rFonts w:ascii="Arial" w:hAnsi="Arial" w:cs="Arial"/>
          <w:i/>
          <w:sz w:val="20"/>
          <w:szCs w:val="20"/>
        </w:rPr>
        <w:t xml:space="preserve">: </w:t>
      </w:r>
      <w:r w:rsidRPr="004B3BDF">
        <w:rPr>
          <w:rFonts w:ascii="Arial" w:hAnsi="Arial" w:cs="Arial"/>
          <w:sz w:val="20"/>
          <w:szCs w:val="20"/>
        </w:rPr>
        <w:t xml:space="preserve"> Many of the strategies used by hedge funds benefit from being non-correlated to the direction of equity markets thus making their beta as low as 0.</w:t>
      </w:r>
    </w:p>
    <w:p w:rsidR="0040385F" w:rsidRPr="00144DF6" w:rsidRDefault="0040385F" w:rsidP="00144DF6">
      <w:pPr>
        <w:pStyle w:val="Heading3"/>
        <w:keepNext w:val="0"/>
        <w:numPr>
          <w:ilvl w:val="0"/>
          <w:numId w:val="0"/>
        </w:numPr>
        <w:spacing w:before="120" w:after="120" w:line="240" w:lineRule="atLeast"/>
        <w:jc w:val="both"/>
        <w:rPr>
          <w:i w:val="0"/>
          <w:color w:val="000000"/>
          <w:sz w:val="20"/>
          <w:szCs w:val="20"/>
        </w:rPr>
      </w:pPr>
      <w:r w:rsidRPr="00144DF6">
        <w:rPr>
          <w:i w:val="0"/>
          <w:color w:val="000000"/>
          <w:sz w:val="20"/>
          <w:szCs w:val="20"/>
        </w:rPr>
        <w:t>Hedge Fund Style</w:t>
      </w:r>
    </w:p>
    <w:p w:rsidR="0040385F" w:rsidRPr="004B3BDF" w:rsidRDefault="0040385F" w:rsidP="0052036B">
      <w:pPr>
        <w:pStyle w:val="body"/>
        <w:spacing w:before="120" w:after="120" w:line="240" w:lineRule="auto"/>
        <w:jc w:val="both"/>
        <w:rPr>
          <w:rFonts w:ascii="Arial" w:hAnsi="Arial" w:cs="Arial"/>
          <w:sz w:val="20"/>
          <w:szCs w:val="20"/>
        </w:rPr>
      </w:pPr>
      <w:r w:rsidRPr="004B3BDF">
        <w:rPr>
          <w:rFonts w:ascii="Arial" w:hAnsi="Arial" w:cs="Arial"/>
          <w:sz w:val="20"/>
          <w:szCs w:val="20"/>
        </w:rPr>
        <w:t>Managers choose from these strategies to decide their investment “style”. A style characterizes the approach taken by managers as to which market to invest in, what securities to select etc. The following styles are generally observed:</w:t>
      </w:r>
    </w:p>
    <w:p w:rsidR="0040385F" w:rsidRPr="004B3BDF"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Aggressive Growth</w:t>
      </w:r>
      <w:r w:rsidR="00F66E63" w:rsidRPr="00F66E63">
        <w:rPr>
          <w:rFonts w:ascii="Arial" w:hAnsi="Arial" w:cs="Arial"/>
          <w:i/>
          <w:sz w:val="20"/>
          <w:szCs w:val="20"/>
        </w:rPr>
        <w:t xml:space="preserve">: </w:t>
      </w:r>
      <w:r w:rsidRPr="004B3BDF">
        <w:rPr>
          <w:rFonts w:ascii="Arial" w:hAnsi="Arial" w:cs="Arial"/>
          <w:sz w:val="20"/>
          <w:szCs w:val="20"/>
        </w:rPr>
        <w:t xml:space="preserve">Such funds invest in equities expected to experience acceleration in growth of earnings per share. Such securities are observed to have high P/E ratios, low or no dividends; often smaller and micro cap stocks that are expected to experience rapid growth. Hedging is achieved by taking reverse position in (Selling short) those stocks that are expected to deliver disappointing growth. Shorting stock indices is another measure to contain huge losses in event of the unexpected fall in stock markets. </w:t>
      </w:r>
    </w:p>
    <w:p w:rsidR="0040385F" w:rsidRPr="00F66E63"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lastRenderedPageBreak/>
        <w:t>Income</w:t>
      </w:r>
      <w:r w:rsidR="00F66E63" w:rsidRPr="00F66E63">
        <w:rPr>
          <w:rFonts w:ascii="Arial" w:hAnsi="Arial" w:cs="Arial"/>
          <w:i/>
          <w:sz w:val="20"/>
          <w:szCs w:val="20"/>
        </w:rPr>
        <w:t xml:space="preserve">: </w:t>
      </w:r>
      <w:r w:rsidRPr="00F66E63">
        <w:rPr>
          <w:rFonts w:ascii="Arial" w:hAnsi="Arial" w:cs="Arial"/>
          <w:sz w:val="20"/>
          <w:szCs w:val="20"/>
        </w:rPr>
        <w:t>The objective of such funds is to attain near constant income rather than focus on capital gain. The investment style is - use leverage to buy bonds and sometimes fixed income derivatives. Leverage allows accentuating the impact of market moves. Hedging is done on interest rate to counter possible fluctuations.</w:t>
      </w:r>
    </w:p>
    <w:p w:rsidR="0040385F" w:rsidRPr="004B3BDF"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Distressed Securities</w:t>
      </w:r>
      <w:r w:rsidR="00F66E63" w:rsidRPr="00F66E63">
        <w:rPr>
          <w:rFonts w:ascii="Arial" w:hAnsi="Arial" w:cs="Arial"/>
          <w:i/>
          <w:sz w:val="20"/>
          <w:szCs w:val="20"/>
        </w:rPr>
        <w:t xml:space="preserve">: </w:t>
      </w:r>
      <w:r w:rsidRPr="004B3BDF">
        <w:rPr>
          <w:rFonts w:ascii="Arial" w:hAnsi="Arial" w:cs="Arial"/>
          <w:sz w:val="20"/>
          <w:szCs w:val="20"/>
        </w:rPr>
        <w:t xml:space="preserve">The fund manager buys equity, debt, or trade claims at deep discounts of companies in or facing bankruptcy or reorganization. She profits from the market's lack of understanding of the true value of the deeply discounted securities and because the majority of institutional investors cannot own below investment grade securities. (This selling pressure creates the deep discount.) Results generally not dependent on the direction of the markets as these are exceptional stocks where the company might cease to exist. Such funds offer a low to moderate volatility and hence lesser risk. </w:t>
      </w:r>
    </w:p>
    <w:p w:rsidR="0040385F" w:rsidRPr="004B3BDF" w:rsidRDefault="0040385F" w:rsidP="0052036B">
      <w:pPr>
        <w:pStyle w:val="body"/>
        <w:spacing w:before="120" w:after="120" w:line="240" w:lineRule="auto"/>
        <w:jc w:val="both"/>
        <w:rPr>
          <w:rFonts w:ascii="Arial" w:hAnsi="Arial" w:cs="Arial"/>
          <w:sz w:val="20"/>
          <w:szCs w:val="20"/>
        </w:rPr>
      </w:pPr>
      <w:r w:rsidRPr="004B3BDF">
        <w:rPr>
          <w:rFonts w:ascii="Arial" w:hAnsi="Arial" w:cs="Arial"/>
          <w:sz w:val="20"/>
          <w:szCs w:val="20"/>
        </w:rPr>
        <w:t>The managers might use techniques like Discounted Cash Flows, Option valuation etc to value the investment. Losses in such cases would arise if the value arrived at by the fund manager is incorrect or some unanticipated incidents occur which affect the valuation of the firm.</w:t>
      </w:r>
    </w:p>
    <w:p w:rsidR="0040385F" w:rsidRPr="00F66E63"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Macro</w:t>
      </w:r>
      <w:r w:rsidR="00F66E63" w:rsidRPr="00F66E63">
        <w:rPr>
          <w:rFonts w:ascii="Arial" w:hAnsi="Arial" w:cs="Arial"/>
          <w:i/>
          <w:sz w:val="20"/>
          <w:szCs w:val="20"/>
        </w:rPr>
        <w:t xml:space="preserve">: </w:t>
      </w:r>
      <w:r w:rsidRPr="00F66E63">
        <w:rPr>
          <w:rFonts w:ascii="Arial" w:hAnsi="Arial" w:cs="Arial"/>
          <w:sz w:val="20"/>
          <w:szCs w:val="20"/>
        </w:rPr>
        <w:t>Such funds aim to profit from changes in global economies, typically brought about by shifts in government policy that impact interest rates, in turn affecting currency, stock, and bond markets. This style requires managers to take a view on the possible happenings when a macro event takes place. Fund managers invest in all major markets -- equities, bonds, currencies and commodities -- though not always at the same time. These funds use leverage and derivatives to accentuate the impact of market moves. Utilizes hedging through leveraged directional investments (options are leveraged directional investments, you can make lot of money in one direction, but loose only the premium if things move the other direction) tend to make the largest impact on performance.</w:t>
      </w:r>
    </w:p>
    <w:p w:rsidR="0040385F" w:rsidRPr="004B3BDF"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 xml:space="preserve">Emerging </w:t>
      </w:r>
      <w:r w:rsidR="00F66E63" w:rsidRPr="00F66E63">
        <w:rPr>
          <w:rFonts w:ascii="Arial" w:hAnsi="Arial" w:cs="Arial"/>
          <w:i/>
          <w:sz w:val="20"/>
          <w:szCs w:val="20"/>
        </w:rPr>
        <w:t xml:space="preserve">Markets: </w:t>
      </w:r>
      <w:r w:rsidRPr="004B3BDF">
        <w:rPr>
          <w:rFonts w:ascii="Arial" w:hAnsi="Arial" w:cs="Arial"/>
          <w:sz w:val="20"/>
          <w:szCs w:val="20"/>
        </w:rPr>
        <w:t>The fund manager invests in equity or debt of emerging (less mature) markets that tend to have higher inflation and volatile growth. Short selling is not permitted in many emerging markets, and, therefore, effective hedging is often not available, however partial hedging is attained through U.S. Treasury futures and currency markets.</w:t>
      </w:r>
    </w:p>
    <w:p w:rsidR="0040385F" w:rsidRPr="00F66E63"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 xml:space="preserve">Market Neutral </w:t>
      </w:r>
      <w:r w:rsidR="00F66E63" w:rsidRPr="00F66E63">
        <w:rPr>
          <w:rFonts w:ascii="Arial" w:hAnsi="Arial" w:cs="Arial"/>
          <w:i/>
          <w:sz w:val="20"/>
          <w:szCs w:val="20"/>
        </w:rPr>
        <w:t>–</w:t>
      </w:r>
      <w:r w:rsidRPr="00F66E63">
        <w:rPr>
          <w:rFonts w:ascii="Arial" w:hAnsi="Arial" w:cs="Arial"/>
          <w:i/>
          <w:sz w:val="20"/>
          <w:szCs w:val="20"/>
        </w:rPr>
        <w:t xml:space="preserve"> Arbitrage</w:t>
      </w:r>
      <w:r w:rsidR="00F66E63" w:rsidRPr="00F66E63">
        <w:rPr>
          <w:rFonts w:ascii="Arial" w:hAnsi="Arial" w:cs="Arial"/>
          <w:i/>
          <w:sz w:val="20"/>
          <w:szCs w:val="20"/>
        </w:rPr>
        <w:t xml:space="preserve">: </w:t>
      </w:r>
      <w:r w:rsidRPr="00F66E63">
        <w:rPr>
          <w:rFonts w:ascii="Arial" w:hAnsi="Arial" w:cs="Arial"/>
          <w:sz w:val="20"/>
          <w:szCs w:val="20"/>
        </w:rPr>
        <w:t xml:space="preserve">These funds attempt to hedge out most market risk by taking offsetting positions, often in different securities of the same issuer. For example, can be long convertible bonds and short the underlying issuer’s equity. They may also use futures to hedge out interest rate risk. The focus is on obtaining returns with low or no correlation to both the equity and bond markets. </w:t>
      </w:r>
    </w:p>
    <w:p w:rsidR="0040385F" w:rsidRPr="004B3BDF"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 xml:space="preserve">Market Neutral - Securities </w:t>
      </w:r>
      <w:r w:rsidR="00F66E63" w:rsidRPr="00F66E63">
        <w:rPr>
          <w:rFonts w:ascii="Arial" w:hAnsi="Arial" w:cs="Arial"/>
          <w:i/>
          <w:sz w:val="20"/>
          <w:szCs w:val="20"/>
        </w:rPr>
        <w:t xml:space="preserve">Hedging: </w:t>
      </w:r>
      <w:r w:rsidRPr="004B3BDF">
        <w:rPr>
          <w:rFonts w:ascii="Arial" w:hAnsi="Arial" w:cs="Arial"/>
          <w:sz w:val="20"/>
          <w:szCs w:val="20"/>
        </w:rPr>
        <w:t>This strategy is similar to arbitrage, but the investment happens equally in long and short equity portfolios generally in the same sectors (but different securities) of the market. Market risk is greatly reduced, but effective stock analysis and stock picking is essential to obtaining meaningful results. Only if one can pick stocks that surely would go in the predicted direction would the fund make more than normal profit. Leverage may be used to enhance returns. Such funds usually are able to achieve low or no correlation to the market. Sometimes funds go long on some stocks and use market index futures to hedge out underlying systematic (market) risk</w:t>
      </w:r>
    </w:p>
    <w:p w:rsidR="0040385F" w:rsidRPr="00F66E63"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Opportunistic</w:t>
      </w:r>
      <w:r w:rsidR="00F66E63" w:rsidRPr="00F66E63">
        <w:rPr>
          <w:rFonts w:ascii="Arial" w:hAnsi="Arial" w:cs="Arial"/>
          <w:i/>
          <w:sz w:val="20"/>
          <w:szCs w:val="20"/>
        </w:rPr>
        <w:t xml:space="preserve">: </w:t>
      </w:r>
      <w:r w:rsidRPr="00F66E63">
        <w:rPr>
          <w:rFonts w:ascii="Arial" w:hAnsi="Arial" w:cs="Arial"/>
          <w:sz w:val="20"/>
          <w:szCs w:val="20"/>
        </w:rPr>
        <w:t xml:space="preserve">Investment theme changes from strategy to strategy as opportunities arise to profit from events such as IPOs, sudden price changes often caused by an interim earnings disappointment, hostile bids, and other event-driven opportunities. May utilize several of these </w:t>
      </w:r>
      <w:r w:rsidRPr="00F66E63">
        <w:rPr>
          <w:rFonts w:ascii="Arial" w:hAnsi="Arial" w:cs="Arial"/>
          <w:sz w:val="20"/>
          <w:szCs w:val="20"/>
        </w:rPr>
        <w:lastRenderedPageBreak/>
        <w:t>investing styles at a given time and is not restricted to any particular investment approach or asset class</w:t>
      </w:r>
    </w:p>
    <w:p w:rsidR="0040385F" w:rsidRPr="004B3BDF"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Special Situations</w:t>
      </w:r>
      <w:r w:rsidR="00F66E63" w:rsidRPr="00F66E63">
        <w:rPr>
          <w:rFonts w:ascii="Arial" w:hAnsi="Arial" w:cs="Arial"/>
          <w:i/>
          <w:sz w:val="20"/>
          <w:szCs w:val="20"/>
        </w:rPr>
        <w:t xml:space="preserve">: </w:t>
      </w:r>
      <w:r w:rsidRPr="004B3BDF">
        <w:rPr>
          <w:rFonts w:ascii="Arial" w:hAnsi="Arial" w:cs="Arial"/>
          <w:sz w:val="20"/>
          <w:szCs w:val="20"/>
        </w:rPr>
        <w:t>A special-situations hedge fund invests in event-driven situations such as mergers, hostile takeovers, reorganizations, or leveraged buyouts. It may involve simultaneous purchase of stock in companies being acquired, and the sale of stock in its acquirer, hoping to profit from the spread between the current market price and the ultimate purchase price of the company. It may also utilize derivatives to leverage returns and to hedge out interest rate and/or market risk. The results are generally not dependent on direction of market.</w:t>
      </w:r>
    </w:p>
    <w:p w:rsidR="0040385F" w:rsidRPr="004B3BDF" w:rsidRDefault="0040385F" w:rsidP="00F66E63">
      <w:pPr>
        <w:pStyle w:val="body"/>
        <w:spacing w:before="120" w:after="120" w:line="240" w:lineRule="atLeast"/>
        <w:jc w:val="both"/>
        <w:rPr>
          <w:rFonts w:ascii="Arial" w:hAnsi="Arial" w:cs="Arial"/>
          <w:sz w:val="20"/>
          <w:szCs w:val="20"/>
        </w:rPr>
      </w:pPr>
      <w:r w:rsidRPr="00F66E63">
        <w:rPr>
          <w:rFonts w:ascii="Arial" w:hAnsi="Arial" w:cs="Arial"/>
          <w:i/>
          <w:sz w:val="20"/>
          <w:szCs w:val="20"/>
        </w:rPr>
        <w:t>Funds of Hedge Funds</w:t>
      </w:r>
      <w:r w:rsidR="00F66E63" w:rsidRPr="00F66E63">
        <w:rPr>
          <w:rFonts w:ascii="Arial" w:hAnsi="Arial" w:cs="Arial"/>
          <w:i/>
          <w:sz w:val="20"/>
          <w:szCs w:val="20"/>
        </w:rPr>
        <w:t xml:space="preserve">: </w:t>
      </w:r>
      <w:r w:rsidRPr="004B3BDF">
        <w:rPr>
          <w:rFonts w:ascii="Arial" w:hAnsi="Arial" w:cs="Arial"/>
          <w:sz w:val="20"/>
          <w:szCs w:val="20"/>
        </w:rPr>
        <w:t>We know that hedge funds are known to give more stable returns than the underlying securities. So for those investors who need a very stable return stream funds managers have invented a Fund of hedge funds. Such funds comprise of other hedge funds that follow different styles. This blending of different strategies and asset classes aims to provide a more stable long-term investment return than any of the individual hedge funds.  The mix of underlying strategies and funds can control returns, risk, and volatility. Volatility depends on the mix and ratio of strategies employed.</w:t>
      </w:r>
    </w:p>
    <w:p w:rsidR="00E55F28" w:rsidRDefault="00762986" w:rsidP="0040385F">
      <w:pPr>
        <w:pStyle w:val="Heading2"/>
        <w:keepNext w:val="0"/>
        <w:spacing w:before="120" w:after="120" w:line="240" w:lineRule="atLeast"/>
        <w:ind w:left="0" w:firstLine="0"/>
        <w:jc w:val="both"/>
      </w:pPr>
      <w:bookmarkStart w:id="647" w:name="_Toc199669738"/>
      <w:bookmarkStart w:id="648" w:name="_Toc226530563"/>
      <w:r>
        <w:t xml:space="preserve">Key Business </w:t>
      </w:r>
      <w:r w:rsidR="0040385F" w:rsidRPr="004B3BDF">
        <w:t>Process</w:t>
      </w:r>
      <w:bookmarkEnd w:id="647"/>
      <w:bookmarkEnd w:id="648"/>
      <w:r>
        <w:t xml:space="preserve"> </w:t>
      </w:r>
    </w:p>
    <w:p w:rsidR="00814BEB" w:rsidRDefault="00762986">
      <w:pPr>
        <w:pStyle w:val="Heading3"/>
        <w:keepNext w:val="0"/>
        <w:tabs>
          <w:tab w:val="clear" w:pos="6444"/>
          <w:tab w:val="num" w:pos="540"/>
        </w:tabs>
        <w:spacing w:before="120" w:after="120" w:line="240" w:lineRule="atLeast"/>
        <w:ind w:left="0" w:firstLine="0"/>
        <w:jc w:val="both"/>
      </w:pPr>
      <w:r>
        <w:t>Valuation</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Unlike mutual fund, hedge fund has limited number of investors. Also, hedge fund investment is not securitized, that is, it is not divided into units. As a result, measures like NAV are not relevant for a hedge fund. What matters for a hedge fund is the total market value of the investments.</w:t>
      </w:r>
      <w:r w:rsidR="00301435">
        <w:rPr>
          <w:rFonts w:ascii="Arial" w:hAnsi="Arial" w:cs="Arial"/>
          <w:sz w:val="20"/>
          <w:szCs w:val="20"/>
        </w:rPr>
        <w:t xml:space="preserve"> </w:t>
      </w:r>
      <w:r w:rsidRPr="004B3BDF">
        <w:rPr>
          <w:rFonts w:ascii="Arial" w:hAnsi="Arial" w:cs="Arial"/>
          <w:sz w:val="20"/>
          <w:szCs w:val="20"/>
        </w:rPr>
        <w:t xml:space="preserve">This total market value, however, has to be adjusted for accruals and fees. Some of these adjustments include - </w:t>
      </w:r>
    </w:p>
    <w:p w:rsidR="0040385F" w:rsidRPr="004B3BDF" w:rsidRDefault="0040385F" w:rsidP="009874A6">
      <w:pPr>
        <w:pStyle w:val="body"/>
        <w:numPr>
          <w:ilvl w:val="0"/>
          <w:numId w:val="8"/>
        </w:numPr>
        <w:spacing w:before="120" w:after="120" w:line="240" w:lineRule="atLeast"/>
        <w:ind w:left="0" w:firstLine="0"/>
        <w:jc w:val="both"/>
        <w:rPr>
          <w:rFonts w:ascii="Arial" w:hAnsi="Arial" w:cs="Arial"/>
          <w:b/>
          <w:sz w:val="20"/>
          <w:szCs w:val="20"/>
        </w:rPr>
      </w:pPr>
      <w:r w:rsidRPr="004B3BDF">
        <w:rPr>
          <w:rFonts w:ascii="Arial" w:hAnsi="Arial" w:cs="Arial"/>
          <w:b/>
          <w:sz w:val="20"/>
          <w:szCs w:val="20"/>
        </w:rPr>
        <w:t xml:space="preserve">Adjustment for pending buys and sells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There could be some transactions which are pending on any given date. A pending ‘buy’ will create an ‘accounts payable’</w:t>
      </w:r>
    </w:p>
    <w:p w:rsidR="0040385F" w:rsidRPr="004B3BDF" w:rsidRDefault="0040385F" w:rsidP="009874A6">
      <w:pPr>
        <w:pStyle w:val="body"/>
        <w:numPr>
          <w:ilvl w:val="0"/>
          <w:numId w:val="8"/>
        </w:numPr>
        <w:spacing w:before="120" w:after="120" w:line="240" w:lineRule="atLeast"/>
        <w:ind w:left="0" w:firstLine="0"/>
        <w:jc w:val="both"/>
        <w:rPr>
          <w:rFonts w:ascii="Arial" w:hAnsi="Arial" w:cs="Arial"/>
          <w:b/>
          <w:sz w:val="20"/>
          <w:szCs w:val="20"/>
        </w:rPr>
      </w:pPr>
      <w:r w:rsidRPr="004B3BDF">
        <w:rPr>
          <w:rFonts w:ascii="Arial" w:hAnsi="Arial" w:cs="Arial"/>
          <w:b/>
          <w:sz w:val="20"/>
          <w:szCs w:val="20"/>
        </w:rPr>
        <w:t>Compliance and other issues</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Hedge funds are unregulated entities. As a result, they have unparalleled freedom in investing and they do not face stringent compliance requirements.</w:t>
      </w:r>
    </w:p>
    <w:p w:rsidR="0040385F" w:rsidRPr="004B3BDF" w:rsidRDefault="0040385F" w:rsidP="0040385F">
      <w:pPr>
        <w:pStyle w:val="body"/>
        <w:spacing w:before="120" w:after="120" w:line="240" w:lineRule="atLeast"/>
        <w:jc w:val="both"/>
        <w:rPr>
          <w:rFonts w:ascii="Arial" w:hAnsi="Arial" w:cs="Arial"/>
          <w:sz w:val="20"/>
          <w:szCs w:val="20"/>
        </w:rPr>
      </w:pPr>
      <w:r w:rsidRPr="004B3BDF">
        <w:rPr>
          <w:rFonts w:ascii="Arial" w:hAnsi="Arial" w:cs="Arial"/>
          <w:sz w:val="20"/>
          <w:szCs w:val="20"/>
        </w:rPr>
        <w:t xml:space="preserve"> </w:t>
      </w:r>
    </w:p>
    <w:p w:rsidR="0040385F" w:rsidRPr="004B3BDF" w:rsidRDefault="0040385F" w:rsidP="0040385F">
      <w:pPr>
        <w:pStyle w:val="Heading2"/>
        <w:keepNext w:val="0"/>
        <w:spacing w:before="120" w:after="120" w:line="240" w:lineRule="atLeast"/>
        <w:ind w:left="0" w:firstLine="0"/>
        <w:jc w:val="both"/>
      </w:pPr>
      <w:bookmarkStart w:id="649" w:name="_Toc199669739"/>
      <w:bookmarkStart w:id="650" w:name="_Toc226530564"/>
      <w:r w:rsidRPr="004B3BDF">
        <w:t>Regulatory Framework, Accounting &amp; Taxation Issues</w:t>
      </w:r>
      <w:bookmarkEnd w:id="649"/>
      <w:bookmarkEnd w:id="650"/>
    </w:p>
    <w:p w:rsidR="0040385F" w:rsidRPr="004B3BDF" w:rsidRDefault="0040385F" w:rsidP="0040385F">
      <w:pPr>
        <w:pStyle w:val="Heading3"/>
        <w:keepNext w:val="0"/>
        <w:tabs>
          <w:tab w:val="clear" w:pos="6444"/>
          <w:tab w:val="num" w:pos="540"/>
        </w:tabs>
        <w:spacing w:before="120" w:after="120" w:line="240" w:lineRule="atLeast"/>
        <w:ind w:left="0" w:firstLine="0"/>
        <w:jc w:val="both"/>
      </w:pPr>
      <w:r w:rsidRPr="004B3BDF">
        <w:t>Hedge Fund Accounting</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This section gives an overview of the key issues in hedge fund accounting.</w:t>
      </w:r>
    </w:p>
    <w:p w:rsidR="0040385F" w:rsidRPr="004B3BDF" w:rsidRDefault="0040385F" w:rsidP="0040385F">
      <w:pPr>
        <w:pStyle w:val="body"/>
        <w:spacing w:before="120" w:after="120" w:line="240" w:lineRule="atLeast"/>
        <w:jc w:val="both"/>
        <w:rPr>
          <w:rFonts w:ascii="Arial" w:hAnsi="Arial" w:cs="Arial"/>
          <w:b/>
          <w:sz w:val="20"/>
          <w:szCs w:val="20"/>
        </w:rPr>
      </w:pPr>
      <w:r w:rsidRPr="004B3BDF">
        <w:rPr>
          <w:rFonts w:ascii="Arial" w:hAnsi="Arial" w:cs="Arial"/>
          <w:b/>
          <w:sz w:val="20"/>
          <w:szCs w:val="20"/>
        </w:rPr>
        <w:t xml:space="preserve">The Break Periods (The Partnership Allocations)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The heart of hedge fund accounting is the partnership allocations. The allocations are then broken into sections called break periods. Break periods will always occur when a partner withdraws fully or partially, contributes more capital or a new partner is admitted. The break </w:t>
      </w:r>
      <w:r w:rsidRPr="004B3BDF">
        <w:rPr>
          <w:rFonts w:ascii="Arial" w:hAnsi="Arial" w:cs="Arial"/>
          <w:sz w:val="20"/>
          <w:szCs w:val="20"/>
        </w:rPr>
        <w:lastRenderedPageBreak/>
        <w:t>period will usually end on the last day of a given month. The partnership then needs to be valued on that date and the new capital activity and percentages will become effective on the following day (the first of the month). Basically, anything that affects the partnership percentages is going to result in a break period. Let's use an example to show a typical break period and the allocation of the performance for the break period: Phil is the general partner of Hedge Fund Homepage Partners, L.P., He has decided to start this partnership. Paul and Gene have also joined in as limited partners. On Jan 1st 97 they start the partnership, Phil contributes $100,000, Paul contributes $500,000, and Gene contributes $200,000. The partnership begins trading and has net income from Jan 1st 97 - Mar 31st 97 of $50,000, on Apr 1st 97 they add a new partner, Linda, she contributes $250,000. This has now resulted in a Mar 31st 97 break, with new partnership percentages taking effect on Apr 1st 97. On the date of the break period, the revenue and expenses are all accounted for, the securities are marked to market and a valuation of the partnership is determined.</w:t>
      </w:r>
    </w:p>
    <w:tbl>
      <w:tblPr>
        <w:tblpPr w:leftFromText="180" w:rightFromText="180" w:vertAnchor="text" w:tblpY="13"/>
        <w:tblW w:w="8280" w:type="dxa"/>
        <w:tblCellSpacing w:w="15" w:type="dxa"/>
        <w:tblCellMar>
          <w:top w:w="30" w:type="dxa"/>
          <w:left w:w="30" w:type="dxa"/>
          <w:bottom w:w="30" w:type="dxa"/>
          <w:right w:w="30" w:type="dxa"/>
        </w:tblCellMar>
        <w:tblLook w:val="0000"/>
      </w:tblPr>
      <w:tblGrid>
        <w:gridCol w:w="1107"/>
        <w:gridCol w:w="928"/>
        <w:gridCol w:w="732"/>
        <w:gridCol w:w="1343"/>
        <w:gridCol w:w="985"/>
        <w:gridCol w:w="1043"/>
        <w:gridCol w:w="1017"/>
        <w:gridCol w:w="1125"/>
      </w:tblGrid>
      <w:tr w:rsidR="00301435" w:rsidRPr="004B3BDF" w:rsidTr="00301435">
        <w:trPr>
          <w:trHeight w:val="300"/>
          <w:tblCellSpacing w:w="15" w:type="dxa"/>
        </w:trPr>
        <w:tc>
          <w:tcPr>
            <w:tcW w:w="8220" w:type="dxa"/>
            <w:gridSpan w:val="8"/>
            <w:tcBorders>
              <w:top w:val="nil"/>
              <w:left w:val="nil"/>
              <w:bottom w:val="nil"/>
              <w:right w:val="nil"/>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Allocations</w:t>
            </w:r>
          </w:p>
        </w:tc>
      </w:tr>
      <w:tr w:rsidR="00301435" w:rsidRPr="004B3BDF" w:rsidTr="0030143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Partner name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Jan 1</w:t>
            </w:r>
            <w:r w:rsidRPr="004B3BDF">
              <w:rPr>
                <w:rFonts w:ascii="Arial" w:hAnsi="Arial" w:cs="Arial"/>
                <w:b/>
                <w:color w:val="auto"/>
                <w:sz w:val="20"/>
                <w:szCs w:val="20"/>
                <w:vertAlign w:val="superscript"/>
              </w:rPr>
              <w:t>st</w:t>
            </w:r>
            <w:r w:rsidRPr="004B3BDF">
              <w:rPr>
                <w:rFonts w:ascii="Arial" w:hAnsi="Arial" w:cs="Arial"/>
                <w:b/>
                <w:color w:val="auto"/>
                <w:sz w:val="20"/>
                <w:szCs w:val="20"/>
              </w:rPr>
              <w:t xml:space="preserve"> 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Mar 31</w:t>
            </w:r>
            <w:r w:rsidRPr="004B3BDF">
              <w:rPr>
                <w:rFonts w:ascii="Arial" w:hAnsi="Arial" w:cs="Arial"/>
                <w:b/>
                <w:color w:val="auto"/>
                <w:sz w:val="20"/>
                <w:szCs w:val="20"/>
                <w:vertAlign w:val="superscript"/>
              </w:rPr>
              <w:t>st</w:t>
            </w:r>
            <w:r w:rsidRPr="004B3BDF">
              <w:rPr>
                <w:rFonts w:ascii="Arial" w:hAnsi="Arial" w:cs="Arial"/>
                <w:b/>
                <w:color w:val="auto"/>
                <w:sz w:val="20"/>
                <w:szCs w:val="20"/>
              </w:rPr>
              <w:t xml:space="preserve"> 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Mar 31</w:t>
            </w:r>
            <w:r w:rsidRPr="004B3BDF">
              <w:rPr>
                <w:rFonts w:ascii="Arial" w:hAnsi="Arial" w:cs="Arial"/>
                <w:b/>
                <w:color w:val="auto"/>
                <w:sz w:val="20"/>
                <w:szCs w:val="20"/>
                <w:vertAlign w:val="superscript"/>
              </w:rPr>
              <w:t>st</w:t>
            </w:r>
            <w:r w:rsidRPr="004B3BDF">
              <w:rPr>
                <w:rFonts w:ascii="Arial" w:hAnsi="Arial" w:cs="Arial"/>
                <w:b/>
                <w:color w:val="auto"/>
                <w:sz w:val="20"/>
                <w:szCs w:val="20"/>
              </w:rPr>
              <w:t xml:space="preserve"> 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Apr 1</w:t>
            </w:r>
            <w:r w:rsidRPr="004B3BDF">
              <w:rPr>
                <w:rFonts w:ascii="Arial" w:hAnsi="Arial" w:cs="Arial"/>
                <w:b/>
                <w:color w:val="auto"/>
                <w:sz w:val="20"/>
                <w:szCs w:val="20"/>
                <w:vertAlign w:val="superscript"/>
              </w:rPr>
              <w:t>st</w:t>
            </w:r>
            <w:r w:rsidRPr="004B3BDF">
              <w:rPr>
                <w:rFonts w:ascii="Arial" w:hAnsi="Arial" w:cs="Arial"/>
                <w:b/>
                <w:color w:val="auto"/>
                <w:sz w:val="20"/>
                <w:szCs w:val="20"/>
              </w:rPr>
              <w:t xml:space="preserve"> 97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Apr 1</w:t>
            </w:r>
            <w:r w:rsidRPr="004B3BDF">
              <w:rPr>
                <w:rFonts w:ascii="Arial" w:hAnsi="Arial" w:cs="Arial"/>
                <w:b/>
                <w:color w:val="auto"/>
                <w:sz w:val="20"/>
                <w:szCs w:val="20"/>
                <w:vertAlign w:val="superscript"/>
              </w:rPr>
              <w:t>st</w:t>
            </w:r>
            <w:r w:rsidRPr="004B3BDF">
              <w:rPr>
                <w:rFonts w:ascii="Arial" w:hAnsi="Arial" w:cs="Arial"/>
                <w:b/>
                <w:color w:val="auto"/>
                <w:sz w:val="20"/>
                <w:szCs w:val="20"/>
              </w:rPr>
              <w:t xml:space="preserve"> 97</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Apr 1</w:t>
            </w:r>
            <w:r w:rsidRPr="004B3BDF">
              <w:rPr>
                <w:rFonts w:ascii="Arial" w:hAnsi="Arial" w:cs="Arial"/>
                <w:b/>
                <w:color w:val="auto"/>
                <w:sz w:val="20"/>
                <w:szCs w:val="20"/>
                <w:vertAlign w:val="superscript"/>
              </w:rPr>
              <w:t>st</w:t>
            </w:r>
            <w:r w:rsidRPr="004B3BDF">
              <w:rPr>
                <w:rFonts w:ascii="Arial" w:hAnsi="Arial" w:cs="Arial"/>
                <w:b/>
                <w:color w:val="auto"/>
                <w:sz w:val="20"/>
                <w:szCs w:val="20"/>
              </w:rPr>
              <w:t xml:space="preserve"> 97</w:t>
            </w:r>
          </w:p>
        </w:tc>
      </w:tr>
      <w:tr w:rsidR="00301435" w:rsidRPr="004B3BDF" w:rsidTr="0030143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Capital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Performance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Capital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Additions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Capital</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b/>
                <w:color w:val="auto"/>
                <w:sz w:val="20"/>
                <w:szCs w:val="20"/>
              </w:rPr>
            </w:pPr>
            <w:r w:rsidRPr="004B3BDF">
              <w:rPr>
                <w:rFonts w:ascii="Arial" w:hAnsi="Arial" w:cs="Arial"/>
                <w:b/>
                <w:color w:val="auto"/>
                <w:sz w:val="20"/>
                <w:szCs w:val="20"/>
              </w:rPr>
              <w:t xml:space="preserve">% </w:t>
            </w:r>
          </w:p>
        </w:tc>
      </w:tr>
      <w:tr w:rsidR="00301435" w:rsidRPr="004B3BDF" w:rsidTr="0030143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Phil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100,000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 xml:space="preserve">6,250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106,250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106,250</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9.66</w:t>
            </w:r>
          </w:p>
        </w:tc>
      </w:tr>
      <w:tr w:rsidR="00301435" w:rsidRPr="004B3BDF" w:rsidTr="0030143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Paul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500,000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62.50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31,250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531,250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531,250</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48.30</w:t>
            </w:r>
          </w:p>
        </w:tc>
      </w:tr>
      <w:tr w:rsidR="00301435" w:rsidRPr="004B3BDF" w:rsidTr="0030143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Gene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200,000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25.00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12,500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212,500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212,500</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19.32</w:t>
            </w:r>
          </w:p>
        </w:tc>
      </w:tr>
      <w:tr w:rsidR="00301435" w:rsidRPr="004B3BDF" w:rsidTr="0030143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Linda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250,000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250,000</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22.72</w:t>
            </w:r>
          </w:p>
        </w:tc>
      </w:tr>
      <w:tr w:rsidR="00301435" w:rsidRPr="004B3BDF" w:rsidTr="00301435">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Total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800,000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50,000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850,000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250,000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1,100,000</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center"/>
          </w:tcPr>
          <w:p w:rsidR="00301435" w:rsidRPr="004B3BDF" w:rsidRDefault="00301435" w:rsidP="00301435">
            <w:pPr>
              <w:pStyle w:val="NormalWeb"/>
              <w:spacing w:before="120" w:beforeAutospacing="0" w:after="120" w:afterAutospacing="0" w:line="240" w:lineRule="atLeast"/>
              <w:jc w:val="both"/>
              <w:rPr>
                <w:rFonts w:ascii="Arial" w:hAnsi="Arial" w:cs="Arial"/>
                <w:color w:val="auto"/>
                <w:sz w:val="20"/>
                <w:szCs w:val="20"/>
              </w:rPr>
            </w:pPr>
            <w:r w:rsidRPr="004B3BDF">
              <w:rPr>
                <w:rFonts w:ascii="Arial" w:hAnsi="Arial" w:cs="Arial"/>
                <w:color w:val="auto"/>
                <w:sz w:val="20"/>
                <w:szCs w:val="20"/>
              </w:rPr>
              <w:t>100.00</w:t>
            </w:r>
          </w:p>
        </w:tc>
      </w:tr>
    </w:tbl>
    <w:p w:rsidR="0040385F" w:rsidRPr="004B3BDF" w:rsidRDefault="0040385F" w:rsidP="0040385F">
      <w:pPr>
        <w:pStyle w:val="body"/>
        <w:spacing w:before="120" w:after="120" w:line="240" w:lineRule="atLeast"/>
        <w:jc w:val="both"/>
        <w:rPr>
          <w:rFonts w:ascii="Arial" w:hAnsi="Arial" w:cs="Arial"/>
          <w:sz w:val="20"/>
          <w:szCs w:val="20"/>
        </w:rPr>
      </w:pPr>
    </w:p>
    <w:p w:rsidR="0040385F" w:rsidRPr="004B3BDF" w:rsidRDefault="0040385F" w:rsidP="0040385F">
      <w:pPr>
        <w:pStyle w:val="Caption"/>
        <w:jc w:val="center"/>
        <w:rPr>
          <w:rFonts w:ascii="Arial" w:hAnsi="Arial" w:cs="Arial"/>
        </w:rPr>
      </w:pPr>
      <w:bookmarkStart w:id="651" w:name="_Toc199669775"/>
      <w:bookmarkStart w:id="652" w:name="_Toc207006978"/>
      <w:r w:rsidRPr="004B3BDF">
        <w:rPr>
          <w:rFonts w:ascii="Arial" w:hAnsi="Arial" w:cs="Arial"/>
        </w:rPr>
        <w:t xml:space="preserve">Table </w:t>
      </w:r>
      <w:r w:rsidR="00FC0435" w:rsidRPr="004B3BDF">
        <w:rPr>
          <w:rFonts w:ascii="Arial" w:hAnsi="Arial" w:cs="Arial"/>
        </w:rPr>
        <w:fldChar w:fldCharType="begin"/>
      </w:r>
      <w:r w:rsidRPr="004B3BDF">
        <w:rPr>
          <w:rFonts w:ascii="Arial" w:hAnsi="Arial" w:cs="Arial"/>
        </w:rPr>
        <w:instrText xml:space="preserve"> STYLEREF 1 \s </w:instrText>
      </w:r>
      <w:r w:rsidR="00FC0435" w:rsidRPr="004B3BDF">
        <w:rPr>
          <w:rFonts w:ascii="Arial" w:hAnsi="Arial" w:cs="Arial"/>
        </w:rPr>
        <w:fldChar w:fldCharType="separate"/>
      </w:r>
      <w:r w:rsidR="0060131C">
        <w:rPr>
          <w:rFonts w:ascii="Arial" w:hAnsi="Arial" w:cs="Arial"/>
          <w:noProof/>
        </w:rPr>
        <w:t>11</w:t>
      </w:r>
      <w:r w:rsidR="00FC0435" w:rsidRPr="004B3BDF">
        <w:rPr>
          <w:rFonts w:ascii="Arial" w:hAnsi="Arial" w:cs="Arial"/>
        </w:rPr>
        <w:fldChar w:fldCharType="end"/>
      </w:r>
      <w:r w:rsidRPr="004B3BDF">
        <w:rPr>
          <w:rFonts w:ascii="Arial" w:hAnsi="Arial" w:cs="Arial"/>
        </w:rPr>
        <w:noBreakHyphen/>
      </w:r>
      <w:r w:rsidR="00FC0435" w:rsidRPr="004B3BDF">
        <w:rPr>
          <w:rFonts w:ascii="Arial" w:hAnsi="Arial" w:cs="Arial"/>
        </w:rPr>
        <w:fldChar w:fldCharType="begin"/>
      </w:r>
      <w:r w:rsidRPr="004B3BDF">
        <w:rPr>
          <w:rFonts w:ascii="Arial" w:hAnsi="Arial" w:cs="Arial"/>
        </w:rPr>
        <w:instrText xml:space="preserve"> SEQ Table \* ARABIC \s 1 </w:instrText>
      </w:r>
      <w:r w:rsidR="00FC0435" w:rsidRPr="004B3BDF">
        <w:rPr>
          <w:rFonts w:ascii="Arial" w:hAnsi="Arial" w:cs="Arial"/>
        </w:rPr>
        <w:fldChar w:fldCharType="separate"/>
      </w:r>
      <w:r w:rsidR="0060131C">
        <w:rPr>
          <w:rFonts w:ascii="Arial" w:hAnsi="Arial" w:cs="Arial"/>
          <w:noProof/>
        </w:rPr>
        <w:t>1</w:t>
      </w:r>
      <w:r w:rsidR="00FC0435" w:rsidRPr="004B3BDF">
        <w:rPr>
          <w:rFonts w:ascii="Arial" w:hAnsi="Arial" w:cs="Arial"/>
        </w:rPr>
        <w:fldChar w:fldCharType="end"/>
      </w:r>
      <w:r w:rsidRPr="004B3BDF">
        <w:rPr>
          <w:rFonts w:ascii="Arial" w:hAnsi="Arial" w:cs="Arial"/>
        </w:rPr>
        <w:t>: Risk Profile Definition</w:t>
      </w:r>
      <w:bookmarkEnd w:id="651"/>
      <w:bookmarkEnd w:id="652"/>
    </w:p>
    <w:p w:rsidR="0040385F" w:rsidRPr="004B3BDF" w:rsidRDefault="0040385F" w:rsidP="0040385F">
      <w:pPr>
        <w:pStyle w:val="Caption"/>
        <w:spacing w:before="120" w:after="120" w:line="240" w:lineRule="atLeast"/>
        <w:jc w:val="both"/>
        <w:rPr>
          <w:rFonts w:ascii="Arial" w:hAnsi="Arial" w:cs="Arial"/>
        </w:rPr>
      </w:pP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The above schedule is a simple example of what is called book allocations. When a limited partner invests in a hedge fund, it is important to make sure that the investment partnership is audited by a reputable accounting firm. Book allocations must adhere to the partnership agreement. </w:t>
      </w:r>
    </w:p>
    <w:p w:rsidR="0040385F" w:rsidRPr="004B3BDF" w:rsidRDefault="0040385F" w:rsidP="0040385F">
      <w:pPr>
        <w:pStyle w:val="body"/>
        <w:spacing w:before="120" w:after="120" w:line="240" w:lineRule="atLeast"/>
        <w:jc w:val="both"/>
        <w:rPr>
          <w:rFonts w:ascii="Arial" w:hAnsi="Arial" w:cs="Arial"/>
          <w:b/>
          <w:sz w:val="20"/>
          <w:szCs w:val="20"/>
        </w:rPr>
      </w:pPr>
      <w:r w:rsidRPr="004B3BDF">
        <w:rPr>
          <w:rFonts w:ascii="Arial" w:hAnsi="Arial" w:cs="Arial"/>
          <w:b/>
          <w:sz w:val="20"/>
          <w:szCs w:val="20"/>
        </w:rPr>
        <w:t xml:space="preserve">Interest Due To Withdrawing Partner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Depending on how the partnership agreement is structured, when a partner fully withdraws from a hedge fund, the hedge fund manager will usually pay the limited partner that is leaving 90-95% of the amount due to him/her within 10-15 days of the break period. The remaining 5-10% will be paid pending a verification of capital amounts on the date the partner decides to leave. This 5-10% is usually paid a certain amount of interest until paid to the withdrawing limited partner </w:t>
      </w:r>
    </w:p>
    <w:p w:rsidR="0040385F" w:rsidRPr="004B3BDF" w:rsidRDefault="0040385F" w:rsidP="0040385F">
      <w:pPr>
        <w:pStyle w:val="body"/>
        <w:spacing w:before="120" w:after="120" w:line="240" w:lineRule="atLeast"/>
        <w:jc w:val="both"/>
        <w:rPr>
          <w:rFonts w:ascii="Arial" w:hAnsi="Arial" w:cs="Arial"/>
          <w:b/>
          <w:sz w:val="20"/>
          <w:szCs w:val="20"/>
        </w:rPr>
      </w:pPr>
      <w:r w:rsidRPr="004B3BDF">
        <w:rPr>
          <w:rFonts w:ascii="Arial" w:hAnsi="Arial" w:cs="Arial"/>
          <w:b/>
          <w:sz w:val="20"/>
          <w:szCs w:val="20"/>
        </w:rPr>
        <w:lastRenderedPageBreak/>
        <w:t>Hot Issues</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Hedge funds frequently trade in what are called "Hot Issues". Hot issues are basically IPOs. When a partnership trades in Hot Issues, only certain investors are allowed to participate, there are certain rules that will restrict certain partners. Hot Issue activity such as profit and loss, interest income and expense, dividends, etc. must be separated from regular trading activity. A separate brokerage account must also be maintained for Hot Issues. If you trade hot issues and you're a hedge fund, your prime broker will ask you for an "opinion letter", at least they're required to. This letter is usually prepared by your attorney.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When preparing book or tax allocations, one must create a separate allocation of performance for those who can participate in Hot Issues. </w:t>
      </w:r>
    </w:p>
    <w:p w:rsidR="0040385F" w:rsidRPr="004B3BDF" w:rsidRDefault="0040385F" w:rsidP="0040385F">
      <w:pPr>
        <w:pStyle w:val="Heading3"/>
        <w:keepNext w:val="0"/>
        <w:tabs>
          <w:tab w:val="clear" w:pos="6444"/>
          <w:tab w:val="num" w:pos="540"/>
        </w:tabs>
        <w:spacing w:before="120" w:after="120" w:line="240" w:lineRule="atLeast"/>
        <w:ind w:left="0" w:firstLine="0"/>
        <w:jc w:val="both"/>
      </w:pPr>
      <w:r w:rsidRPr="004B3BDF">
        <w:t>Tax Allocations</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This is by and large the most complicated area of hedge fund accounting. There are several federal and state tax issues that a hedge fund must consider when starting a hedge fund, management company or/and affiliate management company of a hedge fund. Tax allocations are created to determine the amounts to be reported on the K-1s.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For tax purposes tax allocations are created for the partnership. The tax allocations are derived from the book allocations.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For tax allocations the performance need to be broken out by character of income (i.e.; Interest, dividends, realized long term, realized short </w:t>
      </w:r>
      <w:proofErr w:type="spellStart"/>
      <w:r w:rsidRPr="004B3BDF">
        <w:rPr>
          <w:rFonts w:ascii="Arial" w:hAnsi="Arial" w:cs="Arial"/>
          <w:sz w:val="20"/>
          <w:szCs w:val="20"/>
        </w:rPr>
        <w:t>tem</w:t>
      </w:r>
      <w:proofErr w:type="spellEnd"/>
      <w:r w:rsidRPr="004B3BDF">
        <w:rPr>
          <w:rFonts w:ascii="Arial" w:hAnsi="Arial" w:cs="Arial"/>
          <w:sz w:val="20"/>
          <w:szCs w:val="20"/>
        </w:rPr>
        <w:t xml:space="preserve">, etc.). Unrealized Income is not taxed. </w:t>
      </w:r>
    </w:p>
    <w:p w:rsidR="0040385F" w:rsidRPr="004B3BDF" w:rsidRDefault="0040385F" w:rsidP="0040385F">
      <w:pPr>
        <w:pStyle w:val="Heading3"/>
        <w:keepNext w:val="0"/>
        <w:tabs>
          <w:tab w:val="clear" w:pos="6444"/>
          <w:tab w:val="num" w:pos="540"/>
        </w:tabs>
        <w:spacing w:before="120" w:after="120" w:line="240" w:lineRule="atLeast"/>
        <w:ind w:left="0" w:firstLine="0"/>
        <w:jc w:val="both"/>
      </w:pPr>
      <w:r w:rsidRPr="004B3BDF">
        <w:t xml:space="preserve">Fees &amp; Charges </w:t>
      </w:r>
    </w:p>
    <w:p w:rsidR="0040385F" w:rsidRPr="004B3BDF" w:rsidRDefault="0040385F" w:rsidP="0040385F">
      <w:pPr>
        <w:pStyle w:val="body"/>
        <w:spacing w:before="120" w:after="120" w:line="240" w:lineRule="atLeast"/>
        <w:jc w:val="both"/>
        <w:rPr>
          <w:rFonts w:ascii="Arial" w:hAnsi="Arial" w:cs="Arial"/>
          <w:b/>
          <w:sz w:val="20"/>
          <w:szCs w:val="20"/>
        </w:rPr>
      </w:pPr>
      <w:r w:rsidRPr="004B3BDF">
        <w:rPr>
          <w:rFonts w:ascii="Arial" w:hAnsi="Arial" w:cs="Arial"/>
          <w:b/>
          <w:sz w:val="20"/>
          <w:szCs w:val="20"/>
        </w:rPr>
        <w:t xml:space="preserve">Management Fees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The percentage and method of calculation depends on the partnership agreement. The typical fee structure is as follows: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1.00%/year charged quarterly. The partnerships net asset value is determined on the specified date and is charged to the partnership.  There are instances where some funds do not charge all the limited partners this fee. Some funds may have relatives or others who they do not wish to charge. If a fund does not charge this fee to everyone, a break period will result on the dates that the management fee is charged. Over a length of time, certain inequities may result to those who are charged due to the dilution of their partnership percentages. </w:t>
      </w:r>
    </w:p>
    <w:p w:rsidR="0040385F" w:rsidRPr="004B3BDF" w:rsidRDefault="0040385F" w:rsidP="0040385F">
      <w:pPr>
        <w:pStyle w:val="body"/>
        <w:spacing w:before="120" w:after="120" w:line="240" w:lineRule="atLeast"/>
        <w:jc w:val="both"/>
        <w:rPr>
          <w:rFonts w:ascii="Arial" w:hAnsi="Arial" w:cs="Arial"/>
          <w:b/>
          <w:sz w:val="20"/>
          <w:szCs w:val="20"/>
        </w:rPr>
      </w:pPr>
      <w:r w:rsidRPr="004B3BDF">
        <w:rPr>
          <w:rFonts w:ascii="Arial" w:hAnsi="Arial" w:cs="Arial"/>
          <w:b/>
          <w:sz w:val="20"/>
          <w:szCs w:val="20"/>
        </w:rPr>
        <w:t xml:space="preserve">Incentive Fees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This fee is usually 20% of the net profits of the partnership. Calculation of the fee is determined by the partnership agreement. The fee is a reallocation on the book and tax allocations on the income of the limited partners to the general partner. Incentive fees may have hurdles, benchmarks, complicated scenarios, etc.</w:t>
      </w:r>
    </w:p>
    <w:p w:rsidR="0040385F" w:rsidRPr="004B3BDF" w:rsidRDefault="0040385F" w:rsidP="0040385F">
      <w:pPr>
        <w:pStyle w:val="body"/>
        <w:spacing w:before="120" w:after="120" w:line="240" w:lineRule="atLeast"/>
        <w:jc w:val="both"/>
        <w:rPr>
          <w:rFonts w:ascii="Arial" w:hAnsi="Arial" w:cs="Arial"/>
          <w:b/>
          <w:sz w:val="20"/>
          <w:szCs w:val="20"/>
        </w:rPr>
      </w:pPr>
      <w:r w:rsidRPr="004B3BDF">
        <w:rPr>
          <w:rFonts w:ascii="Arial" w:hAnsi="Arial" w:cs="Arial"/>
          <w:b/>
          <w:sz w:val="20"/>
          <w:szCs w:val="20"/>
        </w:rPr>
        <w:t xml:space="preserve">Professional Fees </w:t>
      </w:r>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lastRenderedPageBreak/>
        <w:t xml:space="preserve">These refer to accounting and legal fees fund that are normally incurred by the fund throughout </w:t>
      </w:r>
      <w:r w:rsidR="00301435" w:rsidRPr="004B3BDF">
        <w:rPr>
          <w:rFonts w:ascii="Arial" w:hAnsi="Arial" w:cs="Arial"/>
          <w:sz w:val="20"/>
          <w:szCs w:val="20"/>
        </w:rPr>
        <w:t>its</w:t>
      </w:r>
      <w:r w:rsidRPr="004B3BDF">
        <w:rPr>
          <w:rFonts w:ascii="Arial" w:hAnsi="Arial" w:cs="Arial"/>
          <w:sz w:val="20"/>
          <w:szCs w:val="20"/>
        </w:rPr>
        <w:t xml:space="preserve"> life. Fees that are directly related to the fund are expensed through the fund. Audit and accounting fees are accrued on a monthly basis, rather than when paid.</w:t>
      </w:r>
    </w:p>
    <w:p w:rsidR="0040385F" w:rsidRPr="004B3BDF" w:rsidRDefault="0040385F" w:rsidP="0040385F">
      <w:pPr>
        <w:pStyle w:val="body"/>
        <w:spacing w:before="120" w:after="120" w:line="240" w:lineRule="atLeast"/>
        <w:jc w:val="both"/>
        <w:rPr>
          <w:rFonts w:ascii="Arial" w:hAnsi="Arial" w:cs="Arial"/>
          <w:b/>
          <w:sz w:val="20"/>
          <w:szCs w:val="20"/>
        </w:rPr>
      </w:pPr>
      <w:r w:rsidRPr="004B3BDF">
        <w:rPr>
          <w:rFonts w:ascii="Arial" w:hAnsi="Arial" w:cs="Arial"/>
          <w:b/>
          <w:sz w:val="20"/>
          <w:szCs w:val="20"/>
        </w:rPr>
        <w:t xml:space="preserve">Interest Income/Expenses, Dividend Income/Expense </w:t>
      </w:r>
    </w:p>
    <w:p w:rsidR="0040385F" w:rsidRPr="004B3BDF" w:rsidRDefault="0040385F" w:rsidP="00301435">
      <w:pPr>
        <w:jc w:val="both"/>
        <w:rPr>
          <w:rFonts w:ascii="Arial" w:hAnsi="Arial" w:cs="Arial"/>
        </w:rPr>
      </w:pPr>
      <w:r w:rsidRPr="004B3BDF">
        <w:rPr>
          <w:rFonts w:ascii="Arial" w:hAnsi="Arial" w:cs="Arial"/>
          <w:sz w:val="20"/>
          <w:szCs w:val="20"/>
        </w:rPr>
        <w:t xml:space="preserve">These characters of income are recorded when earned and not when received. Interest is accrued on a monthly basis based on interest rates or coupon dates. Dividends are recorded on ex-date rather than pay-date. </w:t>
      </w:r>
    </w:p>
    <w:p w:rsidR="0040385F" w:rsidRPr="004B3BDF" w:rsidRDefault="0040385F" w:rsidP="0040385F">
      <w:pPr>
        <w:pStyle w:val="Heading2"/>
        <w:keepNext w:val="0"/>
        <w:spacing w:before="120" w:after="120" w:line="240" w:lineRule="atLeast"/>
        <w:ind w:left="0" w:firstLine="0"/>
        <w:jc w:val="both"/>
      </w:pPr>
      <w:bookmarkStart w:id="653" w:name="_Toc203540815"/>
      <w:bookmarkStart w:id="654" w:name="_Toc203549875"/>
      <w:bookmarkStart w:id="655" w:name="_Toc203550040"/>
      <w:bookmarkStart w:id="656" w:name="_Toc203551751"/>
      <w:bookmarkStart w:id="657" w:name="_Toc203552203"/>
      <w:bookmarkStart w:id="658" w:name="_Toc203552441"/>
      <w:bookmarkStart w:id="659" w:name="_Toc203552605"/>
      <w:bookmarkStart w:id="660" w:name="_Toc203552746"/>
      <w:bookmarkStart w:id="661" w:name="_Toc203552887"/>
      <w:bookmarkStart w:id="662" w:name="_Toc203555167"/>
      <w:bookmarkStart w:id="663" w:name="_Toc203555842"/>
      <w:bookmarkStart w:id="664" w:name="_Toc203556234"/>
      <w:bookmarkStart w:id="665" w:name="_Toc203556375"/>
      <w:bookmarkStart w:id="666" w:name="_Toc203556523"/>
      <w:bookmarkStart w:id="667" w:name="_Toc203793866"/>
      <w:bookmarkStart w:id="668" w:name="_Toc203794014"/>
      <w:bookmarkStart w:id="669" w:name="_Toc203794433"/>
      <w:bookmarkStart w:id="670" w:name="_Toc203794762"/>
      <w:bookmarkStart w:id="671" w:name="_Toc203795315"/>
      <w:bookmarkStart w:id="672" w:name="_Toc203798943"/>
      <w:bookmarkStart w:id="673" w:name="_Toc204420404"/>
      <w:bookmarkStart w:id="674" w:name="_Toc199669740"/>
      <w:bookmarkStart w:id="675" w:name="_Toc226530565"/>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r w:rsidRPr="004B3BDF">
        <w:t>Technology, Eco-system &amp; Interfaces and Trends</w:t>
      </w:r>
      <w:bookmarkEnd w:id="674"/>
      <w:bookmarkEnd w:id="675"/>
    </w:p>
    <w:p w:rsidR="0040385F" w:rsidRPr="004B3BDF" w:rsidRDefault="0040385F" w:rsidP="00301435">
      <w:pPr>
        <w:pStyle w:val="body"/>
        <w:spacing w:before="120" w:after="120" w:line="240" w:lineRule="auto"/>
        <w:jc w:val="both"/>
        <w:rPr>
          <w:rFonts w:ascii="Arial" w:hAnsi="Arial" w:cs="Arial"/>
          <w:sz w:val="20"/>
          <w:szCs w:val="20"/>
        </w:rPr>
      </w:pPr>
      <w:r w:rsidRPr="004B3BDF">
        <w:rPr>
          <w:rFonts w:ascii="Arial" w:hAnsi="Arial" w:cs="Arial"/>
          <w:sz w:val="20"/>
          <w:szCs w:val="20"/>
        </w:rPr>
        <w:t>The diagram below gives an overview of the IT systems used in a typical hedge fund.</w:t>
      </w:r>
    </w:p>
    <w:p w:rsidR="0040385F" w:rsidRPr="004B3BDF" w:rsidRDefault="0040385F" w:rsidP="0040385F">
      <w:pPr>
        <w:rPr>
          <w:rFonts w:ascii="Arial" w:hAnsi="Arial" w:cs="Arial"/>
        </w:rPr>
      </w:pPr>
    </w:p>
    <w:p w:rsidR="0040385F" w:rsidRPr="004B3BDF" w:rsidRDefault="00C164AF" w:rsidP="0040385F">
      <w:pPr>
        <w:pStyle w:val="body"/>
        <w:spacing w:before="120" w:after="120" w:line="240" w:lineRule="atLeast"/>
        <w:jc w:val="both"/>
        <w:rPr>
          <w:rFonts w:ascii="Arial" w:hAnsi="Arial" w:cs="Arial"/>
          <w:szCs w:val="22"/>
        </w:rPr>
      </w:pPr>
      <w:r>
        <w:rPr>
          <w:rFonts w:ascii="Arial" w:hAnsi="Arial" w:cs="Arial"/>
          <w:noProof/>
          <w:sz w:val="20"/>
          <w:szCs w:val="20"/>
        </w:rPr>
        <w:drawing>
          <wp:inline distT="0" distB="0" distL="0" distR="0">
            <wp:extent cx="5048250" cy="2714625"/>
            <wp:effectExtent l="19050" t="19050" r="19050" b="28575"/>
            <wp:docPr id="20" name="Picture 20" descr="HF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F Systems"/>
                    <pic:cNvPicPr>
                      <a:picLocks noChangeAspect="1" noChangeArrowheads="1"/>
                    </pic:cNvPicPr>
                  </pic:nvPicPr>
                  <pic:blipFill>
                    <a:blip r:embed="rId123" cstate="print"/>
                    <a:srcRect b="25662"/>
                    <a:stretch>
                      <a:fillRect/>
                    </a:stretch>
                  </pic:blipFill>
                  <pic:spPr bwMode="auto">
                    <a:xfrm>
                      <a:off x="0" y="0"/>
                      <a:ext cx="5048250" cy="2714625"/>
                    </a:xfrm>
                    <a:prstGeom prst="rect">
                      <a:avLst/>
                    </a:prstGeom>
                    <a:noFill/>
                    <a:ln w="6350" cmpd="sng">
                      <a:solidFill>
                        <a:srgbClr val="000000"/>
                      </a:solidFill>
                      <a:miter lim="800000"/>
                      <a:headEnd/>
                      <a:tailEnd/>
                    </a:ln>
                    <a:effectLst/>
                  </pic:spPr>
                </pic:pic>
              </a:graphicData>
            </a:graphic>
          </wp:inline>
        </w:drawing>
      </w:r>
    </w:p>
    <w:p w:rsidR="0040385F" w:rsidRPr="004B3BDF" w:rsidRDefault="0040385F" w:rsidP="0040385F">
      <w:pPr>
        <w:pStyle w:val="Caption"/>
        <w:jc w:val="center"/>
        <w:rPr>
          <w:rFonts w:ascii="Arial" w:hAnsi="Arial" w:cs="Arial"/>
        </w:rPr>
      </w:pPr>
      <w:bookmarkStart w:id="676" w:name="_Toc199669769"/>
      <w:bookmarkStart w:id="677" w:name="_Toc207007222"/>
      <w:r w:rsidRPr="004B3BDF">
        <w:rPr>
          <w:rFonts w:ascii="Arial" w:hAnsi="Arial" w:cs="Arial"/>
        </w:rPr>
        <w:t xml:space="preserve">Figure </w:t>
      </w:r>
      <w:r w:rsidR="00FC0435" w:rsidRPr="004B3BDF">
        <w:rPr>
          <w:rFonts w:ascii="Arial" w:hAnsi="Arial" w:cs="Arial"/>
        </w:rPr>
        <w:fldChar w:fldCharType="begin"/>
      </w:r>
      <w:r w:rsidRPr="004B3BDF">
        <w:rPr>
          <w:rFonts w:ascii="Arial" w:hAnsi="Arial" w:cs="Arial"/>
        </w:rPr>
        <w:instrText xml:space="preserve"> STYLEREF 1 \s </w:instrText>
      </w:r>
      <w:r w:rsidR="00FC0435" w:rsidRPr="004B3BDF">
        <w:rPr>
          <w:rFonts w:ascii="Arial" w:hAnsi="Arial" w:cs="Arial"/>
        </w:rPr>
        <w:fldChar w:fldCharType="separate"/>
      </w:r>
      <w:r w:rsidR="0060131C">
        <w:rPr>
          <w:rFonts w:ascii="Arial" w:hAnsi="Arial" w:cs="Arial"/>
          <w:noProof/>
        </w:rPr>
        <w:t>11</w:t>
      </w:r>
      <w:r w:rsidR="00FC0435" w:rsidRPr="004B3BDF">
        <w:rPr>
          <w:rFonts w:ascii="Arial" w:hAnsi="Arial" w:cs="Arial"/>
        </w:rPr>
        <w:fldChar w:fldCharType="end"/>
      </w:r>
      <w:r w:rsidRPr="004B3BDF">
        <w:rPr>
          <w:rFonts w:ascii="Arial" w:hAnsi="Arial" w:cs="Arial"/>
        </w:rPr>
        <w:noBreakHyphen/>
      </w:r>
      <w:r w:rsidR="00FC0435" w:rsidRPr="004B3BDF">
        <w:rPr>
          <w:rFonts w:ascii="Arial" w:hAnsi="Arial" w:cs="Arial"/>
        </w:rPr>
        <w:fldChar w:fldCharType="begin"/>
      </w:r>
      <w:r w:rsidRPr="004B3BDF">
        <w:rPr>
          <w:rFonts w:ascii="Arial" w:hAnsi="Arial" w:cs="Arial"/>
        </w:rPr>
        <w:instrText xml:space="preserve"> SEQ Figure \* ARABIC \s 1 </w:instrText>
      </w:r>
      <w:r w:rsidR="00FC0435" w:rsidRPr="004B3BDF">
        <w:rPr>
          <w:rFonts w:ascii="Arial" w:hAnsi="Arial" w:cs="Arial"/>
        </w:rPr>
        <w:fldChar w:fldCharType="separate"/>
      </w:r>
      <w:r w:rsidR="0060131C">
        <w:rPr>
          <w:rFonts w:ascii="Arial" w:hAnsi="Arial" w:cs="Arial"/>
          <w:noProof/>
        </w:rPr>
        <w:t>1</w:t>
      </w:r>
      <w:r w:rsidR="00FC0435" w:rsidRPr="004B3BDF">
        <w:rPr>
          <w:rFonts w:ascii="Arial" w:hAnsi="Arial" w:cs="Arial"/>
        </w:rPr>
        <w:fldChar w:fldCharType="end"/>
      </w:r>
      <w:r w:rsidRPr="004B3BDF">
        <w:rPr>
          <w:rFonts w:ascii="Arial" w:hAnsi="Arial" w:cs="Arial"/>
        </w:rPr>
        <w:t>: Hedge Funds System View</w:t>
      </w:r>
      <w:bookmarkEnd w:id="676"/>
      <w:bookmarkEnd w:id="677"/>
    </w:p>
    <w:p w:rsidR="0040385F" w:rsidRDefault="0040385F" w:rsidP="0040385F">
      <w:pPr>
        <w:pStyle w:val="Caption"/>
        <w:spacing w:before="120" w:after="120" w:line="240" w:lineRule="atLeast"/>
        <w:jc w:val="both"/>
        <w:rPr>
          <w:rFonts w:ascii="Arial" w:hAnsi="Arial" w:cs="Arial"/>
          <w:szCs w:val="22"/>
        </w:rPr>
      </w:pPr>
    </w:p>
    <w:p w:rsidR="00391368" w:rsidRDefault="00391368" w:rsidP="00391368"/>
    <w:p w:rsidR="00391368" w:rsidRDefault="00391368" w:rsidP="00391368"/>
    <w:p w:rsidR="00391368" w:rsidRDefault="00391368" w:rsidP="00391368"/>
    <w:p w:rsidR="00391368" w:rsidRDefault="00391368" w:rsidP="00391368"/>
    <w:p w:rsidR="00391368" w:rsidRDefault="00391368" w:rsidP="00391368"/>
    <w:p w:rsidR="00391368" w:rsidRDefault="00391368" w:rsidP="00391368"/>
    <w:p w:rsidR="00132AC4" w:rsidRDefault="00391368" w:rsidP="00132AC4">
      <w:pPr>
        <w:pStyle w:val="body"/>
        <w:spacing w:before="120" w:after="120" w:line="240" w:lineRule="atLeast"/>
        <w:jc w:val="both"/>
        <w:rPr>
          <w:rFonts w:ascii="Arial" w:hAnsi="Arial" w:cs="Arial"/>
          <w:szCs w:val="22"/>
        </w:rPr>
      </w:pPr>
      <w:r>
        <w:br w:type="page"/>
      </w:r>
      <w:bookmarkStart w:id="678" w:name="_Toc203540817"/>
      <w:bookmarkStart w:id="679" w:name="_Toc203549877"/>
      <w:bookmarkStart w:id="680" w:name="_Toc203550042"/>
      <w:bookmarkStart w:id="681" w:name="_Toc203551753"/>
      <w:bookmarkStart w:id="682" w:name="_Toc203552205"/>
      <w:bookmarkStart w:id="683" w:name="_Toc203552443"/>
      <w:bookmarkStart w:id="684" w:name="_Toc203552607"/>
      <w:bookmarkStart w:id="685" w:name="_Toc203552748"/>
      <w:bookmarkStart w:id="686" w:name="_Toc203552889"/>
      <w:bookmarkStart w:id="687" w:name="_Toc203555169"/>
      <w:bookmarkStart w:id="688" w:name="_Toc203555844"/>
      <w:bookmarkStart w:id="689" w:name="_Toc203556236"/>
      <w:bookmarkStart w:id="690" w:name="_Toc203556377"/>
      <w:bookmarkStart w:id="691" w:name="_Toc203556525"/>
      <w:bookmarkStart w:id="692" w:name="_Toc203793868"/>
      <w:bookmarkStart w:id="693" w:name="_Toc203794016"/>
      <w:bookmarkStart w:id="694" w:name="_Toc203794435"/>
      <w:bookmarkStart w:id="695" w:name="_Toc203794764"/>
      <w:bookmarkStart w:id="696" w:name="_Toc203795317"/>
      <w:bookmarkStart w:id="697" w:name="_Toc203798945"/>
      <w:bookmarkStart w:id="698" w:name="_Toc204420406"/>
      <w:bookmarkStart w:id="699" w:name="_Toc203540818"/>
      <w:bookmarkStart w:id="700" w:name="_Toc203549878"/>
      <w:bookmarkStart w:id="701" w:name="_Toc203550043"/>
      <w:bookmarkStart w:id="702" w:name="_Toc203551754"/>
      <w:bookmarkStart w:id="703" w:name="_Toc203552206"/>
      <w:bookmarkStart w:id="704" w:name="_Toc203552444"/>
      <w:bookmarkStart w:id="705" w:name="_Toc203552608"/>
      <w:bookmarkStart w:id="706" w:name="_Toc203552749"/>
      <w:bookmarkStart w:id="707" w:name="_Toc203552890"/>
      <w:bookmarkStart w:id="708" w:name="_Toc203555170"/>
      <w:bookmarkStart w:id="709" w:name="_Toc203555845"/>
      <w:bookmarkStart w:id="710" w:name="_Toc203556237"/>
      <w:bookmarkStart w:id="711" w:name="_Toc203556378"/>
      <w:bookmarkStart w:id="712" w:name="_Toc203556526"/>
      <w:bookmarkStart w:id="713" w:name="_Toc203793869"/>
      <w:bookmarkStart w:id="714" w:name="_Toc203794017"/>
      <w:bookmarkStart w:id="715" w:name="_Toc203794436"/>
      <w:bookmarkStart w:id="716" w:name="_Toc203794765"/>
      <w:bookmarkStart w:id="717" w:name="_Toc203795318"/>
      <w:bookmarkStart w:id="718" w:name="_Toc203798946"/>
      <w:bookmarkStart w:id="719" w:name="_Toc20442040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r w:rsidR="0040385F" w:rsidRPr="00301435">
        <w:rPr>
          <w:rFonts w:ascii="Arial" w:hAnsi="Arial" w:cs="Arial"/>
          <w:sz w:val="20"/>
          <w:szCs w:val="20"/>
        </w:rPr>
        <w:lastRenderedPageBreak/>
        <w:t xml:space="preserve"> </w:t>
      </w:r>
    </w:p>
    <w:p w:rsidR="00132AC4" w:rsidRDefault="00132AC4" w:rsidP="00132AC4">
      <w:pPr>
        <w:pStyle w:val="body"/>
        <w:spacing w:before="120" w:after="120" w:line="240" w:lineRule="atLeast"/>
        <w:jc w:val="both"/>
        <w:rPr>
          <w:rFonts w:ascii="Arial" w:hAnsi="Arial" w:cs="Arial"/>
          <w:szCs w:val="22"/>
        </w:rPr>
      </w:pPr>
    </w:p>
    <w:p w:rsidR="00132AC4" w:rsidRPr="009413F6" w:rsidRDefault="00132AC4" w:rsidP="00132AC4">
      <w:pPr>
        <w:pStyle w:val="body"/>
        <w:spacing w:before="120" w:after="120" w:line="240" w:lineRule="atLeast"/>
        <w:jc w:val="both"/>
        <w:rPr>
          <w:rFonts w:ascii="Arial" w:hAnsi="Arial" w:cs="Arial"/>
          <w:szCs w:val="22"/>
        </w:rPr>
      </w:pPr>
    </w:p>
    <w:p w:rsidR="00132AC4" w:rsidRPr="009413F6" w:rsidRDefault="00132AC4" w:rsidP="00132AC4">
      <w:pPr>
        <w:pStyle w:val="body"/>
        <w:spacing w:before="120" w:after="120" w:line="240" w:lineRule="atLeast"/>
        <w:jc w:val="both"/>
        <w:rPr>
          <w:rFonts w:ascii="Arial" w:hAnsi="Arial" w:cs="Arial"/>
          <w:szCs w:val="22"/>
        </w:rPr>
      </w:pPr>
    </w:p>
    <w:p w:rsidR="00132AC4" w:rsidRPr="009413F6" w:rsidRDefault="00132AC4" w:rsidP="00132AC4">
      <w:pPr>
        <w:pStyle w:val="body"/>
        <w:spacing w:before="120" w:after="120" w:line="240" w:lineRule="atLeast"/>
        <w:jc w:val="both"/>
        <w:rPr>
          <w:rFonts w:ascii="Arial" w:hAnsi="Arial" w:cs="Arial"/>
          <w:szCs w:val="22"/>
        </w:rPr>
      </w:pPr>
    </w:p>
    <w:p w:rsidR="00132AC4" w:rsidRPr="009413F6" w:rsidRDefault="00132AC4" w:rsidP="00132AC4">
      <w:pPr>
        <w:pStyle w:val="body"/>
        <w:spacing w:before="120" w:after="120" w:line="240" w:lineRule="atLeast"/>
        <w:jc w:val="both"/>
        <w:rPr>
          <w:rFonts w:ascii="Arial" w:hAnsi="Arial" w:cs="Arial"/>
          <w:szCs w:val="22"/>
        </w:rPr>
      </w:pPr>
    </w:p>
    <w:p w:rsidR="00132AC4" w:rsidRPr="009413F6" w:rsidRDefault="00132AC4" w:rsidP="00132AC4">
      <w:pPr>
        <w:pStyle w:val="body"/>
        <w:spacing w:before="120" w:after="120" w:line="240" w:lineRule="atLeast"/>
        <w:jc w:val="both"/>
        <w:rPr>
          <w:rFonts w:ascii="Arial" w:hAnsi="Arial" w:cs="Arial"/>
          <w:szCs w:val="22"/>
        </w:rPr>
      </w:pPr>
    </w:p>
    <w:p w:rsidR="00132AC4" w:rsidRPr="009413F6" w:rsidRDefault="00132AC4" w:rsidP="00132AC4">
      <w:pPr>
        <w:pStyle w:val="body"/>
        <w:spacing w:before="120" w:after="120" w:line="240" w:lineRule="atLeast"/>
        <w:jc w:val="both"/>
        <w:rPr>
          <w:rFonts w:ascii="Arial" w:hAnsi="Arial" w:cs="Arial"/>
          <w:szCs w:val="22"/>
        </w:rPr>
      </w:pPr>
    </w:p>
    <w:p w:rsidR="00132AC4" w:rsidRPr="009413F6" w:rsidRDefault="00132AC4" w:rsidP="00132AC4">
      <w:pPr>
        <w:pStyle w:val="body"/>
        <w:spacing w:before="120" w:after="120" w:line="240" w:lineRule="atLeast"/>
        <w:jc w:val="both"/>
        <w:rPr>
          <w:rFonts w:ascii="Arial" w:hAnsi="Arial" w:cs="Arial"/>
          <w:szCs w:val="22"/>
        </w:rPr>
      </w:pPr>
    </w:p>
    <w:p w:rsidR="00753C56" w:rsidRDefault="00132AC4" w:rsidP="00132AC4">
      <w:pPr>
        <w:pStyle w:val="SectionHeading"/>
        <w:spacing w:before="120" w:line="240" w:lineRule="atLeast"/>
        <w:rPr>
          <w:rFonts w:cs="Arial"/>
        </w:rPr>
      </w:pPr>
      <w:bookmarkStart w:id="720" w:name="_Toc226530566"/>
      <w:r w:rsidRPr="009413F6">
        <w:rPr>
          <w:rFonts w:cs="Arial"/>
        </w:rPr>
        <w:t xml:space="preserve">Section </w:t>
      </w:r>
      <w:r>
        <w:rPr>
          <w:rFonts w:cs="Arial"/>
        </w:rPr>
        <w:t>IV</w:t>
      </w:r>
      <w:r w:rsidRPr="009413F6">
        <w:rPr>
          <w:rFonts w:cs="Arial"/>
        </w:rPr>
        <w:t>:</w:t>
      </w:r>
      <w:bookmarkEnd w:id="720"/>
    </w:p>
    <w:p w:rsidR="00132AC4" w:rsidRDefault="00B6136B" w:rsidP="00132AC4">
      <w:pPr>
        <w:pStyle w:val="SectionHeading"/>
        <w:spacing w:before="120" w:line="240" w:lineRule="atLeast"/>
        <w:rPr>
          <w:rFonts w:cs="Arial"/>
        </w:rPr>
      </w:pPr>
      <w:bookmarkStart w:id="721" w:name="_Toc226530567"/>
      <w:r>
        <w:rPr>
          <w:rFonts w:cs="Arial"/>
        </w:rPr>
        <w:t xml:space="preserve">Asset and Wealth Management </w:t>
      </w:r>
      <w:r w:rsidR="00270EB8">
        <w:rPr>
          <w:rFonts w:cs="Arial"/>
        </w:rPr>
        <w:t>Technology and</w:t>
      </w:r>
      <w:r>
        <w:rPr>
          <w:rFonts w:cs="Arial"/>
        </w:rPr>
        <w:t xml:space="preserve"> </w:t>
      </w:r>
      <w:r w:rsidR="00753C56">
        <w:rPr>
          <w:rFonts w:cs="Arial"/>
        </w:rPr>
        <w:t>Trends</w:t>
      </w:r>
      <w:bookmarkEnd w:id="721"/>
    </w:p>
    <w:p w:rsidR="00753C56" w:rsidRPr="00753C56" w:rsidRDefault="00753C56" w:rsidP="00753C56"/>
    <w:p w:rsidR="004B2713" w:rsidRDefault="00B04BD9" w:rsidP="00B83ED0">
      <w:pPr>
        <w:pStyle w:val="Heading1"/>
      </w:pPr>
      <w:bookmarkStart w:id="722" w:name="_Toc226530568"/>
      <w:r>
        <w:lastRenderedPageBreak/>
        <w:t xml:space="preserve">AWM Application </w:t>
      </w:r>
      <w:r w:rsidR="00B31EBA">
        <w:t>Landscape</w:t>
      </w:r>
      <w:bookmarkEnd w:id="722"/>
    </w:p>
    <w:p w:rsidR="00B04BD9" w:rsidRDefault="00B04BD9" w:rsidP="00B04BD9"/>
    <w:p w:rsidR="00BE4989" w:rsidRDefault="00B04BD9" w:rsidP="00B04BD9">
      <w:pPr>
        <w:jc w:val="both"/>
        <w:rPr>
          <w:rFonts w:ascii="Arial" w:hAnsi="Arial" w:cs="Arial"/>
          <w:sz w:val="20"/>
          <w:szCs w:val="20"/>
        </w:rPr>
      </w:pPr>
      <w:r w:rsidRPr="00B04BD9">
        <w:rPr>
          <w:rFonts w:ascii="Arial" w:hAnsi="Arial" w:cs="Arial"/>
          <w:sz w:val="20"/>
          <w:szCs w:val="20"/>
        </w:rPr>
        <w:t xml:space="preserve">There are </w:t>
      </w:r>
      <w:r w:rsidR="000E4D34">
        <w:rPr>
          <w:rFonts w:ascii="Arial" w:hAnsi="Arial" w:cs="Arial"/>
          <w:sz w:val="20"/>
          <w:szCs w:val="20"/>
        </w:rPr>
        <w:t>various</w:t>
      </w:r>
      <w:r w:rsidRPr="00B04BD9">
        <w:rPr>
          <w:rFonts w:ascii="Arial" w:hAnsi="Arial" w:cs="Arial"/>
          <w:sz w:val="20"/>
          <w:szCs w:val="20"/>
        </w:rPr>
        <w:t xml:space="preserve"> applications which are used to manage different facets of business in an Asset and Wealth Management firm. While some firms use internally developed systems, others take</w:t>
      </w:r>
      <w:r w:rsidR="000E4D34">
        <w:rPr>
          <w:rFonts w:ascii="Arial" w:hAnsi="Arial" w:cs="Arial"/>
          <w:sz w:val="20"/>
          <w:szCs w:val="20"/>
        </w:rPr>
        <w:t xml:space="preserve"> the</w:t>
      </w:r>
      <w:r w:rsidRPr="00B04BD9">
        <w:rPr>
          <w:rFonts w:ascii="Arial" w:hAnsi="Arial" w:cs="Arial"/>
          <w:sz w:val="20"/>
          <w:szCs w:val="20"/>
        </w:rPr>
        <w:t xml:space="preserve"> help of COTS products</w:t>
      </w:r>
      <w:r w:rsidR="000E4D34">
        <w:rPr>
          <w:rFonts w:ascii="Arial" w:hAnsi="Arial" w:cs="Arial"/>
          <w:sz w:val="20"/>
          <w:szCs w:val="20"/>
        </w:rPr>
        <w:t xml:space="preserve"> to achieve the same</w:t>
      </w:r>
      <w:r w:rsidRPr="00B04BD9">
        <w:rPr>
          <w:rFonts w:ascii="Arial" w:hAnsi="Arial" w:cs="Arial"/>
          <w:sz w:val="20"/>
          <w:szCs w:val="20"/>
        </w:rPr>
        <w:t>.</w:t>
      </w:r>
      <w:r w:rsidR="007930D7">
        <w:rPr>
          <w:rFonts w:ascii="Arial" w:hAnsi="Arial" w:cs="Arial"/>
          <w:sz w:val="20"/>
          <w:szCs w:val="20"/>
        </w:rPr>
        <w:t xml:space="preserve"> In many cases, it is a combination of both and firms tend to go for multiple third party products for different tasks.</w:t>
      </w:r>
      <w:r w:rsidRPr="00B04BD9">
        <w:rPr>
          <w:rFonts w:ascii="Arial" w:hAnsi="Arial" w:cs="Arial"/>
          <w:sz w:val="20"/>
          <w:szCs w:val="20"/>
        </w:rPr>
        <w:t xml:space="preserve"> Based on which area of the firm these applications are used, they can be</w:t>
      </w:r>
      <w:r>
        <w:rPr>
          <w:rFonts w:ascii="Arial" w:hAnsi="Arial" w:cs="Arial"/>
          <w:sz w:val="20"/>
          <w:szCs w:val="20"/>
        </w:rPr>
        <w:t xml:space="preserve"> broadly</w:t>
      </w:r>
      <w:r w:rsidRPr="00B04BD9">
        <w:rPr>
          <w:rFonts w:ascii="Arial" w:hAnsi="Arial" w:cs="Arial"/>
          <w:sz w:val="20"/>
          <w:szCs w:val="20"/>
        </w:rPr>
        <w:t xml:space="preserve"> categorized</w:t>
      </w:r>
      <w:r w:rsidR="000E4D34">
        <w:rPr>
          <w:rFonts w:ascii="Arial" w:hAnsi="Arial" w:cs="Arial"/>
          <w:sz w:val="20"/>
          <w:szCs w:val="20"/>
        </w:rPr>
        <w:t xml:space="preserve"> Front Office/ Middle Office or</w:t>
      </w:r>
      <w:r>
        <w:rPr>
          <w:rFonts w:ascii="Arial" w:hAnsi="Arial" w:cs="Arial"/>
          <w:sz w:val="20"/>
          <w:szCs w:val="20"/>
        </w:rPr>
        <w:t xml:space="preserve"> Back Office systems.</w:t>
      </w:r>
      <w:r w:rsidR="00EF265B">
        <w:rPr>
          <w:rFonts w:ascii="Arial" w:hAnsi="Arial" w:cs="Arial"/>
          <w:sz w:val="20"/>
          <w:szCs w:val="20"/>
        </w:rPr>
        <w:t xml:space="preserve"> </w:t>
      </w:r>
    </w:p>
    <w:p w:rsidR="00BE4989" w:rsidRDefault="00BE4989" w:rsidP="00B04BD9">
      <w:pPr>
        <w:jc w:val="both"/>
        <w:rPr>
          <w:rFonts w:ascii="Arial" w:hAnsi="Arial" w:cs="Arial"/>
          <w:sz w:val="20"/>
          <w:szCs w:val="20"/>
        </w:rPr>
      </w:pPr>
    </w:p>
    <w:p w:rsidR="0093160B" w:rsidRDefault="00D556FA" w:rsidP="00B04BD9">
      <w:pPr>
        <w:jc w:val="both"/>
        <w:rPr>
          <w:rFonts w:ascii="Arial" w:hAnsi="Arial" w:cs="Arial"/>
          <w:sz w:val="20"/>
          <w:szCs w:val="20"/>
        </w:rPr>
      </w:pPr>
      <w:r>
        <w:rPr>
          <w:rFonts w:ascii="Arial" w:hAnsi="Arial" w:cs="Arial"/>
          <w:sz w:val="20"/>
          <w:szCs w:val="20"/>
        </w:rPr>
        <w:t>A particular set of tasks can be attributed as front office / middle office or back office; but a utility or system</w:t>
      </w:r>
      <w:r w:rsidR="009E328C">
        <w:rPr>
          <w:rFonts w:ascii="Arial" w:hAnsi="Arial" w:cs="Arial"/>
          <w:sz w:val="20"/>
          <w:szCs w:val="20"/>
        </w:rPr>
        <w:t xml:space="preserve"> or a product</w:t>
      </w:r>
      <w:r>
        <w:rPr>
          <w:rFonts w:ascii="Arial" w:hAnsi="Arial" w:cs="Arial"/>
          <w:sz w:val="20"/>
          <w:szCs w:val="20"/>
        </w:rPr>
        <w:t xml:space="preserve"> can be used by d</w:t>
      </w:r>
      <w:r w:rsidR="009E328C">
        <w:rPr>
          <w:rFonts w:ascii="Arial" w:hAnsi="Arial" w:cs="Arial"/>
          <w:sz w:val="20"/>
          <w:szCs w:val="20"/>
        </w:rPr>
        <w:t xml:space="preserve">ifferent user groups across </w:t>
      </w:r>
      <w:r>
        <w:rPr>
          <w:rFonts w:ascii="Arial" w:hAnsi="Arial" w:cs="Arial"/>
          <w:sz w:val="20"/>
          <w:szCs w:val="20"/>
        </w:rPr>
        <w:t>business</w:t>
      </w:r>
      <w:r w:rsidR="009E328C">
        <w:rPr>
          <w:rFonts w:ascii="Arial" w:hAnsi="Arial" w:cs="Arial"/>
          <w:sz w:val="20"/>
          <w:szCs w:val="20"/>
        </w:rPr>
        <w:t xml:space="preserve"> lines</w:t>
      </w:r>
      <w:r>
        <w:rPr>
          <w:rFonts w:ascii="Arial" w:hAnsi="Arial" w:cs="Arial"/>
          <w:sz w:val="20"/>
          <w:szCs w:val="20"/>
        </w:rPr>
        <w:t xml:space="preserve"> to achieve desired results. </w:t>
      </w:r>
      <w:r w:rsidR="0093160B">
        <w:rPr>
          <w:rFonts w:ascii="Arial" w:hAnsi="Arial" w:cs="Arial"/>
          <w:sz w:val="20"/>
          <w:szCs w:val="20"/>
        </w:rPr>
        <w:t xml:space="preserve">This chapter </w:t>
      </w:r>
      <w:r w:rsidR="000E4D34">
        <w:rPr>
          <w:rFonts w:ascii="Arial" w:hAnsi="Arial" w:cs="Arial"/>
          <w:sz w:val="20"/>
          <w:szCs w:val="20"/>
        </w:rPr>
        <w:t xml:space="preserve">intends to </w:t>
      </w:r>
      <w:r>
        <w:rPr>
          <w:rFonts w:ascii="Arial" w:hAnsi="Arial" w:cs="Arial"/>
          <w:sz w:val="20"/>
          <w:szCs w:val="20"/>
        </w:rPr>
        <w:t xml:space="preserve">provide more </w:t>
      </w:r>
      <w:r w:rsidR="000E4D34">
        <w:rPr>
          <w:rFonts w:ascii="Arial" w:hAnsi="Arial" w:cs="Arial"/>
          <w:sz w:val="20"/>
          <w:szCs w:val="20"/>
        </w:rPr>
        <w:t>details around</w:t>
      </w:r>
      <w:r w:rsidR="00B04BD9">
        <w:rPr>
          <w:rFonts w:ascii="Arial" w:hAnsi="Arial" w:cs="Arial"/>
          <w:sz w:val="20"/>
          <w:szCs w:val="20"/>
        </w:rPr>
        <w:t xml:space="preserve"> how a typical technology</w:t>
      </w:r>
      <w:r w:rsidR="0093160B">
        <w:rPr>
          <w:rFonts w:ascii="Arial" w:hAnsi="Arial" w:cs="Arial"/>
          <w:sz w:val="20"/>
          <w:szCs w:val="20"/>
        </w:rPr>
        <w:t xml:space="preserve"> landscape</w:t>
      </w:r>
      <w:r w:rsidR="00B04BD9">
        <w:rPr>
          <w:rFonts w:ascii="Arial" w:hAnsi="Arial" w:cs="Arial"/>
          <w:sz w:val="20"/>
          <w:szCs w:val="20"/>
        </w:rPr>
        <w:t xml:space="preserve"> for an Asset and Wealth </w:t>
      </w:r>
      <w:r w:rsidR="0093160B">
        <w:rPr>
          <w:rFonts w:ascii="Arial" w:hAnsi="Arial" w:cs="Arial"/>
          <w:sz w:val="20"/>
          <w:szCs w:val="20"/>
        </w:rPr>
        <w:t xml:space="preserve">Management firm looks like. The below table details out various roles performed by different key </w:t>
      </w:r>
      <w:r w:rsidR="009E328C">
        <w:rPr>
          <w:rFonts w:ascii="Arial" w:hAnsi="Arial" w:cs="Arial"/>
          <w:sz w:val="20"/>
          <w:szCs w:val="20"/>
        </w:rPr>
        <w:t>entities and the generic system related functions</w:t>
      </w:r>
      <w:r w:rsidR="000E4D34">
        <w:rPr>
          <w:rFonts w:ascii="Arial" w:hAnsi="Arial" w:cs="Arial"/>
          <w:sz w:val="20"/>
          <w:szCs w:val="20"/>
        </w:rPr>
        <w:t xml:space="preserve"> which support these activities:</w:t>
      </w:r>
    </w:p>
    <w:p w:rsidR="00E672D2" w:rsidRDefault="00E672D2" w:rsidP="00B04BD9">
      <w:pPr>
        <w:jc w:val="both"/>
        <w:rPr>
          <w:rFonts w:ascii="Arial" w:hAnsi="Arial" w:cs="Arial"/>
          <w:sz w:val="20"/>
          <w:szCs w:val="20"/>
        </w:rPr>
      </w:pPr>
    </w:p>
    <w:p w:rsidR="00F0076C" w:rsidRDefault="000E4D34" w:rsidP="0075663D">
      <w:pPr>
        <w:pStyle w:val="Heading2"/>
        <w:keepNext w:val="0"/>
        <w:spacing w:before="120" w:after="120" w:line="240" w:lineRule="atLeast"/>
        <w:ind w:left="0" w:firstLine="0"/>
        <w:jc w:val="both"/>
      </w:pPr>
      <w:bookmarkStart w:id="723" w:name="_Toc226530569"/>
      <w:r>
        <w:t>Front Office</w:t>
      </w:r>
      <w:bookmarkEnd w:id="723"/>
    </w:p>
    <w:p w:rsidR="00C81C08" w:rsidRPr="00C81C08" w:rsidRDefault="00C81C08" w:rsidP="00C81C0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67"/>
        <w:gridCol w:w="2161"/>
        <w:gridCol w:w="4428"/>
      </w:tblGrid>
      <w:tr w:rsidR="00C81C08" w:rsidRPr="00F55EEB" w:rsidTr="00F55EEB">
        <w:tc>
          <w:tcPr>
            <w:tcW w:w="1280" w:type="pct"/>
            <w:shd w:val="clear" w:color="auto" w:fill="C0C0C0"/>
          </w:tcPr>
          <w:p w:rsidR="00C81C08" w:rsidRPr="00F55EEB" w:rsidRDefault="0096752A" w:rsidP="00F55EEB">
            <w:pPr>
              <w:tabs>
                <w:tab w:val="center" w:pos="1368"/>
              </w:tabs>
              <w:rPr>
                <w:rFonts w:ascii="Arial" w:hAnsi="Arial" w:cs="Arial"/>
                <w:b/>
                <w:sz w:val="20"/>
                <w:szCs w:val="20"/>
              </w:rPr>
            </w:pPr>
            <w:r w:rsidRPr="00F55EEB">
              <w:rPr>
                <w:rFonts w:ascii="Arial" w:hAnsi="Arial" w:cs="Arial"/>
                <w:b/>
                <w:sz w:val="20"/>
                <w:szCs w:val="20"/>
              </w:rPr>
              <w:t>Department</w:t>
            </w:r>
          </w:p>
        </w:tc>
        <w:tc>
          <w:tcPr>
            <w:tcW w:w="1220" w:type="pct"/>
            <w:shd w:val="clear" w:color="auto" w:fill="C0C0C0"/>
          </w:tcPr>
          <w:p w:rsidR="00C81C08" w:rsidRPr="00F55EEB" w:rsidRDefault="00C81C08" w:rsidP="00F0076C">
            <w:pPr>
              <w:rPr>
                <w:rFonts w:ascii="Arial" w:hAnsi="Arial" w:cs="Arial"/>
                <w:b/>
                <w:sz w:val="20"/>
                <w:szCs w:val="20"/>
              </w:rPr>
            </w:pPr>
            <w:r w:rsidRPr="00F55EEB">
              <w:rPr>
                <w:rFonts w:ascii="Arial" w:hAnsi="Arial" w:cs="Arial"/>
                <w:b/>
                <w:sz w:val="20"/>
                <w:szCs w:val="20"/>
              </w:rPr>
              <w:t>High Level</w:t>
            </w:r>
            <w:r w:rsidR="00FA19A5" w:rsidRPr="00F55EEB">
              <w:rPr>
                <w:rFonts w:ascii="Arial" w:hAnsi="Arial" w:cs="Arial"/>
                <w:b/>
                <w:sz w:val="20"/>
                <w:szCs w:val="20"/>
              </w:rPr>
              <w:t xml:space="preserve"> Process</w:t>
            </w:r>
          </w:p>
        </w:tc>
        <w:tc>
          <w:tcPr>
            <w:tcW w:w="2500" w:type="pct"/>
            <w:shd w:val="clear" w:color="auto" w:fill="C0C0C0"/>
          </w:tcPr>
          <w:p w:rsidR="00C81C08" w:rsidRPr="00F55EEB" w:rsidRDefault="00826CBA" w:rsidP="00F0076C">
            <w:pPr>
              <w:rPr>
                <w:rFonts w:ascii="Arial" w:hAnsi="Arial" w:cs="Arial"/>
                <w:b/>
                <w:sz w:val="20"/>
                <w:szCs w:val="20"/>
              </w:rPr>
            </w:pPr>
            <w:r w:rsidRPr="00F55EEB">
              <w:rPr>
                <w:rFonts w:ascii="Arial" w:hAnsi="Arial" w:cs="Arial"/>
                <w:b/>
                <w:sz w:val="20"/>
                <w:szCs w:val="20"/>
              </w:rPr>
              <w:t>System Utilities/ Usages</w:t>
            </w:r>
            <w:r w:rsidR="00FA19A5" w:rsidRPr="00F55EEB">
              <w:rPr>
                <w:rFonts w:ascii="Arial" w:hAnsi="Arial" w:cs="Arial"/>
                <w:b/>
                <w:sz w:val="20"/>
                <w:szCs w:val="20"/>
              </w:rPr>
              <w:t>/ Tasks</w:t>
            </w:r>
          </w:p>
        </w:tc>
      </w:tr>
      <w:tr w:rsidR="00826CBA" w:rsidRPr="00F55EEB" w:rsidTr="00F55EEB">
        <w:trPr>
          <w:trHeight w:val="233"/>
        </w:trPr>
        <w:tc>
          <w:tcPr>
            <w:tcW w:w="1280" w:type="pct"/>
            <w:vMerge w:val="restart"/>
          </w:tcPr>
          <w:p w:rsidR="00826CBA" w:rsidRPr="00F55EEB" w:rsidRDefault="00826CBA" w:rsidP="00F0076C">
            <w:pPr>
              <w:rPr>
                <w:rFonts w:ascii="Arial" w:hAnsi="Arial" w:cs="Arial"/>
                <w:sz w:val="20"/>
                <w:szCs w:val="20"/>
              </w:rPr>
            </w:pPr>
            <w:r w:rsidRPr="00F55EEB">
              <w:rPr>
                <w:rFonts w:ascii="Arial" w:hAnsi="Arial" w:cs="Arial"/>
                <w:sz w:val="20"/>
                <w:szCs w:val="20"/>
              </w:rPr>
              <w:t>Sales and Marketing</w:t>
            </w:r>
          </w:p>
        </w:tc>
        <w:tc>
          <w:tcPr>
            <w:tcW w:w="1220" w:type="pct"/>
          </w:tcPr>
          <w:p w:rsidR="00826CBA" w:rsidRPr="00F55EEB" w:rsidRDefault="00826CBA" w:rsidP="00F0076C">
            <w:pPr>
              <w:rPr>
                <w:rFonts w:ascii="Arial" w:hAnsi="Arial" w:cs="Arial"/>
                <w:sz w:val="20"/>
                <w:szCs w:val="20"/>
              </w:rPr>
            </w:pPr>
            <w:r w:rsidRPr="00F55EEB">
              <w:rPr>
                <w:rFonts w:ascii="Arial" w:hAnsi="Arial" w:cs="Arial"/>
                <w:sz w:val="20"/>
                <w:szCs w:val="20"/>
              </w:rPr>
              <w:t>Client Prospecting</w:t>
            </w:r>
          </w:p>
        </w:tc>
        <w:tc>
          <w:tcPr>
            <w:tcW w:w="2500" w:type="pct"/>
            <w:shd w:val="clear" w:color="auto" w:fill="auto"/>
          </w:tcPr>
          <w:p w:rsidR="00826CBA" w:rsidRPr="00F55EEB" w:rsidRDefault="002608B2" w:rsidP="00F55EEB">
            <w:pPr>
              <w:numPr>
                <w:ilvl w:val="0"/>
                <w:numId w:val="95"/>
              </w:numPr>
              <w:tabs>
                <w:tab w:val="clear" w:pos="720"/>
                <w:tab w:val="left" w:pos="432"/>
                <w:tab w:val="left" w:pos="480"/>
              </w:tabs>
              <w:ind w:left="432" w:hanging="72"/>
              <w:rPr>
                <w:rFonts w:ascii="Arial" w:hAnsi="Arial" w:cs="Arial"/>
                <w:sz w:val="20"/>
                <w:szCs w:val="20"/>
              </w:rPr>
            </w:pPr>
            <w:r w:rsidRPr="00F55EEB">
              <w:rPr>
                <w:rFonts w:ascii="Arial" w:hAnsi="Arial" w:cs="Arial"/>
                <w:sz w:val="20"/>
                <w:szCs w:val="20"/>
              </w:rPr>
              <w:t xml:space="preserve">    </w:t>
            </w:r>
            <w:r w:rsidR="00826CBA" w:rsidRPr="00F55EEB">
              <w:rPr>
                <w:rFonts w:ascii="Arial" w:hAnsi="Arial" w:cs="Arial"/>
                <w:sz w:val="20"/>
                <w:szCs w:val="20"/>
              </w:rPr>
              <w:t>Prospect Identification</w:t>
            </w:r>
          </w:p>
          <w:p w:rsidR="00826CBA" w:rsidRPr="00F55EEB" w:rsidRDefault="002608B2" w:rsidP="00F55EEB">
            <w:pPr>
              <w:numPr>
                <w:ilvl w:val="0"/>
                <w:numId w:val="95"/>
              </w:numPr>
              <w:tabs>
                <w:tab w:val="left" w:pos="480"/>
                <w:tab w:val="left" w:pos="570"/>
              </w:tabs>
              <w:rPr>
                <w:rFonts w:ascii="Arial" w:hAnsi="Arial" w:cs="Arial"/>
                <w:sz w:val="20"/>
                <w:szCs w:val="20"/>
              </w:rPr>
            </w:pPr>
            <w:r w:rsidRPr="00F55EEB">
              <w:rPr>
                <w:rFonts w:ascii="Arial" w:hAnsi="Arial" w:cs="Arial"/>
                <w:sz w:val="20"/>
                <w:szCs w:val="20"/>
              </w:rPr>
              <w:t xml:space="preserve">    </w:t>
            </w:r>
            <w:r w:rsidR="00826CBA" w:rsidRPr="00F55EEB">
              <w:rPr>
                <w:rFonts w:ascii="Arial" w:hAnsi="Arial" w:cs="Arial"/>
                <w:sz w:val="20"/>
                <w:szCs w:val="20"/>
              </w:rPr>
              <w:t>Client Profiling</w:t>
            </w:r>
            <w:r w:rsidR="00826CBA" w:rsidRPr="00F55EEB">
              <w:rPr>
                <w:rFonts w:ascii="Arial" w:hAnsi="Arial" w:cs="Arial"/>
                <w:sz w:val="20"/>
                <w:szCs w:val="20"/>
              </w:rPr>
              <w:tab/>
            </w:r>
          </w:p>
        </w:tc>
      </w:tr>
      <w:tr w:rsidR="00826CBA" w:rsidRPr="00F55EEB" w:rsidTr="00F55EEB">
        <w:trPr>
          <w:trHeight w:val="232"/>
        </w:trPr>
        <w:tc>
          <w:tcPr>
            <w:tcW w:w="1280" w:type="pct"/>
            <w:vMerge/>
          </w:tcPr>
          <w:p w:rsidR="00826CBA" w:rsidRPr="00F55EEB" w:rsidRDefault="00826CBA" w:rsidP="00F0076C">
            <w:pPr>
              <w:rPr>
                <w:rFonts w:ascii="Arial" w:hAnsi="Arial" w:cs="Arial"/>
                <w:sz w:val="20"/>
                <w:szCs w:val="20"/>
              </w:rPr>
            </w:pPr>
          </w:p>
        </w:tc>
        <w:tc>
          <w:tcPr>
            <w:tcW w:w="1220" w:type="pct"/>
          </w:tcPr>
          <w:p w:rsidR="00826CBA" w:rsidRPr="00F55EEB" w:rsidRDefault="00826CBA" w:rsidP="00F0076C">
            <w:pPr>
              <w:rPr>
                <w:rFonts w:ascii="Arial" w:hAnsi="Arial" w:cs="Arial"/>
                <w:sz w:val="20"/>
                <w:szCs w:val="20"/>
              </w:rPr>
            </w:pPr>
            <w:r w:rsidRPr="00F55EEB">
              <w:rPr>
                <w:rFonts w:ascii="Arial" w:hAnsi="Arial" w:cs="Arial"/>
                <w:sz w:val="20"/>
                <w:szCs w:val="20"/>
              </w:rPr>
              <w:t>Client Acquisition</w:t>
            </w:r>
          </w:p>
        </w:tc>
        <w:tc>
          <w:tcPr>
            <w:tcW w:w="2500" w:type="pct"/>
            <w:shd w:val="clear" w:color="auto" w:fill="auto"/>
          </w:tcPr>
          <w:p w:rsidR="00826CBA" w:rsidRPr="00F55EEB" w:rsidRDefault="00826CBA" w:rsidP="00F55EEB">
            <w:pPr>
              <w:numPr>
                <w:ilvl w:val="0"/>
                <w:numId w:val="94"/>
              </w:numPr>
              <w:rPr>
                <w:rFonts w:ascii="Arial" w:hAnsi="Arial" w:cs="Arial"/>
                <w:sz w:val="20"/>
                <w:szCs w:val="20"/>
              </w:rPr>
            </w:pPr>
            <w:r w:rsidRPr="00F55EEB">
              <w:rPr>
                <w:rFonts w:ascii="Arial" w:hAnsi="Arial" w:cs="Arial"/>
                <w:sz w:val="20"/>
                <w:szCs w:val="20"/>
              </w:rPr>
              <w:t>Client on-boarding</w:t>
            </w:r>
          </w:p>
          <w:p w:rsidR="00826CBA" w:rsidRPr="00F55EEB" w:rsidRDefault="00826CBA" w:rsidP="00F55EEB">
            <w:pPr>
              <w:numPr>
                <w:ilvl w:val="0"/>
                <w:numId w:val="94"/>
              </w:numPr>
              <w:rPr>
                <w:rFonts w:ascii="Arial" w:hAnsi="Arial" w:cs="Arial"/>
                <w:sz w:val="20"/>
                <w:szCs w:val="20"/>
              </w:rPr>
            </w:pPr>
            <w:r w:rsidRPr="00F55EEB">
              <w:rPr>
                <w:rFonts w:ascii="Arial" w:hAnsi="Arial" w:cs="Arial"/>
                <w:sz w:val="20"/>
                <w:szCs w:val="20"/>
              </w:rPr>
              <w:t>Investment Solution Offering</w:t>
            </w:r>
          </w:p>
          <w:p w:rsidR="00826CBA" w:rsidRPr="00F55EEB" w:rsidRDefault="00826CBA" w:rsidP="00F55EEB">
            <w:pPr>
              <w:numPr>
                <w:ilvl w:val="0"/>
                <w:numId w:val="94"/>
              </w:numPr>
              <w:rPr>
                <w:rFonts w:ascii="Arial" w:hAnsi="Arial" w:cs="Arial"/>
                <w:sz w:val="20"/>
                <w:szCs w:val="20"/>
              </w:rPr>
            </w:pPr>
            <w:r w:rsidRPr="00F55EEB">
              <w:rPr>
                <w:rFonts w:ascii="Arial" w:hAnsi="Arial" w:cs="Arial"/>
                <w:sz w:val="20"/>
                <w:szCs w:val="20"/>
              </w:rPr>
              <w:t>Client Documentation</w:t>
            </w:r>
          </w:p>
          <w:p w:rsidR="00826CBA" w:rsidRPr="00F55EEB" w:rsidRDefault="00826CBA" w:rsidP="00F55EEB">
            <w:pPr>
              <w:numPr>
                <w:ilvl w:val="0"/>
                <w:numId w:val="94"/>
              </w:numPr>
              <w:rPr>
                <w:rFonts w:ascii="Arial" w:hAnsi="Arial" w:cs="Arial"/>
                <w:sz w:val="20"/>
                <w:szCs w:val="20"/>
              </w:rPr>
            </w:pPr>
            <w:r w:rsidRPr="00F55EEB">
              <w:rPr>
                <w:rFonts w:ascii="Arial" w:hAnsi="Arial" w:cs="Arial"/>
                <w:sz w:val="20"/>
                <w:szCs w:val="20"/>
              </w:rPr>
              <w:t>Cross Selling</w:t>
            </w:r>
          </w:p>
        </w:tc>
      </w:tr>
      <w:tr w:rsidR="00826CBA" w:rsidRPr="00F55EEB" w:rsidTr="00F55EEB">
        <w:trPr>
          <w:trHeight w:val="230"/>
        </w:trPr>
        <w:tc>
          <w:tcPr>
            <w:tcW w:w="1280" w:type="pct"/>
            <w:vMerge w:val="restart"/>
          </w:tcPr>
          <w:p w:rsidR="00826CBA" w:rsidRPr="00F55EEB" w:rsidRDefault="00826CBA" w:rsidP="001C60C9">
            <w:pPr>
              <w:rPr>
                <w:rFonts w:ascii="Arial" w:hAnsi="Arial" w:cs="Arial"/>
                <w:sz w:val="20"/>
                <w:szCs w:val="20"/>
              </w:rPr>
            </w:pPr>
            <w:r w:rsidRPr="00F55EEB">
              <w:rPr>
                <w:rFonts w:ascii="Arial" w:hAnsi="Arial" w:cs="Arial"/>
                <w:sz w:val="20"/>
                <w:szCs w:val="20"/>
              </w:rPr>
              <w:t>Client Relationship Management</w:t>
            </w:r>
          </w:p>
        </w:tc>
        <w:tc>
          <w:tcPr>
            <w:tcW w:w="1220" w:type="pct"/>
          </w:tcPr>
          <w:p w:rsidR="00826CBA" w:rsidRPr="00F55EEB" w:rsidRDefault="00826CBA" w:rsidP="00826CBA">
            <w:pPr>
              <w:rPr>
                <w:rFonts w:ascii="Arial" w:hAnsi="Arial" w:cs="Arial"/>
                <w:sz w:val="20"/>
                <w:szCs w:val="20"/>
              </w:rPr>
            </w:pPr>
            <w:r w:rsidRPr="00F55EEB">
              <w:rPr>
                <w:rFonts w:ascii="Arial" w:hAnsi="Arial" w:cs="Arial"/>
                <w:sz w:val="20"/>
                <w:szCs w:val="20"/>
              </w:rPr>
              <w:t>Client Services</w:t>
            </w:r>
          </w:p>
        </w:tc>
        <w:tc>
          <w:tcPr>
            <w:tcW w:w="2500" w:type="pct"/>
            <w:shd w:val="clear" w:color="auto" w:fill="auto"/>
          </w:tcPr>
          <w:p w:rsidR="00826CBA" w:rsidRPr="00F55EEB" w:rsidRDefault="00826CBA" w:rsidP="00F55EEB">
            <w:pPr>
              <w:numPr>
                <w:ilvl w:val="0"/>
                <w:numId w:val="93"/>
              </w:numPr>
              <w:rPr>
                <w:rFonts w:ascii="Arial" w:hAnsi="Arial" w:cs="Arial"/>
                <w:sz w:val="20"/>
                <w:szCs w:val="20"/>
              </w:rPr>
            </w:pPr>
            <w:r w:rsidRPr="00F55EEB">
              <w:rPr>
                <w:rFonts w:ascii="Arial" w:hAnsi="Arial" w:cs="Arial"/>
                <w:sz w:val="20"/>
                <w:szCs w:val="20"/>
              </w:rPr>
              <w:t>Account &amp; Portfolio Creation</w:t>
            </w:r>
          </w:p>
          <w:p w:rsidR="00826CBA" w:rsidRPr="00F55EEB" w:rsidRDefault="00826CBA" w:rsidP="00F55EEB">
            <w:pPr>
              <w:numPr>
                <w:ilvl w:val="0"/>
                <w:numId w:val="93"/>
              </w:numPr>
              <w:rPr>
                <w:rFonts w:ascii="Arial" w:hAnsi="Arial" w:cs="Arial"/>
                <w:sz w:val="20"/>
                <w:szCs w:val="20"/>
              </w:rPr>
            </w:pPr>
            <w:r w:rsidRPr="00F55EEB">
              <w:rPr>
                <w:rFonts w:ascii="Arial" w:hAnsi="Arial" w:cs="Arial"/>
                <w:sz w:val="20"/>
                <w:szCs w:val="20"/>
              </w:rPr>
              <w:t>Account &amp; Portfolio Maintenance</w:t>
            </w:r>
          </w:p>
          <w:p w:rsidR="000C0204" w:rsidRPr="00F55EEB" w:rsidRDefault="000C0204" w:rsidP="00F55EEB">
            <w:pPr>
              <w:numPr>
                <w:ilvl w:val="0"/>
                <w:numId w:val="93"/>
              </w:numPr>
              <w:rPr>
                <w:rFonts w:ascii="Arial" w:hAnsi="Arial" w:cs="Arial"/>
                <w:sz w:val="20"/>
                <w:szCs w:val="20"/>
              </w:rPr>
            </w:pPr>
            <w:r w:rsidRPr="00F55EEB">
              <w:rPr>
                <w:rFonts w:ascii="Arial" w:hAnsi="Arial" w:cs="Arial"/>
                <w:sz w:val="20"/>
                <w:szCs w:val="20"/>
              </w:rPr>
              <w:t>Account  &amp; Portfolio Closing</w:t>
            </w:r>
          </w:p>
          <w:p w:rsidR="000C0204" w:rsidRPr="00F55EEB" w:rsidRDefault="000C0204" w:rsidP="00F55EEB">
            <w:pPr>
              <w:numPr>
                <w:ilvl w:val="0"/>
                <w:numId w:val="93"/>
              </w:numPr>
              <w:rPr>
                <w:rFonts w:ascii="Arial" w:hAnsi="Arial" w:cs="Arial"/>
                <w:sz w:val="20"/>
                <w:szCs w:val="20"/>
              </w:rPr>
            </w:pPr>
            <w:r w:rsidRPr="00F55EEB">
              <w:rPr>
                <w:rFonts w:ascii="Arial" w:hAnsi="Arial" w:cs="Arial"/>
                <w:sz w:val="20"/>
                <w:szCs w:val="20"/>
              </w:rPr>
              <w:t>Product Creation &amp; Maintenance</w:t>
            </w:r>
          </w:p>
          <w:p w:rsidR="000C0204" w:rsidRPr="00F55EEB" w:rsidRDefault="000C0204" w:rsidP="00F55EEB">
            <w:pPr>
              <w:numPr>
                <w:ilvl w:val="0"/>
                <w:numId w:val="93"/>
              </w:numPr>
              <w:rPr>
                <w:rFonts w:ascii="Arial" w:hAnsi="Arial" w:cs="Arial"/>
                <w:sz w:val="20"/>
                <w:szCs w:val="20"/>
              </w:rPr>
            </w:pPr>
            <w:r w:rsidRPr="00F55EEB">
              <w:rPr>
                <w:rFonts w:ascii="Arial" w:hAnsi="Arial" w:cs="Arial"/>
                <w:sz w:val="20"/>
                <w:szCs w:val="20"/>
              </w:rPr>
              <w:t>Client &amp; Relationships Closing</w:t>
            </w:r>
          </w:p>
        </w:tc>
      </w:tr>
      <w:tr w:rsidR="00826CBA" w:rsidRPr="00F55EEB" w:rsidTr="00F55EEB">
        <w:trPr>
          <w:trHeight w:val="230"/>
        </w:trPr>
        <w:tc>
          <w:tcPr>
            <w:tcW w:w="1280" w:type="pct"/>
            <w:vMerge/>
          </w:tcPr>
          <w:p w:rsidR="00826CBA" w:rsidRPr="00F55EEB" w:rsidRDefault="00826CBA" w:rsidP="001C60C9">
            <w:pPr>
              <w:rPr>
                <w:rFonts w:ascii="Arial" w:hAnsi="Arial" w:cs="Arial"/>
                <w:sz w:val="20"/>
                <w:szCs w:val="20"/>
              </w:rPr>
            </w:pPr>
          </w:p>
        </w:tc>
        <w:tc>
          <w:tcPr>
            <w:tcW w:w="1220" w:type="pct"/>
          </w:tcPr>
          <w:p w:rsidR="00826CBA" w:rsidRPr="00F55EEB" w:rsidRDefault="00826CBA" w:rsidP="001C60C9">
            <w:pPr>
              <w:rPr>
                <w:rFonts w:ascii="Arial" w:hAnsi="Arial" w:cs="Arial"/>
                <w:sz w:val="20"/>
                <w:szCs w:val="20"/>
              </w:rPr>
            </w:pPr>
            <w:r w:rsidRPr="00F55EEB">
              <w:rPr>
                <w:rFonts w:ascii="Arial" w:hAnsi="Arial" w:cs="Arial"/>
                <w:sz w:val="20"/>
                <w:szCs w:val="20"/>
              </w:rPr>
              <w:t>Advisory Services</w:t>
            </w:r>
          </w:p>
        </w:tc>
        <w:tc>
          <w:tcPr>
            <w:tcW w:w="2500" w:type="pct"/>
            <w:shd w:val="clear" w:color="auto" w:fill="auto"/>
          </w:tcPr>
          <w:p w:rsidR="00826CBA" w:rsidRPr="00F55EEB" w:rsidRDefault="00826CBA" w:rsidP="00F55EEB">
            <w:pPr>
              <w:numPr>
                <w:ilvl w:val="0"/>
                <w:numId w:val="92"/>
              </w:numPr>
              <w:rPr>
                <w:rFonts w:ascii="Arial" w:hAnsi="Arial" w:cs="Arial"/>
                <w:sz w:val="20"/>
                <w:szCs w:val="20"/>
              </w:rPr>
            </w:pPr>
            <w:r w:rsidRPr="00F55EEB">
              <w:rPr>
                <w:rFonts w:ascii="Arial" w:hAnsi="Arial" w:cs="Arial"/>
                <w:sz w:val="20"/>
                <w:szCs w:val="20"/>
              </w:rPr>
              <w:t>Investment Advisory Services</w:t>
            </w:r>
          </w:p>
        </w:tc>
      </w:tr>
      <w:tr w:rsidR="00826CBA" w:rsidRPr="00F55EEB" w:rsidTr="00F55EEB">
        <w:trPr>
          <w:trHeight w:val="230"/>
        </w:trPr>
        <w:tc>
          <w:tcPr>
            <w:tcW w:w="1280" w:type="pct"/>
            <w:vMerge/>
          </w:tcPr>
          <w:p w:rsidR="00826CBA" w:rsidRPr="00F55EEB" w:rsidRDefault="00826CBA" w:rsidP="001C60C9">
            <w:pPr>
              <w:rPr>
                <w:rFonts w:ascii="Arial" w:hAnsi="Arial" w:cs="Arial"/>
                <w:sz w:val="20"/>
                <w:szCs w:val="20"/>
              </w:rPr>
            </w:pPr>
          </w:p>
        </w:tc>
        <w:tc>
          <w:tcPr>
            <w:tcW w:w="1220" w:type="pct"/>
          </w:tcPr>
          <w:p w:rsidR="00826CBA" w:rsidRPr="00F55EEB" w:rsidRDefault="00826CBA" w:rsidP="001C60C9">
            <w:pPr>
              <w:rPr>
                <w:rFonts w:ascii="Arial" w:hAnsi="Arial" w:cs="Arial"/>
                <w:sz w:val="20"/>
                <w:szCs w:val="20"/>
              </w:rPr>
            </w:pPr>
            <w:r w:rsidRPr="00F55EEB">
              <w:rPr>
                <w:rFonts w:ascii="Arial" w:hAnsi="Arial" w:cs="Arial"/>
                <w:sz w:val="20"/>
                <w:szCs w:val="20"/>
              </w:rPr>
              <w:t>Client Communication</w:t>
            </w:r>
          </w:p>
        </w:tc>
        <w:tc>
          <w:tcPr>
            <w:tcW w:w="2500" w:type="pct"/>
            <w:shd w:val="clear" w:color="auto" w:fill="auto"/>
          </w:tcPr>
          <w:p w:rsidR="00826CBA" w:rsidRPr="00F55EEB" w:rsidRDefault="00826CBA" w:rsidP="00F55EEB">
            <w:pPr>
              <w:numPr>
                <w:ilvl w:val="0"/>
                <w:numId w:val="91"/>
              </w:numPr>
              <w:rPr>
                <w:rFonts w:ascii="Arial" w:hAnsi="Arial" w:cs="Arial"/>
                <w:sz w:val="20"/>
                <w:szCs w:val="20"/>
              </w:rPr>
            </w:pPr>
            <w:r w:rsidRPr="00F55EEB">
              <w:rPr>
                <w:rFonts w:ascii="Arial" w:hAnsi="Arial" w:cs="Arial"/>
                <w:sz w:val="20"/>
                <w:szCs w:val="20"/>
              </w:rPr>
              <w:t>Client Reports Dissemination</w:t>
            </w:r>
          </w:p>
          <w:p w:rsidR="00826CBA" w:rsidRPr="00F55EEB" w:rsidRDefault="00826CBA" w:rsidP="00F55EEB">
            <w:pPr>
              <w:numPr>
                <w:ilvl w:val="0"/>
                <w:numId w:val="91"/>
              </w:numPr>
              <w:rPr>
                <w:rFonts w:ascii="Arial" w:hAnsi="Arial" w:cs="Arial"/>
                <w:sz w:val="20"/>
                <w:szCs w:val="20"/>
              </w:rPr>
            </w:pPr>
            <w:r w:rsidRPr="00F55EEB">
              <w:rPr>
                <w:rFonts w:ascii="Arial" w:hAnsi="Arial" w:cs="Arial"/>
                <w:sz w:val="20"/>
                <w:szCs w:val="20"/>
              </w:rPr>
              <w:t>Update news and market data</w:t>
            </w:r>
          </w:p>
        </w:tc>
      </w:tr>
      <w:tr w:rsidR="000C0204" w:rsidRPr="00F55EEB" w:rsidTr="00F55EEB">
        <w:trPr>
          <w:trHeight w:val="231"/>
        </w:trPr>
        <w:tc>
          <w:tcPr>
            <w:tcW w:w="1280" w:type="pct"/>
            <w:vMerge w:val="restart"/>
          </w:tcPr>
          <w:p w:rsidR="000C0204" w:rsidRPr="00F55EEB" w:rsidRDefault="000C0204" w:rsidP="001C60C9">
            <w:pPr>
              <w:rPr>
                <w:rFonts w:ascii="Arial" w:hAnsi="Arial" w:cs="Arial"/>
                <w:sz w:val="20"/>
                <w:szCs w:val="20"/>
              </w:rPr>
            </w:pPr>
            <w:r w:rsidRPr="00F55EEB">
              <w:rPr>
                <w:rFonts w:ascii="Arial" w:hAnsi="Arial" w:cs="Arial"/>
                <w:sz w:val="20"/>
                <w:szCs w:val="20"/>
              </w:rPr>
              <w:t>Portfolio Management</w:t>
            </w:r>
          </w:p>
        </w:tc>
        <w:tc>
          <w:tcPr>
            <w:tcW w:w="1220" w:type="pct"/>
          </w:tcPr>
          <w:p w:rsidR="000C0204" w:rsidRPr="00F55EEB" w:rsidRDefault="000C0204" w:rsidP="000C0204">
            <w:pPr>
              <w:rPr>
                <w:rFonts w:ascii="Arial" w:hAnsi="Arial" w:cs="Arial"/>
                <w:sz w:val="20"/>
                <w:szCs w:val="20"/>
              </w:rPr>
            </w:pPr>
            <w:r w:rsidRPr="00F55EEB">
              <w:rPr>
                <w:rFonts w:ascii="Arial" w:hAnsi="Arial" w:cs="Arial"/>
                <w:sz w:val="20"/>
                <w:szCs w:val="20"/>
              </w:rPr>
              <w:t>Investment Analysis</w:t>
            </w:r>
          </w:p>
        </w:tc>
        <w:tc>
          <w:tcPr>
            <w:tcW w:w="2500" w:type="pct"/>
            <w:shd w:val="clear" w:color="auto" w:fill="auto"/>
          </w:tcPr>
          <w:p w:rsidR="000C0204" w:rsidRPr="00F55EEB" w:rsidRDefault="000C0204" w:rsidP="00F55EEB">
            <w:pPr>
              <w:numPr>
                <w:ilvl w:val="0"/>
                <w:numId w:val="90"/>
              </w:numPr>
              <w:rPr>
                <w:rFonts w:ascii="Arial" w:hAnsi="Arial" w:cs="Arial"/>
                <w:sz w:val="20"/>
                <w:szCs w:val="20"/>
              </w:rPr>
            </w:pPr>
            <w:r w:rsidRPr="00F55EEB">
              <w:rPr>
                <w:rFonts w:ascii="Arial" w:hAnsi="Arial" w:cs="Arial"/>
                <w:sz w:val="20"/>
                <w:szCs w:val="20"/>
              </w:rPr>
              <w:t>Market Analysis</w:t>
            </w:r>
          </w:p>
          <w:p w:rsidR="000C0204" w:rsidRPr="00F55EEB" w:rsidRDefault="000C0204" w:rsidP="00F55EEB">
            <w:pPr>
              <w:numPr>
                <w:ilvl w:val="0"/>
                <w:numId w:val="90"/>
              </w:numPr>
              <w:rPr>
                <w:rFonts w:ascii="Arial" w:hAnsi="Arial" w:cs="Arial"/>
                <w:sz w:val="20"/>
                <w:szCs w:val="20"/>
              </w:rPr>
            </w:pPr>
            <w:r w:rsidRPr="00F55EEB">
              <w:rPr>
                <w:rFonts w:ascii="Arial" w:hAnsi="Arial" w:cs="Arial"/>
                <w:sz w:val="20"/>
                <w:szCs w:val="20"/>
              </w:rPr>
              <w:t>Asset / sector analysis</w:t>
            </w:r>
          </w:p>
          <w:p w:rsidR="000C0204" w:rsidRPr="00F55EEB" w:rsidRDefault="000C0204" w:rsidP="00F55EEB">
            <w:pPr>
              <w:numPr>
                <w:ilvl w:val="0"/>
                <w:numId w:val="90"/>
              </w:numPr>
              <w:rPr>
                <w:rFonts w:ascii="Arial" w:hAnsi="Arial" w:cs="Arial"/>
                <w:sz w:val="20"/>
                <w:szCs w:val="20"/>
              </w:rPr>
            </w:pPr>
            <w:r w:rsidRPr="00F55EEB">
              <w:rPr>
                <w:rFonts w:ascii="Arial" w:hAnsi="Arial" w:cs="Arial"/>
                <w:sz w:val="20"/>
                <w:szCs w:val="20"/>
              </w:rPr>
              <w:t>Running quantitative models</w:t>
            </w:r>
          </w:p>
        </w:tc>
      </w:tr>
      <w:tr w:rsidR="000C0204" w:rsidRPr="00F55EEB" w:rsidTr="00F55EEB">
        <w:trPr>
          <w:trHeight w:val="228"/>
        </w:trPr>
        <w:tc>
          <w:tcPr>
            <w:tcW w:w="1280" w:type="pct"/>
            <w:vMerge/>
          </w:tcPr>
          <w:p w:rsidR="000C0204" w:rsidRPr="00F55EEB" w:rsidRDefault="000C0204" w:rsidP="001C60C9">
            <w:pPr>
              <w:rPr>
                <w:rFonts w:ascii="Arial" w:hAnsi="Arial" w:cs="Arial"/>
                <w:sz w:val="20"/>
                <w:szCs w:val="20"/>
              </w:rPr>
            </w:pPr>
          </w:p>
        </w:tc>
        <w:tc>
          <w:tcPr>
            <w:tcW w:w="1220" w:type="pct"/>
          </w:tcPr>
          <w:p w:rsidR="000C0204" w:rsidRPr="00F55EEB" w:rsidRDefault="000C0204" w:rsidP="001C60C9">
            <w:pPr>
              <w:rPr>
                <w:rFonts w:ascii="Arial" w:hAnsi="Arial" w:cs="Arial"/>
                <w:sz w:val="20"/>
                <w:szCs w:val="20"/>
              </w:rPr>
            </w:pPr>
            <w:r w:rsidRPr="00F55EEB">
              <w:rPr>
                <w:rFonts w:ascii="Arial" w:hAnsi="Arial" w:cs="Arial"/>
                <w:sz w:val="20"/>
                <w:szCs w:val="20"/>
              </w:rPr>
              <w:t>Strategy &amp; Product Creation</w:t>
            </w:r>
          </w:p>
        </w:tc>
        <w:tc>
          <w:tcPr>
            <w:tcW w:w="2500" w:type="pct"/>
            <w:shd w:val="clear" w:color="auto" w:fill="auto"/>
          </w:tcPr>
          <w:p w:rsidR="000C0204" w:rsidRPr="00F55EEB" w:rsidRDefault="000C0204" w:rsidP="00F55EEB">
            <w:pPr>
              <w:numPr>
                <w:ilvl w:val="0"/>
                <w:numId w:val="89"/>
              </w:numPr>
              <w:rPr>
                <w:rFonts w:ascii="Arial" w:hAnsi="Arial" w:cs="Arial"/>
                <w:sz w:val="20"/>
                <w:szCs w:val="20"/>
              </w:rPr>
            </w:pPr>
            <w:r w:rsidRPr="00F55EEB">
              <w:rPr>
                <w:rFonts w:ascii="Arial" w:hAnsi="Arial" w:cs="Arial"/>
                <w:sz w:val="20"/>
                <w:szCs w:val="20"/>
              </w:rPr>
              <w:t>Model Portfolio creation/maintenance</w:t>
            </w:r>
          </w:p>
          <w:p w:rsidR="000C0204" w:rsidRPr="00F55EEB" w:rsidRDefault="000C0204" w:rsidP="00F55EEB">
            <w:pPr>
              <w:numPr>
                <w:ilvl w:val="0"/>
                <w:numId w:val="89"/>
              </w:numPr>
              <w:rPr>
                <w:rFonts w:ascii="Arial" w:hAnsi="Arial" w:cs="Arial"/>
                <w:sz w:val="20"/>
                <w:szCs w:val="20"/>
              </w:rPr>
            </w:pPr>
            <w:r w:rsidRPr="00F55EEB">
              <w:rPr>
                <w:rFonts w:ascii="Arial" w:hAnsi="Arial" w:cs="Arial"/>
                <w:sz w:val="20"/>
                <w:szCs w:val="20"/>
              </w:rPr>
              <w:t>Structured Product Deal creation/maintenance</w:t>
            </w:r>
          </w:p>
          <w:p w:rsidR="000C0204" w:rsidRPr="00F55EEB" w:rsidRDefault="000C0204" w:rsidP="00F55EEB">
            <w:pPr>
              <w:numPr>
                <w:ilvl w:val="0"/>
                <w:numId w:val="89"/>
              </w:numPr>
              <w:rPr>
                <w:rFonts w:ascii="Arial" w:hAnsi="Arial" w:cs="Arial"/>
                <w:sz w:val="20"/>
                <w:szCs w:val="20"/>
              </w:rPr>
            </w:pPr>
            <w:r w:rsidRPr="00F55EEB">
              <w:rPr>
                <w:rFonts w:ascii="Arial" w:hAnsi="Arial" w:cs="Arial"/>
                <w:sz w:val="20"/>
                <w:szCs w:val="20"/>
              </w:rPr>
              <w:t>3rd party Manager Analysis/due diligence</w:t>
            </w:r>
          </w:p>
          <w:p w:rsidR="000C0204" w:rsidRPr="00F55EEB" w:rsidRDefault="000C0204" w:rsidP="00F55EEB">
            <w:pPr>
              <w:numPr>
                <w:ilvl w:val="0"/>
                <w:numId w:val="89"/>
              </w:numPr>
              <w:rPr>
                <w:rFonts w:ascii="Arial" w:hAnsi="Arial" w:cs="Arial"/>
                <w:sz w:val="20"/>
                <w:szCs w:val="20"/>
              </w:rPr>
            </w:pPr>
            <w:r w:rsidRPr="00F55EEB">
              <w:rPr>
                <w:rFonts w:ascii="Arial" w:hAnsi="Arial" w:cs="Arial"/>
                <w:sz w:val="20"/>
                <w:szCs w:val="20"/>
              </w:rPr>
              <w:t>Private Investments (PE and Hedge Funds)</w:t>
            </w:r>
          </w:p>
        </w:tc>
      </w:tr>
      <w:tr w:rsidR="000C0204" w:rsidRPr="00F55EEB" w:rsidTr="00F55EEB">
        <w:trPr>
          <w:trHeight w:val="228"/>
        </w:trPr>
        <w:tc>
          <w:tcPr>
            <w:tcW w:w="1280" w:type="pct"/>
            <w:vMerge/>
          </w:tcPr>
          <w:p w:rsidR="000C0204" w:rsidRPr="00F55EEB" w:rsidRDefault="000C0204" w:rsidP="001C60C9">
            <w:pPr>
              <w:rPr>
                <w:rFonts w:ascii="Arial" w:hAnsi="Arial" w:cs="Arial"/>
                <w:sz w:val="20"/>
                <w:szCs w:val="20"/>
              </w:rPr>
            </w:pPr>
          </w:p>
        </w:tc>
        <w:tc>
          <w:tcPr>
            <w:tcW w:w="1220" w:type="pct"/>
          </w:tcPr>
          <w:p w:rsidR="000C0204" w:rsidRPr="00F55EEB" w:rsidRDefault="000C0204" w:rsidP="001C60C9">
            <w:pPr>
              <w:rPr>
                <w:rFonts w:ascii="Arial" w:hAnsi="Arial" w:cs="Arial"/>
                <w:sz w:val="20"/>
                <w:szCs w:val="20"/>
              </w:rPr>
            </w:pPr>
            <w:r w:rsidRPr="00F55EEB">
              <w:rPr>
                <w:rFonts w:ascii="Arial" w:hAnsi="Arial" w:cs="Arial"/>
                <w:sz w:val="20"/>
                <w:szCs w:val="20"/>
              </w:rPr>
              <w:t>Investment Planning</w:t>
            </w:r>
          </w:p>
        </w:tc>
        <w:tc>
          <w:tcPr>
            <w:tcW w:w="2500" w:type="pct"/>
            <w:shd w:val="clear" w:color="auto" w:fill="auto"/>
          </w:tcPr>
          <w:p w:rsidR="000C0204" w:rsidRPr="00F55EEB" w:rsidRDefault="000C0204" w:rsidP="00F55EEB">
            <w:pPr>
              <w:numPr>
                <w:ilvl w:val="0"/>
                <w:numId w:val="88"/>
              </w:numPr>
              <w:rPr>
                <w:rFonts w:ascii="Arial" w:hAnsi="Arial" w:cs="Arial"/>
                <w:sz w:val="20"/>
                <w:szCs w:val="20"/>
              </w:rPr>
            </w:pPr>
            <w:r w:rsidRPr="00F55EEB">
              <w:rPr>
                <w:rFonts w:ascii="Arial" w:hAnsi="Arial" w:cs="Arial"/>
                <w:sz w:val="20"/>
                <w:szCs w:val="20"/>
              </w:rPr>
              <w:t>Goal Planning</w:t>
            </w:r>
          </w:p>
          <w:p w:rsidR="000C0204" w:rsidRPr="00F55EEB" w:rsidRDefault="000C0204" w:rsidP="00F55EEB">
            <w:pPr>
              <w:numPr>
                <w:ilvl w:val="0"/>
                <w:numId w:val="88"/>
              </w:numPr>
              <w:rPr>
                <w:rFonts w:ascii="Arial" w:hAnsi="Arial" w:cs="Arial"/>
                <w:sz w:val="20"/>
                <w:szCs w:val="20"/>
              </w:rPr>
            </w:pPr>
            <w:r w:rsidRPr="00F55EEB">
              <w:rPr>
                <w:rFonts w:ascii="Arial" w:hAnsi="Arial" w:cs="Arial"/>
                <w:sz w:val="20"/>
                <w:szCs w:val="20"/>
              </w:rPr>
              <w:t>Needs Analysis</w:t>
            </w:r>
          </w:p>
        </w:tc>
      </w:tr>
      <w:tr w:rsidR="000C0204" w:rsidRPr="00F55EEB" w:rsidTr="00F55EEB">
        <w:trPr>
          <w:trHeight w:val="228"/>
        </w:trPr>
        <w:tc>
          <w:tcPr>
            <w:tcW w:w="1280" w:type="pct"/>
            <w:vMerge/>
          </w:tcPr>
          <w:p w:rsidR="000C0204" w:rsidRPr="00F55EEB" w:rsidRDefault="000C0204" w:rsidP="001C60C9">
            <w:pPr>
              <w:rPr>
                <w:rFonts w:ascii="Arial" w:hAnsi="Arial" w:cs="Arial"/>
                <w:sz w:val="20"/>
                <w:szCs w:val="20"/>
              </w:rPr>
            </w:pPr>
          </w:p>
        </w:tc>
        <w:tc>
          <w:tcPr>
            <w:tcW w:w="1220" w:type="pct"/>
          </w:tcPr>
          <w:p w:rsidR="000C0204" w:rsidRPr="00F55EEB" w:rsidRDefault="000C0204" w:rsidP="001C60C9">
            <w:pPr>
              <w:rPr>
                <w:rFonts w:ascii="Arial" w:hAnsi="Arial" w:cs="Arial"/>
                <w:sz w:val="20"/>
                <w:szCs w:val="20"/>
              </w:rPr>
            </w:pPr>
            <w:r w:rsidRPr="00F55EEB">
              <w:rPr>
                <w:rFonts w:ascii="Arial" w:hAnsi="Arial" w:cs="Arial"/>
                <w:sz w:val="20"/>
                <w:szCs w:val="20"/>
              </w:rPr>
              <w:t>Asset Allocation</w:t>
            </w:r>
          </w:p>
        </w:tc>
        <w:tc>
          <w:tcPr>
            <w:tcW w:w="2500" w:type="pct"/>
            <w:shd w:val="clear" w:color="auto" w:fill="auto"/>
          </w:tcPr>
          <w:p w:rsidR="00FA19A5" w:rsidRPr="00F55EEB" w:rsidRDefault="00FA19A5" w:rsidP="00F55EEB">
            <w:pPr>
              <w:numPr>
                <w:ilvl w:val="0"/>
                <w:numId w:val="87"/>
              </w:numPr>
              <w:rPr>
                <w:rFonts w:ascii="Arial" w:hAnsi="Arial" w:cs="Arial"/>
                <w:sz w:val="20"/>
                <w:szCs w:val="20"/>
              </w:rPr>
            </w:pPr>
            <w:r w:rsidRPr="00F55EEB">
              <w:rPr>
                <w:rFonts w:ascii="Arial" w:hAnsi="Arial" w:cs="Arial"/>
                <w:sz w:val="20"/>
                <w:szCs w:val="20"/>
              </w:rPr>
              <w:t>Product selection</w:t>
            </w:r>
          </w:p>
          <w:p w:rsidR="00FA19A5" w:rsidRPr="00F55EEB" w:rsidRDefault="00FA19A5" w:rsidP="00F55EEB">
            <w:pPr>
              <w:numPr>
                <w:ilvl w:val="0"/>
                <w:numId w:val="87"/>
              </w:numPr>
              <w:rPr>
                <w:rFonts w:ascii="Arial" w:hAnsi="Arial" w:cs="Arial"/>
                <w:sz w:val="20"/>
                <w:szCs w:val="20"/>
              </w:rPr>
            </w:pPr>
            <w:r w:rsidRPr="00F55EEB">
              <w:rPr>
                <w:rFonts w:ascii="Arial" w:hAnsi="Arial" w:cs="Arial"/>
                <w:sz w:val="20"/>
                <w:szCs w:val="20"/>
              </w:rPr>
              <w:t>Asset Classes selection</w:t>
            </w:r>
          </w:p>
          <w:p w:rsidR="00FA19A5" w:rsidRPr="00F55EEB" w:rsidRDefault="00FA19A5" w:rsidP="00F55EEB">
            <w:pPr>
              <w:numPr>
                <w:ilvl w:val="0"/>
                <w:numId w:val="87"/>
              </w:numPr>
              <w:rPr>
                <w:rFonts w:ascii="Arial" w:hAnsi="Arial" w:cs="Arial"/>
                <w:sz w:val="20"/>
                <w:szCs w:val="20"/>
              </w:rPr>
            </w:pPr>
            <w:r w:rsidRPr="00F55EEB">
              <w:rPr>
                <w:rFonts w:ascii="Arial" w:hAnsi="Arial" w:cs="Arial"/>
                <w:sz w:val="20"/>
                <w:szCs w:val="20"/>
              </w:rPr>
              <w:t>Portfolio Construction</w:t>
            </w:r>
          </w:p>
          <w:p w:rsidR="00FA19A5" w:rsidRPr="00F55EEB" w:rsidRDefault="00FA19A5" w:rsidP="00F55EEB">
            <w:pPr>
              <w:numPr>
                <w:ilvl w:val="0"/>
                <w:numId w:val="87"/>
              </w:numPr>
              <w:rPr>
                <w:rFonts w:ascii="Arial" w:hAnsi="Arial" w:cs="Arial"/>
                <w:sz w:val="20"/>
                <w:szCs w:val="20"/>
              </w:rPr>
            </w:pPr>
            <w:r w:rsidRPr="00F55EEB">
              <w:rPr>
                <w:rFonts w:ascii="Arial" w:hAnsi="Arial" w:cs="Arial"/>
                <w:sz w:val="20"/>
                <w:szCs w:val="20"/>
              </w:rPr>
              <w:t>Tracking variances</w:t>
            </w:r>
          </w:p>
          <w:p w:rsidR="000C0204" w:rsidRPr="00F55EEB" w:rsidRDefault="00FA19A5" w:rsidP="00F55EEB">
            <w:pPr>
              <w:numPr>
                <w:ilvl w:val="0"/>
                <w:numId w:val="87"/>
              </w:numPr>
              <w:rPr>
                <w:rFonts w:ascii="Arial" w:hAnsi="Arial" w:cs="Arial"/>
                <w:sz w:val="20"/>
                <w:szCs w:val="20"/>
              </w:rPr>
            </w:pPr>
            <w:r w:rsidRPr="00F55EEB">
              <w:rPr>
                <w:rFonts w:ascii="Arial" w:hAnsi="Arial" w:cs="Arial"/>
                <w:sz w:val="20"/>
                <w:szCs w:val="20"/>
              </w:rPr>
              <w:t>Portfolio Re-balancing</w:t>
            </w:r>
          </w:p>
        </w:tc>
      </w:tr>
      <w:tr w:rsidR="00E12A56" w:rsidRPr="00F55EEB" w:rsidTr="00F55EEB">
        <w:trPr>
          <w:trHeight w:val="155"/>
        </w:trPr>
        <w:tc>
          <w:tcPr>
            <w:tcW w:w="1280" w:type="pct"/>
            <w:vMerge w:val="restart"/>
          </w:tcPr>
          <w:p w:rsidR="00E12A56" w:rsidRPr="00F55EEB" w:rsidRDefault="00E12A56" w:rsidP="001C60C9">
            <w:pPr>
              <w:rPr>
                <w:rFonts w:ascii="Arial" w:hAnsi="Arial" w:cs="Arial"/>
                <w:sz w:val="20"/>
                <w:szCs w:val="20"/>
              </w:rPr>
            </w:pPr>
            <w:r w:rsidRPr="00F55EEB">
              <w:rPr>
                <w:rFonts w:ascii="Arial" w:hAnsi="Arial" w:cs="Arial"/>
                <w:sz w:val="20"/>
                <w:szCs w:val="20"/>
              </w:rPr>
              <w:lastRenderedPageBreak/>
              <w:t>Trade Management</w:t>
            </w:r>
          </w:p>
        </w:tc>
        <w:tc>
          <w:tcPr>
            <w:tcW w:w="1220" w:type="pct"/>
          </w:tcPr>
          <w:p w:rsidR="00E12A56" w:rsidRPr="00F55EEB" w:rsidRDefault="00E12A56" w:rsidP="001C60C9">
            <w:pPr>
              <w:rPr>
                <w:rFonts w:ascii="Arial" w:hAnsi="Arial" w:cs="Arial"/>
                <w:sz w:val="20"/>
                <w:szCs w:val="20"/>
              </w:rPr>
            </w:pPr>
            <w:r w:rsidRPr="00F55EEB">
              <w:rPr>
                <w:rFonts w:ascii="Arial" w:hAnsi="Arial" w:cs="Arial"/>
                <w:sz w:val="20"/>
                <w:szCs w:val="20"/>
              </w:rPr>
              <w:t>Trade Authorization</w:t>
            </w:r>
          </w:p>
        </w:tc>
        <w:tc>
          <w:tcPr>
            <w:tcW w:w="2500" w:type="pct"/>
            <w:shd w:val="clear" w:color="auto" w:fill="auto"/>
          </w:tcPr>
          <w:p w:rsidR="00E12A56" w:rsidRPr="00F55EEB" w:rsidRDefault="00E12A56" w:rsidP="00F55EEB">
            <w:pPr>
              <w:numPr>
                <w:ilvl w:val="0"/>
                <w:numId w:val="86"/>
              </w:numPr>
              <w:rPr>
                <w:rFonts w:ascii="Arial" w:hAnsi="Arial" w:cs="Arial"/>
                <w:sz w:val="20"/>
                <w:szCs w:val="20"/>
              </w:rPr>
            </w:pPr>
            <w:r w:rsidRPr="00F55EEB">
              <w:rPr>
                <w:rFonts w:ascii="Arial" w:hAnsi="Arial" w:cs="Arial"/>
                <w:sz w:val="20"/>
                <w:szCs w:val="20"/>
              </w:rPr>
              <w:t>Order generation and execution</w:t>
            </w:r>
          </w:p>
          <w:p w:rsidR="00E12A56" w:rsidRPr="00F55EEB" w:rsidRDefault="00E12A56" w:rsidP="00F55EEB">
            <w:pPr>
              <w:numPr>
                <w:ilvl w:val="0"/>
                <w:numId w:val="86"/>
              </w:numPr>
              <w:rPr>
                <w:rFonts w:ascii="Arial" w:hAnsi="Arial" w:cs="Arial"/>
                <w:sz w:val="20"/>
                <w:szCs w:val="20"/>
              </w:rPr>
            </w:pPr>
            <w:r w:rsidRPr="00F55EEB">
              <w:rPr>
                <w:rFonts w:ascii="Arial" w:hAnsi="Arial" w:cs="Arial"/>
                <w:sz w:val="20"/>
                <w:szCs w:val="20"/>
              </w:rPr>
              <w:t>Trade matching</w:t>
            </w:r>
          </w:p>
          <w:p w:rsidR="00E12A56" w:rsidRPr="00F55EEB" w:rsidRDefault="00E12A56" w:rsidP="00F55EEB">
            <w:pPr>
              <w:numPr>
                <w:ilvl w:val="0"/>
                <w:numId w:val="86"/>
              </w:numPr>
              <w:rPr>
                <w:rFonts w:ascii="Arial" w:hAnsi="Arial" w:cs="Arial"/>
                <w:sz w:val="20"/>
                <w:szCs w:val="20"/>
              </w:rPr>
            </w:pPr>
            <w:r w:rsidRPr="00F55EEB">
              <w:rPr>
                <w:rFonts w:ascii="Arial" w:hAnsi="Arial" w:cs="Arial"/>
                <w:sz w:val="20"/>
                <w:szCs w:val="20"/>
              </w:rPr>
              <w:t>Trade Allocation</w:t>
            </w:r>
          </w:p>
        </w:tc>
      </w:tr>
      <w:tr w:rsidR="00E12A56" w:rsidRPr="00F55EEB" w:rsidTr="00F55EEB">
        <w:trPr>
          <w:trHeight w:val="155"/>
        </w:trPr>
        <w:tc>
          <w:tcPr>
            <w:tcW w:w="1280" w:type="pct"/>
            <w:vMerge/>
          </w:tcPr>
          <w:p w:rsidR="00E12A56" w:rsidRPr="00F55EEB" w:rsidRDefault="00E12A56" w:rsidP="001C60C9">
            <w:pPr>
              <w:rPr>
                <w:rFonts w:ascii="Arial" w:hAnsi="Arial" w:cs="Arial"/>
                <w:sz w:val="20"/>
                <w:szCs w:val="20"/>
              </w:rPr>
            </w:pPr>
          </w:p>
        </w:tc>
        <w:tc>
          <w:tcPr>
            <w:tcW w:w="1220" w:type="pct"/>
          </w:tcPr>
          <w:p w:rsidR="00E12A56" w:rsidRPr="00F55EEB" w:rsidRDefault="00E12A56" w:rsidP="001C60C9">
            <w:pPr>
              <w:rPr>
                <w:rFonts w:ascii="Arial" w:hAnsi="Arial" w:cs="Arial"/>
                <w:sz w:val="20"/>
                <w:szCs w:val="20"/>
              </w:rPr>
            </w:pPr>
            <w:r w:rsidRPr="00F55EEB">
              <w:rPr>
                <w:rFonts w:ascii="Arial" w:hAnsi="Arial" w:cs="Arial"/>
                <w:sz w:val="20"/>
                <w:szCs w:val="20"/>
              </w:rPr>
              <w:t>Trade Execution</w:t>
            </w:r>
          </w:p>
        </w:tc>
        <w:tc>
          <w:tcPr>
            <w:tcW w:w="2500" w:type="pct"/>
            <w:shd w:val="clear" w:color="auto" w:fill="auto"/>
          </w:tcPr>
          <w:p w:rsidR="00E12A56" w:rsidRPr="00F55EEB" w:rsidRDefault="00E12A56" w:rsidP="00F55EEB">
            <w:pPr>
              <w:numPr>
                <w:ilvl w:val="0"/>
                <w:numId w:val="85"/>
              </w:numPr>
              <w:rPr>
                <w:rFonts w:ascii="Arial" w:hAnsi="Arial" w:cs="Arial"/>
                <w:sz w:val="20"/>
                <w:szCs w:val="20"/>
              </w:rPr>
            </w:pPr>
            <w:r w:rsidRPr="00F55EEB">
              <w:rPr>
                <w:rFonts w:ascii="Arial" w:hAnsi="Arial" w:cs="Arial"/>
                <w:sz w:val="20"/>
                <w:szCs w:val="20"/>
              </w:rPr>
              <w:t>Record keeping</w:t>
            </w:r>
          </w:p>
          <w:p w:rsidR="00E12A56" w:rsidRPr="00F55EEB" w:rsidRDefault="00E12A56" w:rsidP="00F55EEB">
            <w:pPr>
              <w:numPr>
                <w:ilvl w:val="0"/>
                <w:numId w:val="85"/>
              </w:numPr>
              <w:rPr>
                <w:rFonts w:ascii="Arial" w:hAnsi="Arial" w:cs="Arial"/>
                <w:sz w:val="20"/>
                <w:szCs w:val="20"/>
              </w:rPr>
            </w:pPr>
            <w:r w:rsidRPr="00F55EEB">
              <w:rPr>
                <w:rFonts w:ascii="Arial" w:hAnsi="Arial" w:cs="Arial"/>
                <w:sz w:val="20"/>
                <w:szCs w:val="20"/>
              </w:rPr>
              <w:t>Securities Position and Cash Maintenance</w:t>
            </w:r>
          </w:p>
        </w:tc>
      </w:tr>
      <w:tr w:rsidR="00E12A56" w:rsidRPr="00F55EEB" w:rsidTr="00F55EEB">
        <w:trPr>
          <w:trHeight w:val="155"/>
        </w:trPr>
        <w:tc>
          <w:tcPr>
            <w:tcW w:w="1280" w:type="pct"/>
            <w:vMerge/>
          </w:tcPr>
          <w:p w:rsidR="00E12A56" w:rsidRPr="00F55EEB" w:rsidRDefault="00E12A56" w:rsidP="001C60C9">
            <w:pPr>
              <w:rPr>
                <w:rFonts w:ascii="Arial" w:hAnsi="Arial" w:cs="Arial"/>
                <w:sz w:val="20"/>
                <w:szCs w:val="20"/>
              </w:rPr>
            </w:pPr>
          </w:p>
        </w:tc>
        <w:tc>
          <w:tcPr>
            <w:tcW w:w="1220" w:type="pct"/>
          </w:tcPr>
          <w:p w:rsidR="00E12A56" w:rsidRPr="00F55EEB" w:rsidRDefault="00E12A56" w:rsidP="001C60C9">
            <w:pPr>
              <w:rPr>
                <w:rFonts w:ascii="Arial" w:hAnsi="Arial" w:cs="Arial"/>
                <w:sz w:val="20"/>
                <w:szCs w:val="20"/>
              </w:rPr>
            </w:pPr>
            <w:r w:rsidRPr="00F55EEB">
              <w:rPr>
                <w:rFonts w:ascii="Arial" w:hAnsi="Arial" w:cs="Arial"/>
                <w:sz w:val="20"/>
                <w:szCs w:val="20"/>
              </w:rPr>
              <w:t>Trade Confirmation, Communication &amp; Settlement</w:t>
            </w:r>
          </w:p>
        </w:tc>
        <w:tc>
          <w:tcPr>
            <w:tcW w:w="2500" w:type="pct"/>
            <w:shd w:val="clear" w:color="auto" w:fill="auto"/>
          </w:tcPr>
          <w:p w:rsidR="00E12A56" w:rsidRPr="00F55EEB" w:rsidRDefault="00E12A56" w:rsidP="00F55EEB">
            <w:pPr>
              <w:numPr>
                <w:ilvl w:val="0"/>
                <w:numId w:val="84"/>
              </w:numPr>
              <w:rPr>
                <w:rFonts w:ascii="Arial" w:hAnsi="Arial" w:cs="Arial"/>
                <w:sz w:val="20"/>
                <w:szCs w:val="20"/>
              </w:rPr>
            </w:pPr>
            <w:r w:rsidRPr="00F55EEB">
              <w:rPr>
                <w:rFonts w:ascii="Arial" w:hAnsi="Arial" w:cs="Arial"/>
                <w:sz w:val="20"/>
                <w:szCs w:val="20"/>
              </w:rPr>
              <w:t>Liaison with clearing house and custodian</w:t>
            </w:r>
          </w:p>
          <w:p w:rsidR="00E12A56" w:rsidRPr="00F55EEB" w:rsidRDefault="00E12A56" w:rsidP="00F55EEB">
            <w:pPr>
              <w:numPr>
                <w:ilvl w:val="0"/>
                <w:numId w:val="84"/>
              </w:numPr>
              <w:rPr>
                <w:rFonts w:ascii="Arial" w:hAnsi="Arial" w:cs="Arial"/>
                <w:sz w:val="20"/>
                <w:szCs w:val="20"/>
              </w:rPr>
            </w:pPr>
            <w:r w:rsidRPr="00F55EEB">
              <w:rPr>
                <w:rFonts w:ascii="Arial" w:hAnsi="Arial" w:cs="Arial"/>
                <w:sz w:val="20"/>
                <w:szCs w:val="20"/>
              </w:rPr>
              <w:t>Clearing trades</w:t>
            </w:r>
          </w:p>
          <w:p w:rsidR="00E12A56" w:rsidRPr="00F55EEB" w:rsidRDefault="00E12A56" w:rsidP="00F55EEB">
            <w:pPr>
              <w:numPr>
                <w:ilvl w:val="0"/>
                <w:numId w:val="84"/>
              </w:numPr>
              <w:rPr>
                <w:rFonts w:ascii="Arial" w:hAnsi="Arial" w:cs="Arial"/>
                <w:sz w:val="20"/>
                <w:szCs w:val="20"/>
              </w:rPr>
            </w:pPr>
            <w:r w:rsidRPr="00F55EEB">
              <w:rPr>
                <w:rFonts w:ascii="Arial" w:hAnsi="Arial" w:cs="Arial"/>
                <w:sz w:val="20"/>
                <w:szCs w:val="20"/>
              </w:rPr>
              <w:t>Settling trades</w:t>
            </w:r>
          </w:p>
          <w:p w:rsidR="00E12A56" w:rsidRPr="00F55EEB" w:rsidRDefault="00E12A56" w:rsidP="00F55EEB">
            <w:pPr>
              <w:numPr>
                <w:ilvl w:val="0"/>
                <w:numId w:val="84"/>
              </w:numPr>
              <w:rPr>
                <w:rFonts w:ascii="Arial" w:hAnsi="Arial" w:cs="Arial"/>
                <w:sz w:val="20"/>
                <w:szCs w:val="20"/>
              </w:rPr>
            </w:pPr>
            <w:r w:rsidRPr="00F55EEB">
              <w:rPr>
                <w:rFonts w:ascii="Arial" w:hAnsi="Arial" w:cs="Arial"/>
                <w:sz w:val="20"/>
                <w:szCs w:val="20"/>
              </w:rPr>
              <w:t>Securities and Cash Pay-in/Pay-out</w:t>
            </w:r>
          </w:p>
        </w:tc>
      </w:tr>
    </w:tbl>
    <w:p w:rsidR="000E4D34" w:rsidRDefault="002263F1" w:rsidP="002263F1">
      <w:pPr>
        <w:pStyle w:val="Heading3"/>
        <w:keepNext w:val="0"/>
        <w:tabs>
          <w:tab w:val="clear" w:pos="6444"/>
          <w:tab w:val="num" w:pos="540"/>
        </w:tabs>
        <w:spacing w:before="120" w:after="120" w:line="240" w:lineRule="atLeast"/>
        <w:ind w:left="0" w:firstLine="0"/>
        <w:jc w:val="both"/>
      </w:pPr>
      <w:r>
        <w:t xml:space="preserve">High Level Systems </w:t>
      </w:r>
      <w:r w:rsidR="00A8670A">
        <w:t>Overview (Front</w:t>
      </w:r>
      <w:r w:rsidR="008F23BC">
        <w:t xml:space="preserve"> Office</w:t>
      </w:r>
      <w:r w:rsidR="00D556FA">
        <w:t>)</w:t>
      </w:r>
    </w:p>
    <w:p w:rsidR="00FB5939" w:rsidRPr="00107401" w:rsidRDefault="00FB5939" w:rsidP="007E132D">
      <w:pPr>
        <w:jc w:val="both"/>
        <w:rPr>
          <w:rFonts w:ascii="Arial" w:hAnsi="Arial" w:cs="Arial"/>
          <w:sz w:val="20"/>
          <w:szCs w:val="20"/>
        </w:rPr>
      </w:pPr>
      <w:r w:rsidRPr="00107401">
        <w:rPr>
          <w:rFonts w:ascii="Arial" w:hAnsi="Arial" w:cs="Arial"/>
          <w:sz w:val="20"/>
          <w:szCs w:val="20"/>
        </w:rPr>
        <w:t xml:space="preserve">Below </w:t>
      </w:r>
      <w:r>
        <w:rPr>
          <w:rFonts w:ascii="Arial" w:hAnsi="Arial" w:cs="Arial"/>
          <w:sz w:val="20"/>
          <w:szCs w:val="20"/>
        </w:rPr>
        <w:t>is the indicative list of</w:t>
      </w:r>
      <w:r w:rsidRPr="00107401">
        <w:rPr>
          <w:rFonts w:ascii="Arial" w:hAnsi="Arial" w:cs="Arial"/>
          <w:sz w:val="20"/>
          <w:szCs w:val="20"/>
        </w:rPr>
        <w:t xml:space="preserve"> key</w:t>
      </w:r>
      <w:r>
        <w:rPr>
          <w:rFonts w:ascii="Arial" w:hAnsi="Arial" w:cs="Arial"/>
          <w:sz w:val="20"/>
          <w:szCs w:val="20"/>
        </w:rPr>
        <w:t xml:space="preserve"> technology</w:t>
      </w:r>
      <w:r w:rsidRPr="00107401">
        <w:rPr>
          <w:rFonts w:ascii="Arial" w:hAnsi="Arial" w:cs="Arial"/>
          <w:sz w:val="20"/>
          <w:szCs w:val="20"/>
        </w:rPr>
        <w:t xml:space="preserve"> tasks perf</w:t>
      </w:r>
      <w:r w:rsidR="00D556FA">
        <w:rPr>
          <w:rFonts w:ascii="Arial" w:hAnsi="Arial" w:cs="Arial"/>
          <w:sz w:val="20"/>
          <w:szCs w:val="20"/>
        </w:rPr>
        <w:t>ormed by various Front</w:t>
      </w:r>
      <w:r>
        <w:rPr>
          <w:rFonts w:ascii="Arial" w:hAnsi="Arial" w:cs="Arial"/>
          <w:sz w:val="20"/>
          <w:szCs w:val="20"/>
        </w:rPr>
        <w:t xml:space="preserve"> Office systems:</w:t>
      </w:r>
    </w:p>
    <w:p w:rsidR="008F23BC" w:rsidRDefault="008F23BC" w:rsidP="008F23BC"/>
    <w:p w:rsidR="00FB5939" w:rsidRDefault="00370EE3" w:rsidP="00370EE3">
      <w:pPr>
        <w:pStyle w:val="Heading4"/>
        <w:keepNext w:val="0"/>
        <w:spacing w:before="120" w:after="120"/>
        <w:jc w:val="both"/>
      </w:pPr>
      <w:r>
        <w:t>CRM</w:t>
      </w:r>
    </w:p>
    <w:p w:rsidR="00787236" w:rsidRPr="00787236" w:rsidRDefault="00787236" w:rsidP="007E132D">
      <w:pPr>
        <w:jc w:val="both"/>
      </w:pPr>
      <w:r w:rsidRPr="00F00062">
        <w:rPr>
          <w:rFonts w:ascii="Arial" w:hAnsi="Arial" w:cs="Arial"/>
          <w:sz w:val="20"/>
          <w:szCs w:val="20"/>
        </w:rPr>
        <w:t>Key feature includes</w:t>
      </w:r>
      <w:r>
        <w:rPr>
          <w:rFonts w:ascii="Arial" w:hAnsi="Arial" w:cs="Arial"/>
          <w:sz w:val="20"/>
          <w:szCs w:val="20"/>
        </w:rPr>
        <w:t>:</w:t>
      </w:r>
    </w:p>
    <w:p w:rsidR="00370EE3" w:rsidRPr="00370EE3" w:rsidRDefault="00370EE3" w:rsidP="007E132D">
      <w:pPr>
        <w:numPr>
          <w:ilvl w:val="1"/>
          <w:numId w:val="82"/>
        </w:numPr>
        <w:jc w:val="both"/>
        <w:rPr>
          <w:rFonts w:ascii="Arial" w:hAnsi="Arial" w:cs="Arial"/>
          <w:sz w:val="20"/>
          <w:szCs w:val="20"/>
        </w:rPr>
      </w:pPr>
      <w:r w:rsidRPr="00370EE3">
        <w:rPr>
          <w:rFonts w:ascii="Arial" w:hAnsi="Arial" w:cs="Arial"/>
          <w:sz w:val="20"/>
          <w:szCs w:val="20"/>
        </w:rPr>
        <w:t>Day to day Relationship Management</w:t>
      </w:r>
    </w:p>
    <w:p w:rsidR="00370EE3" w:rsidRPr="00370EE3" w:rsidRDefault="00370EE3" w:rsidP="007E132D">
      <w:pPr>
        <w:numPr>
          <w:ilvl w:val="1"/>
          <w:numId w:val="82"/>
        </w:numPr>
        <w:jc w:val="both"/>
        <w:rPr>
          <w:rFonts w:ascii="Arial" w:hAnsi="Arial" w:cs="Arial"/>
          <w:sz w:val="20"/>
          <w:szCs w:val="20"/>
        </w:rPr>
      </w:pPr>
      <w:r w:rsidRPr="00370EE3">
        <w:rPr>
          <w:rFonts w:ascii="Arial" w:hAnsi="Arial" w:cs="Arial"/>
          <w:sz w:val="20"/>
          <w:szCs w:val="20"/>
        </w:rPr>
        <w:t>Getting information like contact information, opportunities and follow-ups</w:t>
      </w:r>
    </w:p>
    <w:p w:rsidR="00370EE3" w:rsidRPr="00370EE3" w:rsidRDefault="00370EE3" w:rsidP="007E132D">
      <w:pPr>
        <w:numPr>
          <w:ilvl w:val="1"/>
          <w:numId w:val="82"/>
        </w:numPr>
        <w:jc w:val="both"/>
        <w:rPr>
          <w:rFonts w:ascii="Arial" w:hAnsi="Arial" w:cs="Arial"/>
          <w:sz w:val="20"/>
          <w:szCs w:val="20"/>
        </w:rPr>
      </w:pPr>
      <w:r w:rsidRPr="00370EE3">
        <w:rPr>
          <w:rFonts w:ascii="Arial" w:hAnsi="Arial" w:cs="Arial"/>
          <w:sz w:val="20"/>
          <w:szCs w:val="20"/>
        </w:rPr>
        <w:t>Registering sites / accounts against whom sales data is collected</w:t>
      </w:r>
    </w:p>
    <w:p w:rsidR="00370EE3" w:rsidRDefault="00370EE3" w:rsidP="007E132D">
      <w:pPr>
        <w:numPr>
          <w:ilvl w:val="1"/>
          <w:numId w:val="82"/>
        </w:numPr>
        <w:jc w:val="both"/>
        <w:rPr>
          <w:rFonts w:ascii="Arial" w:hAnsi="Arial" w:cs="Arial"/>
          <w:sz w:val="20"/>
          <w:szCs w:val="20"/>
        </w:rPr>
      </w:pPr>
      <w:r>
        <w:rPr>
          <w:rFonts w:ascii="Arial" w:hAnsi="Arial" w:cs="Arial"/>
          <w:sz w:val="20"/>
          <w:szCs w:val="20"/>
        </w:rPr>
        <w:t xml:space="preserve">Used by </w:t>
      </w:r>
      <w:r w:rsidRPr="00370EE3">
        <w:rPr>
          <w:rFonts w:ascii="Arial" w:hAnsi="Arial" w:cs="Arial"/>
          <w:sz w:val="20"/>
          <w:szCs w:val="20"/>
        </w:rPr>
        <w:t>Sales representatives for relationships track</w:t>
      </w:r>
      <w:r>
        <w:rPr>
          <w:rFonts w:ascii="Arial" w:hAnsi="Arial" w:cs="Arial"/>
          <w:sz w:val="20"/>
          <w:szCs w:val="20"/>
        </w:rPr>
        <w:t>ing, contacts, prospecting.</w:t>
      </w:r>
    </w:p>
    <w:p w:rsidR="00F87524" w:rsidRPr="00F87524" w:rsidRDefault="00F87524" w:rsidP="007E132D">
      <w:pPr>
        <w:numPr>
          <w:ilvl w:val="1"/>
          <w:numId w:val="82"/>
        </w:numPr>
        <w:jc w:val="both"/>
        <w:rPr>
          <w:rFonts w:ascii="Arial" w:hAnsi="Arial" w:cs="Arial"/>
          <w:sz w:val="20"/>
          <w:szCs w:val="20"/>
        </w:rPr>
      </w:pPr>
      <w:r w:rsidRPr="00F87524">
        <w:rPr>
          <w:rFonts w:ascii="Arial" w:hAnsi="Arial" w:cs="Arial"/>
          <w:sz w:val="20"/>
          <w:szCs w:val="20"/>
        </w:rPr>
        <w:t>Account &amp; Portfolio Creation, Maintenance &amp; Closure</w:t>
      </w:r>
    </w:p>
    <w:p w:rsidR="00F87524" w:rsidRPr="00F87524" w:rsidRDefault="00F87524" w:rsidP="007E132D">
      <w:pPr>
        <w:numPr>
          <w:ilvl w:val="1"/>
          <w:numId w:val="82"/>
        </w:numPr>
        <w:jc w:val="both"/>
        <w:rPr>
          <w:rFonts w:ascii="Arial" w:hAnsi="Arial" w:cs="Arial"/>
          <w:sz w:val="20"/>
          <w:szCs w:val="20"/>
        </w:rPr>
      </w:pPr>
      <w:r w:rsidRPr="00F87524">
        <w:rPr>
          <w:rFonts w:ascii="Arial" w:hAnsi="Arial" w:cs="Arial"/>
          <w:sz w:val="20"/>
          <w:szCs w:val="20"/>
        </w:rPr>
        <w:t>Products Creation &amp; Maintenance</w:t>
      </w:r>
    </w:p>
    <w:p w:rsidR="00F87524" w:rsidRPr="00F87524" w:rsidRDefault="00F87524" w:rsidP="007E132D">
      <w:pPr>
        <w:numPr>
          <w:ilvl w:val="1"/>
          <w:numId w:val="82"/>
        </w:numPr>
        <w:jc w:val="both"/>
        <w:rPr>
          <w:rFonts w:ascii="Arial" w:hAnsi="Arial" w:cs="Arial"/>
          <w:sz w:val="20"/>
          <w:szCs w:val="20"/>
        </w:rPr>
      </w:pPr>
      <w:r w:rsidRPr="00F87524">
        <w:rPr>
          <w:rFonts w:ascii="Arial" w:hAnsi="Arial" w:cs="Arial"/>
          <w:sz w:val="20"/>
          <w:szCs w:val="20"/>
        </w:rPr>
        <w:t>Models &amp; Groups Creation, Maintenance &amp; Closure</w:t>
      </w:r>
    </w:p>
    <w:p w:rsidR="00F87524" w:rsidRDefault="00F87524" w:rsidP="007E132D">
      <w:pPr>
        <w:numPr>
          <w:ilvl w:val="1"/>
          <w:numId w:val="82"/>
        </w:numPr>
        <w:jc w:val="both"/>
        <w:rPr>
          <w:rFonts w:ascii="Arial" w:hAnsi="Arial" w:cs="Arial"/>
          <w:sz w:val="20"/>
          <w:szCs w:val="20"/>
        </w:rPr>
      </w:pPr>
      <w:r w:rsidRPr="00F87524">
        <w:rPr>
          <w:rFonts w:ascii="Arial" w:hAnsi="Arial" w:cs="Arial"/>
          <w:sz w:val="20"/>
          <w:szCs w:val="20"/>
        </w:rPr>
        <w:t>Clients &amp; Relationships Closure</w:t>
      </w:r>
    </w:p>
    <w:p w:rsidR="00370EE3" w:rsidRDefault="00370EE3" w:rsidP="00370EE3">
      <w:pPr>
        <w:rPr>
          <w:rFonts w:ascii="Arial" w:hAnsi="Arial" w:cs="Arial"/>
          <w:sz w:val="20"/>
          <w:szCs w:val="20"/>
        </w:rPr>
      </w:pPr>
    </w:p>
    <w:p w:rsidR="00370EE3" w:rsidRDefault="00370EE3" w:rsidP="00370EE3">
      <w:pPr>
        <w:pStyle w:val="Heading4"/>
        <w:keepNext w:val="0"/>
        <w:spacing w:before="120" w:after="120"/>
        <w:jc w:val="both"/>
      </w:pPr>
      <w:r>
        <w:t xml:space="preserve">Client </w:t>
      </w:r>
      <w:r w:rsidR="00966111">
        <w:t>Communication Utility</w:t>
      </w:r>
    </w:p>
    <w:p w:rsidR="00787236" w:rsidRPr="00787236" w:rsidRDefault="00787236" w:rsidP="005E6765">
      <w:pPr>
        <w:jc w:val="both"/>
      </w:pPr>
      <w:r w:rsidRPr="00F00062">
        <w:rPr>
          <w:rFonts w:ascii="Arial" w:hAnsi="Arial" w:cs="Arial"/>
          <w:sz w:val="20"/>
          <w:szCs w:val="20"/>
        </w:rPr>
        <w:t>Key feature includes</w:t>
      </w:r>
      <w:r>
        <w:rPr>
          <w:rFonts w:ascii="Arial" w:hAnsi="Arial" w:cs="Arial"/>
          <w:sz w:val="20"/>
          <w:szCs w:val="20"/>
        </w:rPr>
        <w:t>:</w:t>
      </w:r>
    </w:p>
    <w:p w:rsidR="00370EE3" w:rsidRPr="00370EE3" w:rsidRDefault="00370EE3" w:rsidP="005E6765">
      <w:pPr>
        <w:numPr>
          <w:ilvl w:val="1"/>
          <w:numId w:val="82"/>
        </w:numPr>
        <w:jc w:val="both"/>
        <w:rPr>
          <w:rFonts w:ascii="Arial" w:hAnsi="Arial" w:cs="Arial"/>
          <w:sz w:val="20"/>
          <w:szCs w:val="20"/>
        </w:rPr>
      </w:pPr>
      <w:r w:rsidRPr="00370EE3">
        <w:rPr>
          <w:rFonts w:ascii="Arial" w:hAnsi="Arial" w:cs="Arial"/>
          <w:sz w:val="20"/>
          <w:szCs w:val="20"/>
        </w:rPr>
        <w:t xml:space="preserve">A collection of web pages </w:t>
      </w:r>
      <w:r w:rsidR="00C54011" w:rsidRPr="00370EE3">
        <w:rPr>
          <w:rFonts w:ascii="Arial" w:hAnsi="Arial" w:cs="Arial"/>
          <w:sz w:val="20"/>
          <w:szCs w:val="20"/>
        </w:rPr>
        <w:t xml:space="preserve">hosted </w:t>
      </w:r>
      <w:r w:rsidR="00C54011">
        <w:rPr>
          <w:rFonts w:ascii="Arial" w:hAnsi="Arial" w:cs="Arial"/>
          <w:sz w:val="20"/>
          <w:szCs w:val="20"/>
        </w:rPr>
        <w:t>over</w:t>
      </w:r>
      <w:r>
        <w:rPr>
          <w:rFonts w:ascii="Arial" w:hAnsi="Arial" w:cs="Arial"/>
          <w:sz w:val="20"/>
          <w:szCs w:val="20"/>
        </w:rPr>
        <w:t xml:space="preserve"> </w:t>
      </w:r>
      <w:r w:rsidRPr="00370EE3">
        <w:rPr>
          <w:rFonts w:ascii="Arial" w:hAnsi="Arial" w:cs="Arial"/>
          <w:sz w:val="20"/>
          <w:szCs w:val="20"/>
        </w:rPr>
        <w:t>the internet website, giving</w:t>
      </w:r>
      <w:r>
        <w:rPr>
          <w:rFonts w:ascii="Arial" w:hAnsi="Arial" w:cs="Arial"/>
          <w:sz w:val="20"/>
          <w:szCs w:val="20"/>
        </w:rPr>
        <w:t xml:space="preserve"> information on various investment opportunities</w:t>
      </w:r>
      <w:r w:rsidR="00C54011">
        <w:rPr>
          <w:rFonts w:ascii="Arial" w:hAnsi="Arial" w:cs="Arial"/>
          <w:sz w:val="20"/>
          <w:szCs w:val="20"/>
        </w:rPr>
        <w:t xml:space="preserve"> available.</w:t>
      </w:r>
    </w:p>
    <w:p w:rsidR="00370EE3" w:rsidRDefault="00370EE3" w:rsidP="005E6765">
      <w:pPr>
        <w:numPr>
          <w:ilvl w:val="1"/>
          <w:numId w:val="82"/>
        </w:numPr>
        <w:jc w:val="both"/>
        <w:rPr>
          <w:rFonts w:ascii="Arial" w:hAnsi="Arial" w:cs="Arial"/>
          <w:sz w:val="20"/>
          <w:szCs w:val="20"/>
        </w:rPr>
      </w:pPr>
      <w:r>
        <w:rPr>
          <w:rFonts w:ascii="Arial" w:hAnsi="Arial" w:cs="Arial"/>
          <w:sz w:val="20"/>
          <w:szCs w:val="20"/>
        </w:rPr>
        <w:t>P</w:t>
      </w:r>
      <w:r w:rsidRPr="00370EE3">
        <w:rPr>
          <w:rFonts w:ascii="Arial" w:hAnsi="Arial" w:cs="Arial"/>
          <w:sz w:val="20"/>
          <w:szCs w:val="20"/>
        </w:rPr>
        <w:t xml:space="preserve">rovides a detailed listing of </w:t>
      </w:r>
      <w:r>
        <w:rPr>
          <w:rFonts w:ascii="Arial" w:hAnsi="Arial" w:cs="Arial"/>
          <w:sz w:val="20"/>
          <w:szCs w:val="20"/>
        </w:rPr>
        <w:t xml:space="preserve">information around </w:t>
      </w:r>
      <w:r w:rsidRPr="00370EE3">
        <w:rPr>
          <w:rFonts w:ascii="Arial" w:hAnsi="Arial" w:cs="Arial"/>
          <w:sz w:val="20"/>
          <w:szCs w:val="20"/>
        </w:rPr>
        <w:t>fund performance, composition, credit ratings and manager information.</w:t>
      </w:r>
    </w:p>
    <w:p w:rsidR="00C54011" w:rsidRPr="00C54011" w:rsidRDefault="00C54011" w:rsidP="005E6765">
      <w:pPr>
        <w:numPr>
          <w:ilvl w:val="1"/>
          <w:numId w:val="82"/>
        </w:numPr>
        <w:jc w:val="both"/>
        <w:rPr>
          <w:rFonts w:ascii="Arial" w:hAnsi="Arial" w:cs="Arial"/>
          <w:sz w:val="20"/>
          <w:szCs w:val="20"/>
        </w:rPr>
      </w:pPr>
      <w:r w:rsidRPr="00C54011">
        <w:rPr>
          <w:rFonts w:ascii="Arial" w:hAnsi="Arial" w:cs="Arial"/>
          <w:sz w:val="20"/>
          <w:szCs w:val="20"/>
        </w:rPr>
        <w:t>Is an external facing site where users are provided authorized login after they submit their details and are authorized internal</w:t>
      </w:r>
      <w:r>
        <w:rPr>
          <w:rFonts w:ascii="Arial" w:hAnsi="Arial" w:cs="Arial"/>
          <w:sz w:val="20"/>
          <w:szCs w:val="20"/>
        </w:rPr>
        <w:t>ly.</w:t>
      </w:r>
    </w:p>
    <w:p w:rsidR="00C54011" w:rsidRPr="00C54011" w:rsidRDefault="00C54011" w:rsidP="005E6765">
      <w:pPr>
        <w:numPr>
          <w:ilvl w:val="1"/>
          <w:numId w:val="82"/>
        </w:numPr>
        <w:jc w:val="both"/>
        <w:rPr>
          <w:rFonts w:ascii="Arial" w:hAnsi="Arial" w:cs="Arial"/>
          <w:sz w:val="20"/>
          <w:szCs w:val="20"/>
        </w:rPr>
      </w:pPr>
      <w:r>
        <w:rPr>
          <w:rFonts w:ascii="Arial" w:hAnsi="Arial" w:cs="Arial"/>
          <w:sz w:val="20"/>
          <w:szCs w:val="20"/>
        </w:rPr>
        <w:t xml:space="preserve">Various </w:t>
      </w:r>
      <w:r w:rsidRPr="00C54011">
        <w:rPr>
          <w:rFonts w:ascii="Arial" w:hAnsi="Arial" w:cs="Arial"/>
          <w:sz w:val="20"/>
          <w:szCs w:val="20"/>
        </w:rPr>
        <w:t xml:space="preserve">information like prices, performance etc. can be viewed by the authorized users. The users can create their </w:t>
      </w:r>
      <w:r>
        <w:rPr>
          <w:rFonts w:ascii="Arial" w:hAnsi="Arial" w:cs="Arial"/>
          <w:sz w:val="20"/>
          <w:szCs w:val="20"/>
        </w:rPr>
        <w:t xml:space="preserve">own </w:t>
      </w:r>
      <w:r w:rsidRPr="00C54011">
        <w:rPr>
          <w:rFonts w:ascii="Arial" w:hAnsi="Arial" w:cs="Arial"/>
          <w:sz w:val="20"/>
          <w:szCs w:val="20"/>
        </w:rPr>
        <w:t xml:space="preserve">portfolio by </w:t>
      </w:r>
      <w:r>
        <w:rPr>
          <w:rFonts w:ascii="Arial" w:hAnsi="Arial" w:cs="Arial"/>
          <w:sz w:val="20"/>
          <w:szCs w:val="20"/>
        </w:rPr>
        <w:t>selecting from a varied asset class.</w:t>
      </w:r>
    </w:p>
    <w:p w:rsidR="00C54011" w:rsidRPr="00C54011" w:rsidRDefault="00577C94" w:rsidP="005E6765">
      <w:pPr>
        <w:numPr>
          <w:ilvl w:val="1"/>
          <w:numId w:val="82"/>
        </w:numPr>
        <w:jc w:val="both"/>
        <w:rPr>
          <w:rFonts w:ascii="Arial" w:hAnsi="Arial" w:cs="Arial"/>
          <w:sz w:val="20"/>
          <w:szCs w:val="20"/>
        </w:rPr>
      </w:pPr>
      <w:r>
        <w:rPr>
          <w:rFonts w:ascii="Arial" w:hAnsi="Arial" w:cs="Arial"/>
          <w:sz w:val="20"/>
          <w:szCs w:val="20"/>
        </w:rPr>
        <w:t>Shows the user various positions and profit/ loss information</w:t>
      </w:r>
    </w:p>
    <w:p w:rsidR="00370EE3" w:rsidRDefault="00370EE3" w:rsidP="005E6765">
      <w:pPr>
        <w:numPr>
          <w:ilvl w:val="1"/>
          <w:numId w:val="82"/>
        </w:numPr>
        <w:jc w:val="both"/>
        <w:rPr>
          <w:rFonts w:ascii="Arial" w:hAnsi="Arial" w:cs="Arial"/>
          <w:sz w:val="20"/>
          <w:szCs w:val="20"/>
        </w:rPr>
      </w:pPr>
      <w:r>
        <w:rPr>
          <w:rFonts w:ascii="Arial" w:hAnsi="Arial" w:cs="Arial"/>
          <w:sz w:val="20"/>
          <w:szCs w:val="20"/>
        </w:rPr>
        <w:t>Access to know all account and transaction related information</w:t>
      </w:r>
    </w:p>
    <w:p w:rsidR="00966111" w:rsidRPr="00370EE3" w:rsidRDefault="00966111" w:rsidP="00966111">
      <w:pPr>
        <w:numPr>
          <w:ilvl w:val="1"/>
          <w:numId w:val="82"/>
        </w:numPr>
        <w:jc w:val="both"/>
        <w:rPr>
          <w:rFonts w:ascii="Arial" w:hAnsi="Arial" w:cs="Arial"/>
          <w:sz w:val="20"/>
          <w:szCs w:val="20"/>
        </w:rPr>
      </w:pPr>
      <w:r w:rsidRPr="00370EE3">
        <w:rPr>
          <w:rFonts w:ascii="Arial" w:hAnsi="Arial" w:cs="Arial"/>
          <w:sz w:val="20"/>
          <w:szCs w:val="20"/>
        </w:rPr>
        <w:t>Users can view their reports and account information.</w:t>
      </w:r>
    </w:p>
    <w:p w:rsidR="00966111" w:rsidRPr="00370EE3" w:rsidRDefault="00966111" w:rsidP="00966111">
      <w:pPr>
        <w:numPr>
          <w:ilvl w:val="1"/>
          <w:numId w:val="82"/>
        </w:numPr>
        <w:jc w:val="both"/>
        <w:rPr>
          <w:rFonts w:ascii="Arial" w:hAnsi="Arial" w:cs="Arial"/>
          <w:sz w:val="20"/>
          <w:szCs w:val="20"/>
        </w:rPr>
      </w:pPr>
      <w:r w:rsidRPr="00370EE3">
        <w:rPr>
          <w:rFonts w:ascii="Arial" w:hAnsi="Arial" w:cs="Arial"/>
          <w:sz w:val="20"/>
          <w:szCs w:val="20"/>
        </w:rPr>
        <w:t>To view Current, commingled, historical reports</w:t>
      </w:r>
    </w:p>
    <w:p w:rsidR="00966111" w:rsidRPr="00370EE3" w:rsidRDefault="00966111" w:rsidP="005E6765">
      <w:pPr>
        <w:numPr>
          <w:ilvl w:val="1"/>
          <w:numId w:val="82"/>
        </w:numPr>
        <w:jc w:val="both"/>
        <w:rPr>
          <w:rFonts w:ascii="Arial" w:hAnsi="Arial" w:cs="Arial"/>
          <w:sz w:val="20"/>
          <w:szCs w:val="20"/>
        </w:rPr>
      </w:pPr>
      <w:r w:rsidRPr="00370EE3">
        <w:rPr>
          <w:rFonts w:ascii="Arial" w:hAnsi="Arial" w:cs="Arial"/>
          <w:sz w:val="20"/>
          <w:szCs w:val="20"/>
        </w:rPr>
        <w:t>Provides links to resources/publications</w:t>
      </w:r>
    </w:p>
    <w:p w:rsidR="00370EE3" w:rsidRDefault="00370EE3" w:rsidP="00370EE3">
      <w:pPr>
        <w:pStyle w:val="Heading4"/>
        <w:keepNext w:val="0"/>
        <w:spacing w:before="120" w:after="120"/>
        <w:jc w:val="both"/>
      </w:pPr>
      <w:r>
        <w:t>Trade Management</w:t>
      </w:r>
      <w:r w:rsidR="007930D7">
        <w:t xml:space="preserve"> and Reconciliation</w:t>
      </w:r>
      <w:r>
        <w:t xml:space="preserve"> System</w:t>
      </w:r>
    </w:p>
    <w:p w:rsidR="00322188" w:rsidRPr="00322188" w:rsidRDefault="00322188" w:rsidP="005E6765">
      <w:pPr>
        <w:jc w:val="both"/>
      </w:pPr>
      <w:r w:rsidRPr="00F00062">
        <w:rPr>
          <w:rFonts w:ascii="Arial" w:hAnsi="Arial" w:cs="Arial"/>
          <w:sz w:val="20"/>
          <w:szCs w:val="20"/>
        </w:rPr>
        <w:t>Key feature includes</w:t>
      </w:r>
      <w:r>
        <w:rPr>
          <w:rFonts w:ascii="Arial" w:hAnsi="Arial" w:cs="Arial"/>
          <w:sz w:val="20"/>
          <w:szCs w:val="20"/>
        </w:rPr>
        <w:t>:</w:t>
      </w:r>
    </w:p>
    <w:p w:rsidR="00370EE3" w:rsidRPr="00370EE3" w:rsidRDefault="00370EE3" w:rsidP="005E6765">
      <w:pPr>
        <w:numPr>
          <w:ilvl w:val="1"/>
          <w:numId w:val="82"/>
        </w:numPr>
        <w:jc w:val="both"/>
        <w:rPr>
          <w:rFonts w:ascii="Arial" w:hAnsi="Arial" w:cs="Arial"/>
          <w:sz w:val="20"/>
          <w:szCs w:val="20"/>
        </w:rPr>
      </w:pPr>
      <w:r w:rsidRPr="00370EE3">
        <w:rPr>
          <w:rFonts w:ascii="Arial" w:hAnsi="Arial" w:cs="Arial"/>
          <w:sz w:val="20"/>
          <w:szCs w:val="20"/>
        </w:rPr>
        <w:t xml:space="preserve">Portfolio managers enter orders in securities – Equity, Fixed Income and Mutual Funds. </w:t>
      </w:r>
    </w:p>
    <w:p w:rsidR="00370EE3" w:rsidRDefault="00370EE3" w:rsidP="005E6765">
      <w:pPr>
        <w:numPr>
          <w:ilvl w:val="1"/>
          <w:numId w:val="82"/>
        </w:numPr>
        <w:jc w:val="both"/>
        <w:rPr>
          <w:rFonts w:ascii="Arial" w:hAnsi="Arial" w:cs="Arial"/>
          <w:sz w:val="20"/>
          <w:szCs w:val="20"/>
        </w:rPr>
      </w:pPr>
      <w:r w:rsidRPr="00370EE3">
        <w:rPr>
          <w:rFonts w:ascii="Arial" w:hAnsi="Arial" w:cs="Arial"/>
          <w:sz w:val="20"/>
          <w:szCs w:val="20"/>
        </w:rPr>
        <w:t xml:space="preserve">Depending on the instruments these orders further flow to their respective downstream applications. </w:t>
      </w:r>
    </w:p>
    <w:p w:rsidR="00274299" w:rsidRDefault="00274299" w:rsidP="005E6765">
      <w:pPr>
        <w:numPr>
          <w:ilvl w:val="1"/>
          <w:numId w:val="82"/>
        </w:numPr>
        <w:jc w:val="both"/>
        <w:rPr>
          <w:rFonts w:ascii="Arial" w:hAnsi="Arial" w:cs="Arial"/>
          <w:sz w:val="20"/>
          <w:szCs w:val="20"/>
        </w:rPr>
      </w:pPr>
      <w:r>
        <w:rPr>
          <w:rFonts w:ascii="Arial" w:hAnsi="Arial" w:cs="Arial"/>
          <w:sz w:val="20"/>
          <w:szCs w:val="20"/>
        </w:rPr>
        <w:lastRenderedPageBreak/>
        <w:t xml:space="preserve">With time , many firms are tending towards using a </w:t>
      </w:r>
      <w:r w:rsidRPr="00274299">
        <w:rPr>
          <w:rFonts w:ascii="Arial" w:hAnsi="Arial" w:cs="Arial"/>
          <w:sz w:val="20"/>
          <w:szCs w:val="20"/>
        </w:rPr>
        <w:t xml:space="preserve">cross-asset derivative risk management and trading system </w:t>
      </w:r>
      <w:r>
        <w:rPr>
          <w:rFonts w:ascii="Arial" w:hAnsi="Arial" w:cs="Arial"/>
          <w:sz w:val="20"/>
          <w:szCs w:val="20"/>
        </w:rPr>
        <w:t>which can process below defined asset types( indicative)</w:t>
      </w:r>
    </w:p>
    <w:p w:rsidR="00274299" w:rsidRPr="00274299" w:rsidRDefault="00274299" w:rsidP="005E6765">
      <w:pPr>
        <w:ind w:left="2880"/>
        <w:jc w:val="both"/>
        <w:rPr>
          <w:rFonts w:ascii="Arial" w:hAnsi="Arial" w:cs="Arial"/>
          <w:sz w:val="20"/>
          <w:szCs w:val="20"/>
        </w:rPr>
      </w:pPr>
      <w:r w:rsidRPr="00274299">
        <w:rPr>
          <w:rFonts w:ascii="Arial" w:hAnsi="Arial" w:cs="Arial"/>
          <w:sz w:val="20"/>
          <w:szCs w:val="20"/>
        </w:rPr>
        <w:t xml:space="preserve">- Interest rate derivatives both single and cross-currency  </w:t>
      </w:r>
    </w:p>
    <w:p w:rsidR="00274299" w:rsidRPr="00274299" w:rsidRDefault="00274299" w:rsidP="005E6765">
      <w:pPr>
        <w:ind w:left="2880"/>
        <w:jc w:val="both"/>
        <w:rPr>
          <w:rFonts w:ascii="Arial" w:hAnsi="Arial" w:cs="Arial"/>
          <w:sz w:val="20"/>
          <w:szCs w:val="20"/>
        </w:rPr>
      </w:pPr>
      <w:r w:rsidRPr="00274299">
        <w:rPr>
          <w:rFonts w:ascii="Arial" w:hAnsi="Arial" w:cs="Arial"/>
          <w:sz w:val="20"/>
          <w:szCs w:val="20"/>
        </w:rPr>
        <w:t>- Credit derivatives (</w:t>
      </w:r>
      <w:r>
        <w:rPr>
          <w:rFonts w:ascii="Arial" w:hAnsi="Arial" w:cs="Arial"/>
          <w:sz w:val="20"/>
          <w:szCs w:val="20"/>
        </w:rPr>
        <w:t>single name CDS, Index CDS, CDO</w:t>
      </w:r>
      <w:r w:rsidRPr="00274299">
        <w:rPr>
          <w:rFonts w:ascii="Arial" w:hAnsi="Arial" w:cs="Arial"/>
          <w:sz w:val="20"/>
          <w:szCs w:val="20"/>
        </w:rPr>
        <w:t xml:space="preserve">) </w:t>
      </w:r>
    </w:p>
    <w:p w:rsidR="00274299" w:rsidRPr="00274299" w:rsidRDefault="00274299" w:rsidP="005E6765">
      <w:pPr>
        <w:ind w:left="2880"/>
        <w:jc w:val="both"/>
        <w:rPr>
          <w:rFonts w:ascii="Arial" w:hAnsi="Arial" w:cs="Arial"/>
          <w:sz w:val="20"/>
          <w:szCs w:val="20"/>
        </w:rPr>
      </w:pPr>
      <w:r w:rsidRPr="00274299">
        <w:rPr>
          <w:rFonts w:ascii="Arial" w:hAnsi="Arial" w:cs="Arial"/>
          <w:sz w:val="20"/>
          <w:szCs w:val="20"/>
        </w:rPr>
        <w:t xml:space="preserve">- FX Options (vanilla and exotic) </w:t>
      </w:r>
    </w:p>
    <w:p w:rsidR="00274299" w:rsidRDefault="00274299" w:rsidP="005E6765">
      <w:pPr>
        <w:ind w:left="2880"/>
        <w:jc w:val="both"/>
        <w:rPr>
          <w:rFonts w:ascii="Arial" w:hAnsi="Arial" w:cs="Arial"/>
          <w:sz w:val="20"/>
          <w:szCs w:val="20"/>
        </w:rPr>
      </w:pPr>
      <w:r w:rsidRPr="00274299">
        <w:rPr>
          <w:rFonts w:ascii="Arial" w:hAnsi="Arial" w:cs="Arial"/>
          <w:sz w:val="20"/>
          <w:szCs w:val="20"/>
        </w:rPr>
        <w:t>- OTC Equity Derivatives (OTC option, TRS on equity index, variance swap</w:t>
      </w:r>
      <w:r w:rsidR="007930D7">
        <w:rPr>
          <w:rFonts w:ascii="Arial" w:hAnsi="Arial" w:cs="Arial"/>
          <w:sz w:val="20"/>
          <w:szCs w:val="20"/>
        </w:rPr>
        <w:t>)</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Allocations to broker via OASYS &amp; Global OASYS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DTC affirmation &amp; confirmation</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Settlement and delivery instructions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Custody cash messages for deposits &amp; withdrawals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SWIFT framework for holdings, transaction &amp; cash</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Transaction flow monitor across the front &amp; back office</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Reconciliation of transactions and holdings with custodian</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Exception handling workflow</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Alerts &amp; Notifications to internal users and systems</w:t>
      </w:r>
    </w:p>
    <w:p w:rsidR="007930D7" w:rsidRPr="00370EE3" w:rsidRDefault="007930D7" w:rsidP="007930D7">
      <w:pPr>
        <w:rPr>
          <w:rFonts w:ascii="Arial" w:hAnsi="Arial" w:cs="Arial"/>
          <w:sz w:val="20"/>
          <w:szCs w:val="20"/>
        </w:rPr>
      </w:pPr>
    </w:p>
    <w:p w:rsidR="00322188" w:rsidRPr="00322188" w:rsidRDefault="00322188" w:rsidP="005E6765">
      <w:pPr>
        <w:jc w:val="both"/>
      </w:pPr>
    </w:p>
    <w:p w:rsidR="00370EE3" w:rsidRDefault="00731692" w:rsidP="00731692">
      <w:pPr>
        <w:pStyle w:val="Heading4"/>
        <w:keepNext w:val="0"/>
        <w:spacing w:before="120" w:after="120"/>
        <w:jc w:val="both"/>
      </w:pPr>
      <w:r>
        <w:t>Client Servicing System</w:t>
      </w:r>
    </w:p>
    <w:p w:rsidR="007930D7" w:rsidRPr="007930D7" w:rsidRDefault="007930D7" w:rsidP="005E6765">
      <w:pPr>
        <w:jc w:val="both"/>
      </w:pPr>
      <w:r w:rsidRPr="00F00062">
        <w:rPr>
          <w:rFonts w:ascii="Arial" w:hAnsi="Arial" w:cs="Arial"/>
          <w:sz w:val="20"/>
          <w:szCs w:val="20"/>
        </w:rPr>
        <w:t>Key feature includes</w:t>
      </w:r>
      <w:r>
        <w:rPr>
          <w:rFonts w:ascii="Arial" w:hAnsi="Arial" w:cs="Arial"/>
          <w:sz w:val="20"/>
          <w:szCs w:val="20"/>
        </w:rPr>
        <w:t>:</w:t>
      </w:r>
    </w:p>
    <w:p w:rsidR="00731692" w:rsidRPr="00731692" w:rsidRDefault="00731692" w:rsidP="005E6765">
      <w:pPr>
        <w:numPr>
          <w:ilvl w:val="1"/>
          <w:numId w:val="82"/>
        </w:numPr>
        <w:jc w:val="both"/>
        <w:rPr>
          <w:rFonts w:ascii="Arial" w:hAnsi="Arial" w:cs="Arial"/>
          <w:sz w:val="20"/>
          <w:szCs w:val="20"/>
        </w:rPr>
      </w:pPr>
      <w:r w:rsidRPr="00731692">
        <w:rPr>
          <w:rFonts w:ascii="Arial" w:hAnsi="Arial" w:cs="Arial"/>
          <w:sz w:val="20"/>
          <w:szCs w:val="20"/>
        </w:rPr>
        <w:t xml:space="preserve">Tracking and reporting progress on the RFP requests. </w:t>
      </w:r>
    </w:p>
    <w:p w:rsidR="00731692" w:rsidRPr="00731692" w:rsidRDefault="00731692" w:rsidP="005E6765">
      <w:pPr>
        <w:numPr>
          <w:ilvl w:val="1"/>
          <w:numId w:val="82"/>
        </w:numPr>
        <w:jc w:val="both"/>
        <w:rPr>
          <w:rFonts w:ascii="Arial" w:hAnsi="Arial" w:cs="Arial"/>
          <w:sz w:val="20"/>
          <w:szCs w:val="20"/>
        </w:rPr>
      </w:pPr>
      <w:r w:rsidRPr="00731692">
        <w:rPr>
          <w:rFonts w:ascii="Arial" w:hAnsi="Arial" w:cs="Arial"/>
          <w:sz w:val="20"/>
          <w:szCs w:val="20"/>
        </w:rPr>
        <w:t>Enter all the details for an incoming RFP/Non-RFP request and upload all relevant documents. Search/Retrieve requests and download the documents attached to any request.</w:t>
      </w:r>
    </w:p>
    <w:p w:rsidR="00370EE3" w:rsidRDefault="00731692" w:rsidP="005E6765">
      <w:pPr>
        <w:numPr>
          <w:ilvl w:val="1"/>
          <w:numId w:val="82"/>
        </w:numPr>
        <w:jc w:val="both"/>
      </w:pPr>
      <w:r w:rsidRPr="00731692">
        <w:rPr>
          <w:rFonts w:ascii="Arial" w:hAnsi="Arial" w:cs="Arial"/>
          <w:sz w:val="20"/>
          <w:szCs w:val="20"/>
        </w:rPr>
        <w:t xml:space="preserve">Update win/loss information for a RFP request. </w:t>
      </w:r>
    </w:p>
    <w:p w:rsidR="00370EE3" w:rsidRPr="00370EE3" w:rsidRDefault="00370EE3" w:rsidP="00370EE3"/>
    <w:p w:rsidR="000E4D34" w:rsidRDefault="000E4D34" w:rsidP="0075663D">
      <w:pPr>
        <w:pStyle w:val="Heading2"/>
        <w:keepNext w:val="0"/>
        <w:spacing w:before="120" w:after="120" w:line="240" w:lineRule="atLeast"/>
        <w:ind w:left="0" w:firstLine="0"/>
        <w:jc w:val="both"/>
      </w:pPr>
      <w:bookmarkStart w:id="724" w:name="_Toc226530570"/>
      <w:r>
        <w:t>Middle Office</w:t>
      </w:r>
      <w:bookmarkEnd w:id="7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67"/>
        <w:gridCol w:w="2161"/>
        <w:gridCol w:w="4428"/>
      </w:tblGrid>
      <w:tr w:rsidR="0096752A" w:rsidRPr="00F55EEB" w:rsidTr="00F55EEB">
        <w:tc>
          <w:tcPr>
            <w:tcW w:w="1280" w:type="pct"/>
            <w:shd w:val="clear" w:color="auto" w:fill="C0C0C0"/>
          </w:tcPr>
          <w:p w:rsidR="0096752A" w:rsidRPr="00F55EEB" w:rsidRDefault="0096752A" w:rsidP="00F55EEB">
            <w:pPr>
              <w:tabs>
                <w:tab w:val="center" w:pos="1368"/>
              </w:tabs>
              <w:rPr>
                <w:rFonts w:ascii="Arial" w:hAnsi="Arial" w:cs="Arial"/>
                <w:b/>
                <w:sz w:val="20"/>
                <w:szCs w:val="20"/>
              </w:rPr>
            </w:pPr>
            <w:r w:rsidRPr="00F55EEB">
              <w:rPr>
                <w:rFonts w:ascii="Arial" w:hAnsi="Arial" w:cs="Arial"/>
                <w:b/>
                <w:sz w:val="20"/>
                <w:szCs w:val="20"/>
              </w:rPr>
              <w:t>Department</w:t>
            </w:r>
          </w:p>
        </w:tc>
        <w:tc>
          <w:tcPr>
            <w:tcW w:w="1220" w:type="pct"/>
            <w:shd w:val="clear" w:color="auto" w:fill="C0C0C0"/>
          </w:tcPr>
          <w:p w:rsidR="0096752A" w:rsidRPr="00F55EEB" w:rsidRDefault="0096752A" w:rsidP="001C60C9">
            <w:pPr>
              <w:rPr>
                <w:rFonts w:ascii="Arial" w:hAnsi="Arial" w:cs="Arial"/>
                <w:b/>
                <w:sz w:val="20"/>
                <w:szCs w:val="20"/>
              </w:rPr>
            </w:pPr>
            <w:r w:rsidRPr="00F55EEB">
              <w:rPr>
                <w:rFonts w:ascii="Arial" w:hAnsi="Arial" w:cs="Arial"/>
                <w:b/>
                <w:sz w:val="20"/>
                <w:szCs w:val="20"/>
              </w:rPr>
              <w:t>High Level Tasks</w:t>
            </w:r>
          </w:p>
        </w:tc>
        <w:tc>
          <w:tcPr>
            <w:tcW w:w="2500" w:type="pct"/>
            <w:shd w:val="clear" w:color="auto" w:fill="C0C0C0"/>
          </w:tcPr>
          <w:p w:rsidR="0096752A" w:rsidRPr="00F55EEB" w:rsidRDefault="0096752A" w:rsidP="001C60C9">
            <w:pPr>
              <w:rPr>
                <w:rFonts w:ascii="Arial" w:hAnsi="Arial" w:cs="Arial"/>
                <w:b/>
                <w:sz w:val="20"/>
                <w:szCs w:val="20"/>
              </w:rPr>
            </w:pPr>
            <w:r w:rsidRPr="00F55EEB">
              <w:rPr>
                <w:rFonts w:ascii="Arial" w:hAnsi="Arial" w:cs="Arial"/>
                <w:b/>
                <w:sz w:val="20"/>
                <w:szCs w:val="20"/>
              </w:rPr>
              <w:t>System Features</w:t>
            </w:r>
          </w:p>
        </w:tc>
      </w:tr>
      <w:tr w:rsidR="00125527" w:rsidRPr="00F55EEB" w:rsidTr="00F55EEB">
        <w:trPr>
          <w:trHeight w:val="231"/>
        </w:trPr>
        <w:tc>
          <w:tcPr>
            <w:tcW w:w="1280" w:type="pct"/>
            <w:vMerge w:val="restart"/>
          </w:tcPr>
          <w:p w:rsidR="00125527" w:rsidRPr="00F55EEB" w:rsidRDefault="00125527" w:rsidP="001C60C9">
            <w:pPr>
              <w:rPr>
                <w:rFonts w:ascii="Arial" w:hAnsi="Arial" w:cs="Arial"/>
                <w:sz w:val="20"/>
                <w:szCs w:val="20"/>
              </w:rPr>
            </w:pPr>
            <w:r w:rsidRPr="00F55EEB">
              <w:rPr>
                <w:rFonts w:ascii="Arial" w:hAnsi="Arial" w:cs="Arial"/>
                <w:sz w:val="20"/>
                <w:szCs w:val="20"/>
              </w:rPr>
              <w:t>Risk Monitoring and Compliance</w:t>
            </w:r>
          </w:p>
        </w:tc>
        <w:tc>
          <w:tcPr>
            <w:tcW w:w="1220" w:type="pct"/>
          </w:tcPr>
          <w:p w:rsidR="00125527" w:rsidRPr="00F55EEB" w:rsidRDefault="00125527" w:rsidP="00125527">
            <w:pPr>
              <w:rPr>
                <w:rFonts w:ascii="Arial" w:hAnsi="Arial" w:cs="Arial"/>
                <w:sz w:val="20"/>
                <w:szCs w:val="20"/>
              </w:rPr>
            </w:pPr>
            <w:r w:rsidRPr="00F55EEB">
              <w:rPr>
                <w:rFonts w:ascii="Arial" w:hAnsi="Arial" w:cs="Arial"/>
                <w:sz w:val="20"/>
                <w:szCs w:val="20"/>
              </w:rPr>
              <w:t>Risk Exposure Analysis</w:t>
            </w:r>
          </w:p>
        </w:tc>
        <w:tc>
          <w:tcPr>
            <w:tcW w:w="2500" w:type="pct"/>
            <w:shd w:val="clear" w:color="auto" w:fill="auto"/>
          </w:tcPr>
          <w:p w:rsidR="00125527" w:rsidRPr="00F55EEB" w:rsidRDefault="0075663D" w:rsidP="00F55EEB">
            <w:pPr>
              <w:numPr>
                <w:ilvl w:val="0"/>
                <w:numId w:val="96"/>
              </w:numPr>
              <w:rPr>
                <w:rFonts w:ascii="Arial" w:hAnsi="Arial" w:cs="Arial"/>
                <w:sz w:val="20"/>
                <w:szCs w:val="20"/>
              </w:rPr>
            </w:pPr>
            <w:r w:rsidRPr="00F55EEB">
              <w:rPr>
                <w:rFonts w:ascii="Arial" w:hAnsi="Arial" w:cs="Arial"/>
                <w:sz w:val="20"/>
                <w:szCs w:val="20"/>
              </w:rPr>
              <w:t>Calculate risk measures like Information ratio, Sharpe ratio, standard deviation, correlation</w:t>
            </w:r>
          </w:p>
          <w:p w:rsidR="0075663D" w:rsidRPr="00F55EEB" w:rsidRDefault="0075663D" w:rsidP="00F55EEB">
            <w:pPr>
              <w:numPr>
                <w:ilvl w:val="0"/>
                <w:numId w:val="96"/>
              </w:numPr>
              <w:rPr>
                <w:rFonts w:ascii="Arial" w:hAnsi="Arial" w:cs="Arial"/>
                <w:sz w:val="20"/>
                <w:szCs w:val="20"/>
              </w:rPr>
            </w:pPr>
            <w:r w:rsidRPr="00F55EEB">
              <w:rPr>
                <w:rFonts w:ascii="Arial" w:hAnsi="Arial" w:cs="Arial"/>
                <w:sz w:val="20"/>
                <w:szCs w:val="20"/>
              </w:rPr>
              <w:t xml:space="preserve">Compute </w:t>
            </w:r>
            <w:proofErr w:type="spellStart"/>
            <w:r w:rsidRPr="00F55EEB">
              <w:rPr>
                <w:rFonts w:ascii="Arial" w:hAnsi="Arial" w:cs="Arial"/>
                <w:sz w:val="20"/>
                <w:szCs w:val="20"/>
              </w:rPr>
              <w:t>VaR</w:t>
            </w:r>
            <w:proofErr w:type="spellEnd"/>
            <w:r w:rsidRPr="00F55EEB">
              <w:rPr>
                <w:rFonts w:ascii="Arial" w:hAnsi="Arial" w:cs="Arial"/>
                <w:sz w:val="20"/>
                <w:szCs w:val="20"/>
              </w:rPr>
              <w:t xml:space="preserve"> and other risk parameters / Computing risk analytics</w:t>
            </w:r>
          </w:p>
        </w:tc>
      </w:tr>
      <w:tr w:rsidR="00125527" w:rsidRPr="00F55EEB" w:rsidTr="00F55EEB">
        <w:trPr>
          <w:trHeight w:val="228"/>
        </w:trPr>
        <w:tc>
          <w:tcPr>
            <w:tcW w:w="1280" w:type="pct"/>
            <w:vMerge/>
          </w:tcPr>
          <w:p w:rsidR="00125527" w:rsidRPr="00F55EEB" w:rsidRDefault="00125527" w:rsidP="001C60C9">
            <w:pPr>
              <w:rPr>
                <w:rFonts w:ascii="Arial" w:hAnsi="Arial" w:cs="Arial"/>
                <w:sz w:val="20"/>
                <w:szCs w:val="20"/>
              </w:rPr>
            </w:pPr>
          </w:p>
        </w:tc>
        <w:tc>
          <w:tcPr>
            <w:tcW w:w="1220" w:type="pct"/>
          </w:tcPr>
          <w:p w:rsidR="00125527" w:rsidRPr="00F55EEB" w:rsidRDefault="00125527" w:rsidP="001C60C9">
            <w:pPr>
              <w:rPr>
                <w:rFonts w:ascii="Arial" w:hAnsi="Arial" w:cs="Arial"/>
                <w:sz w:val="20"/>
                <w:szCs w:val="20"/>
              </w:rPr>
            </w:pPr>
            <w:r w:rsidRPr="00F55EEB">
              <w:rPr>
                <w:rFonts w:ascii="Arial" w:hAnsi="Arial" w:cs="Arial"/>
                <w:sz w:val="20"/>
                <w:szCs w:val="20"/>
              </w:rPr>
              <w:t>Sales Compliance</w:t>
            </w:r>
          </w:p>
        </w:tc>
        <w:tc>
          <w:tcPr>
            <w:tcW w:w="2500" w:type="pct"/>
            <w:shd w:val="clear" w:color="auto" w:fill="auto"/>
          </w:tcPr>
          <w:p w:rsidR="00125527" w:rsidRPr="00F55EEB" w:rsidRDefault="0075663D" w:rsidP="00F55EEB">
            <w:pPr>
              <w:numPr>
                <w:ilvl w:val="0"/>
                <w:numId w:val="97"/>
              </w:numPr>
              <w:rPr>
                <w:rFonts w:ascii="Arial" w:hAnsi="Arial" w:cs="Arial"/>
                <w:sz w:val="20"/>
                <w:szCs w:val="20"/>
              </w:rPr>
            </w:pPr>
            <w:r w:rsidRPr="00F55EEB">
              <w:rPr>
                <w:rFonts w:ascii="Arial" w:hAnsi="Arial" w:cs="Arial"/>
                <w:sz w:val="20"/>
                <w:szCs w:val="20"/>
              </w:rPr>
              <w:t>Adherence to rules and laws as stipulated by external agencies for Sales</w:t>
            </w:r>
          </w:p>
        </w:tc>
      </w:tr>
      <w:tr w:rsidR="0075663D" w:rsidRPr="00F55EEB" w:rsidTr="00F55EEB">
        <w:trPr>
          <w:trHeight w:val="228"/>
        </w:trPr>
        <w:tc>
          <w:tcPr>
            <w:tcW w:w="1280" w:type="pct"/>
            <w:vMerge/>
          </w:tcPr>
          <w:p w:rsidR="0075663D" w:rsidRPr="00F55EEB" w:rsidRDefault="0075663D" w:rsidP="001C60C9">
            <w:pPr>
              <w:rPr>
                <w:rFonts w:ascii="Arial" w:hAnsi="Arial" w:cs="Arial"/>
                <w:sz w:val="20"/>
                <w:szCs w:val="20"/>
              </w:rPr>
            </w:pPr>
          </w:p>
        </w:tc>
        <w:tc>
          <w:tcPr>
            <w:tcW w:w="1220" w:type="pct"/>
          </w:tcPr>
          <w:p w:rsidR="0075663D" w:rsidRPr="00F55EEB" w:rsidRDefault="0075663D" w:rsidP="001C60C9">
            <w:pPr>
              <w:rPr>
                <w:rFonts w:ascii="Arial" w:hAnsi="Arial" w:cs="Arial"/>
                <w:sz w:val="20"/>
                <w:szCs w:val="20"/>
              </w:rPr>
            </w:pPr>
            <w:r w:rsidRPr="00F55EEB">
              <w:rPr>
                <w:rFonts w:ascii="Arial" w:hAnsi="Arial" w:cs="Arial"/>
                <w:sz w:val="20"/>
                <w:szCs w:val="20"/>
              </w:rPr>
              <w:t>Risk Management</w:t>
            </w:r>
          </w:p>
        </w:tc>
        <w:tc>
          <w:tcPr>
            <w:tcW w:w="2500" w:type="pct"/>
            <w:vMerge w:val="restart"/>
            <w:shd w:val="clear" w:color="auto" w:fill="auto"/>
          </w:tcPr>
          <w:p w:rsidR="0075663D" w:rsidRPr="00F55EEB" w:rsidRDefault="0075663D" w:rsidP="00F55EEB">
            <w:pPr>
              <w:numPr>
                <w:ilvl w:val="0"/>
                <w:numId w:val="98"/>
              </w:numPr>
              <w:rPr>
                <w:rFonts w:ascii="Arial" w:hAnsi="Arial" w:cs="Arial"/>
                <w:sz w:val="20"/>
                <w:szCs w:val="20"/>
              </w:rPr>
            </w:pPr>
            <w:r w:rsidRPr="00F55EEB">
              <w:rPr>
                <w:rFonts w:ascii="Arial" w:hAnsi="Arial" w:cs="Arial"/>
                <w:sz w:val="20"/>
                <w:szCs w:val="20"/>
              </w:rPr>
              <w:t>Document / Review Client Profiling</w:t>
            </w:r>
          </w:p>
          <w:p w:rsidR="0075663D" w:rsidRPr="00F55EEB" w:rsidRDefault="0075663D" w:rsidP="00F55EEB">
            <w:pPr>
              <w:numPr>
                <w:ilvl w:val="0"/>
                <w:numId w:val="98"/>
              </w:numPr>
              <w:rPr>
                <w:rFonts w:ascii="Arial" w:hAnsi="Arial" w:cs="Arial"/>
                <w:sz w:val="20"/>
                <w:szCs w:val="20"/>
              </w:rPr>
            </w:pPr>
            <w:r w:rsidRPr="00F55EEB">
              <w:rPr>
                <w:rFonts w:ascii="Arial" w:hAnsi="Arial" w:cs="Arial"/>
                <w:sz w:val="20"/>
                <w:szCs w:val="20"/>
              </w:rPr>
              <w:t>Comply with AML guidelines</w:t>
            </w:r>
          </w:p>
          <w:p w:rsidR="0075663D" w:rsidRPr="00F55EEB" w:rsidRDefault="0075663D" w:rsidP="00F55EEB">
            <w:pPr>
              <w:numPr>
                <w:ilvl w:val="0"/>
                <w:numId w:val="98"/>
              </w:numPr>
              <w:rPr>
                <w:rFonts w:ascii="Arial" w:hAnsi="Arial" w:cs="Arial"/>
                <w:sz w:val="20"/>
                <w:szCs w:val="20"/>
              </w:rPr>
            </w:pPr>
            <w:r w:rsidRPr="00F55EEB">
              <w:rPr>
                <w:rFonts w:ascii="Arial" w:hAnsi="Arial" w:cs="Arial"/>
                <w:sz w:val="20"/>
                <w:szCs w:val="20"/>
              </w:rPr>
              <w:t>Issue Investment Disclaimers</w:t>
            </w:r>
          </w:p>
          <w:p w:rsidR="0075663D" w:rsidRPr="00F55EEB" w:rsidRDefault="0075663D" w:rsidP="00F55EEB">
            <w:pPr>
              <w:numPr>
                <w:ilvl w:val="0"/>
                <w:numId w:val="98"/>
              </w:numPr>
              <w:rPr>
                <w:rFonts w:ascii="Arial" w:hAnsi="Arial" w:cs="Arial"/>
                <w:sz w:val="20"/>
                <w:szCs w:val="20"/>
              </w:rPr>
            </w:pPr>
            <w:r w:rsidRPr="00F55EEB">
              <w:rPr>
                <w:rFonts w:ascii="Arial" w:hAnsi="Arial" w:cs="Arial"/>
                <w:sz w:val="20"/>
                <w:szCs w:val="20"/>
              </w:rPr>
              <w:t>Follow Know Your Customer (KYC) guidelines</w:t>
            </w:r>
          </w:p>
          <w:p w:rsidR="0075663D" w:rsidRPr="00F55EEB" w:rsidRDefault="0075663D" w:rsidP="00F55EEB">
            <w:pPr>
              <w:numPr>
                <w:ilvl w:val="0"/>
                <w:numId w:val="98"/>
              </w:numPr>
              <w:rPr>
                <w:rFonts w:ascii="Arial" w:hAnsi="Arial" w:cs="Arial"/>
                <w:sz w:val="20"/>
                <w:szCs w:val="20"/>
              </w:rPr>
            </w:pPr>
            <w:r w:rsidRPr="00F55EEB">
              <w:rPr>
                <w:rFonts w:ascii="Arial" w:hAnsi="Arial" w:cs="Arial"/>
                <w:sz w:val="20"/>
                <w:szCs w:val="20"/>
              </w:rPr>
              <w:t>Operational Risk Management</w:t>
            </w:r>
          </w:p>
          <w:p w:rsidR="0075663D" w:rsidRPr="00F55EEB" w:rsidRDefault="0075663D" w:rsidP="00F55EEB">
            <w:pPr>
              <w:numPr>
                <w:ilvl w:val="0"/>
                <w:numId w:val="98"/>
              </w:numPr>
              <w:rPr>
                <w:rFonts w:ascii="Arial" w:hAnsi="Arial" w:cs="Arial"/>
                <w:sz w:val="20"/>
                <w:szCs w:val="20"/>
              </w:rPr>
            </w:pPr>
            <w:r w:rsidRPr="00F55EEB">
              <w:rPr>
                <w:rFonts w:ascii="Arial" w:hAnsi="Arial" w:cs="Arial"/>
                <w:sz w:val="20"/>
                <w:szCs w:val="20"/>
              </w:rPr>
              <w:t>Trade compliance</w:t>
            </w:r>
          </w:p>
        </w:tc>
      </w:tr>
      <w:tr w:rsidR="0075663D" w:rsidRPr="00F55EEB" w:rsidTr="00F55EEB">
        <w:trPr>
          <w:trHeight w:val="228"/>
        </w:trPr>
        <w:tc>
          <w:tcPr>
            <w:tcW w:w="1280" w:type="pct"/>
            <w:vMerge/>
          </w:tcPr>
          <w:p w:rsidR="0075663D" w:rsidRPr="00F55EEB" w:rsidRDefault="0075663D" w:rsidP="001C60C9">
            <w:pPr>
              <w:rPr>
                <w:rFonts w:ascii="Arial" w:hAnsi="Arial" w:cs="Arial"/>
                <w:sz w:val="20"/>
                <w:szCs w:val="20"/>
              </w:rPr>
            </w:pPr>
          </w:p>
        </w:tc>
        <w:tc>
          <w:tcPr>
            <w:tcW w:w="1220" w:type="pct"/>
          </w:tcPr>
          <w:p w:rsidR="0075663D" w:rsidRPr="00F55EEB" w:rsidRDefault="0075663D" w:rsidP="001C60C9">
            <w:pPr>
              <w:rPr>
                <w:rFonts w:ascii="Arial" w:hAnsi="Arial" w:cs="Arial"/>
                <w:sz w:val="20"/>
                <w:szCs w:val="20"/>
              </w:rPr>
            </w:pPr>
            <w:r w:rsidRPr="00F55EEB">
              <w:rPr>
                <w:rFonts w:ascii="Arial" w:hAnsi="Arial" w:cs="Arial"/>
                <w:sz w:val="20"/>
                <w:szCs w:val="20"/>
              </w:rPr>
              <w:t>General Compliance</w:t>
            </w:r>
          </w:p>
        </w:tc>
        <w:tc>
          <w:tcPr>
            <w:tcW w:w="2500" w:type="pct"/>
            <w:vMerge/>
            <w:shd w:val="clear" w:color="auto" w:fill="auto"/>
          </w:tcPr>
          <w:p w:rsidR="0075663D" w:rsidRPr="00F55EEB" w:rsidRDefault="0075663D" w:rsidP="001C60C9">
            <w:pPr>
              <w:rPr>
                <w:rFonts w:ascii="Arial" w:hAnsi="Arial" w:cs="Arial"/>
                <w:sz w:val="20"/>
                <w:szCs w:val="20"/>
              </w:rPr>
            </w:pPr>
          </w:p>
        </w:tc>
      </w:tr>
      <w:tr w:rsidR="003D7A9D" w:rsidRPr="00F55EEB" w:rsidTr="00F55EEB">
        <w:tc>
          <w:tcPr>
            <w:tcW w:w="1280" w:type="pct"/>
          </w:tcPr>
          <w:p w:rsidR="003D7A9D" w:rsidRPr="00F55EEB" w:rsidRDefault="003D7A9D" w:rsidP="001C60C9">
            <w:pPr>
              <w:rPr>
                <w:rFonts w:ascii="Arial" w:hAnsi="Arial" w:cs="Arial"/>
                <w:sz w:val="20"/>
                <w:szCs w:val="20"/>
              </w:rPr>
            </w:pPr>
            <w:r w:rsidRPr="00F55EEB">
              <w:rPr>
                <w:rFonts w:ascii="Arial" w:hAnsi="Arial" w:cs="Arial"/>
                <w:sz w:val="20"/>
                <w:szCs w:val="20"/>
              </w:rPr>
              <w:t>Performance</w:t>
            </w:r>
          </w:p>
        </w:tc>
        <w:tc>
          <w:tcPr>
            <w:tcW w:w="1220" w:type="pct"/>
          </w:tcPr>
          <w:p w:rsidR="003D7A9D" w:rsidRPr="00F55EEB" w:rsidRDefault="003D7A9D" w:rsidP="001C60C9">
            <w:pPr>
              <w:rPr>
                <w:rFonts w:ascii="Arial" w:hAnsi="Arial" w:cs="Arial"/>
                <w:sz w:val="20"/>
                <w:szCs w:val="20"/>
              </w:rPr>
            </w:pPr>
            <w:r w:rsidRPr="00F55EEB">
              <w:rPr>
                <w:rFonts w:ascii="Arial" w:hAnsi="Arial" w:cs="Arial"/>
                <w:sz w:val="20"/>
                <w:szCs w:val="20"/>
              </w:rPr>
              <w:t>Portfolio Performance</w:t>
            </w:r>
          </w:p>
        </w:tc>
        <w:tc>
          <w:tcPr>
            <w:tcW w:w="2500" w:type="pct"/>
          </w:tcPr>
          <w:p w:rsidR="00EF5BF0" w:rsidRPr="00F55EEB" w:rsidRDefault="00EF5BF0" w:rsidP="00F55EEB">
            <w:pPr>
              <w:numPr>
                <w:ilvl w:val="0"/>
                <w:numId w:val="99"/>
              </w:numPr>
              <w:rPr>
                <w:rFonts w:ascii="Arial" w:hAnsi="Arial" w:cs="Arial"/>
                <w:sz w:val="20"/>
                <w:szCs w:val="20"/>
              </w:rPr>
            </w:pPr>
            <w:r w:rsidRPr="00F55EEB">
              <w:rPr>
                <w:rFonts w:ascii="Arial" w:hAnsi="Arial" w:cs="Arial"/>
                <w:sz w:val="20"/>
                <w:szCs w:val="20"/>
              </w:rPr>
              <w:t xml:space="preserve">Measure portfolio performance versus benchmark </w:t>
            </w:r>
          </w:p>
          <w:p w:rsidR="003D7A9D" w:rsidRPr="00F55EEB" w:rsidRDefault="00EF5BF0" w:rsidP="00F55EEB">
            <w:pPr>
              <w:numPr>
                <w:ilvl w:val="0"/>
                <w:numId w:val="99"/>
              </w:numPr>
              <w:rPr>
                <w:rFonts w:ascii="Arial" w:hAnsi="Arial" w:cs="Arial"/>
                <w:sz w:val="20"/>
                <w:szCs w:val="20"/>
              </w:rPr>
            </w:pPr>
            <w:r w:rsidRPr="00F55EEB">
              <w:rPr>
                <w:rFonts w:ascii="Arial" w:hAnsi="Arial" w:cs="Arial"/>
                <w:sz w:val="20"/>
                <w:szCs w:val="20"/>
              </w:rPr>
              <w:t>Multifactor attribution</w:t>
            </w:r>
          </w:p>
        </w:tc>
      </w:tr>
    </w:tbl>
    <w:p w:rsidR="000E4D34" w:rsidRDefault="000E4D34" w:rsidP="00F0076C"/>
    <w:p w:rsidR="002263F1" w:rsidRDefault="002263F1" w:rsidP="002263F1">
      <w:pPr>
        <w:pStyle w:val="Heading3"/>
        <w:keepNext w:val="0"/>
        <w:tabs>
          <w:tab w:val="clear" w:pos="6444"/>
          <w:tab w:val="num" w:pos="540"/>
        </w:tabs>
        <w:spacing w:before="120" w:after="120" w:line="240" w:lineRule="atLeast"/>
        <w:ind w:left="0" w:firstLine="0"/>
        <w:jc w:val="both"/>
      </w:pPr>
      <w:r>
        <w:t>High Level System</w:t>
      </w:r>
      <w:r w:rsidR="00A8670A">
        <w:t>s</w:t>
      </w:r>
      <w:r>
        <w:t xml:space="preserve"> </w:t>
      </w:r>
      <w:r w:rsidR="00A8670A">
        <w:t>Overview (Middle</w:t>
      </w:r>
      <w:r>
        <w:t xml:space="preserve"> Office)</w:t>
      </w:r>
    </w:p>
    <w:p w:rsidR="008F23BC" w:rsidRPr="00107401" w:rsidRDefault="00107401" w:rsidP="005E6765">
      <w:pPr>
        <w:jc w:val="both"/>
        <w:rPr>
          <w:rFonts w:ascii="Arial" w:hAnsi="Arial" w:cs="Arial"/>
          <w:sz w:val="20"/>
          <w:szCs w:val="20"/>
        </w:rPr>
      </w:pPr>
      <w:r w:rsidRPr="00107401">
        <w:rPr>
          <w:rFonts w:ascii="Arial" w:hAnsi="Arial" w:cs="Arial"/>
          <w:sz w:val="20"/>
          <w:szCs w:val="20"/>
        </w:rPr>
        <w:t xml:space="preserve">Below </w:t>
      </w:r>
      <w:r>
        <w:rPr>
          <w:rFonts w:ascii="Arial" w:hAnsi="Arial" w:cs="Arial"/>
          <w:sz w:val="20"/>
          <w:szCs w:val="20"/>
        </w:rPr>
        <w:t>is the indicative list of</w:t>
      </w:r>
      <w:r w:rsidRPr="00107401">
        <w:rPr>
          <w:rFonts w:ascii="Arial" w:hAnsi="Arial" w:cs="Arial"/>
          <w:sz w:val="20"/>
          <w:szCs w:val="20"/>
        </w:rPr>
        <w:t xml:space="preserve"> key</w:t>
      </w:r>
      <w:r w:rsidR="00FB5939">
        <w:rPr>
          <w:rFonts w:ascii="Arial" w:hAnsi="Arial" w:cs="Arial"/>
          <w:sz w:val="20"/>
          <w:szCs w:val="20"/>
        </w:rPr>
        <w:t xml:space="preserve"> technology</w:t>
      </w:r>
      <w:r w:rsidRPr="00107401">
        <w:rPr>
          <w:rFonts w:ascii="Arial" w:hAnsi="Arial" w:cs="Arial"/>
          <w:sz w:val="20"/>
          <w:szCs w:val="20"/>
        </w:rPr>
        <w:t xml:space="preserve"> tasks perf</w:t>
      </w:r>
      <w:r>
        <w:rPr>
          <w:rFonts w:ascii="Arial" w:hAnsi="Arial" w:cs="Arial"/>
          <w:sz w:val="20"/>
          <w:szCs w:val="20"/>
        </w:rPr>
        <w:t>ormed by various Middle Office systems:</w:t>
      </w:r>
    </w:p>
    <w:p w:rsidR="008F23BC" w:rsidRDefault="00274299" w:rsidP="008F23BC">
      <w:pPr>
        <w:pStyle w:val="Heading4"/>
        <w:keepNext w:val="0"/>
        <w:spacing w:before="120" w:after="120"/>
        <w:jc w:val="both"/>
      </w:pPr>
      <w:r>
        <w:lastRenderedPageBreak/>
        <w:t>Portfolio Performance</w:t>
      </w:r>
      <w:r w:rsidR="008F23BC" w:rsidRPr="001E7275">
        <w:t xml:space="preserve"> &amp; Style Analysis</w:t>
      </w:r>
      <w:r w:rsidR="00AC7E4C">
        <w:t xml:space="preserve"> Utility</w:t>
      </w:r>
    </w:p>
    <w:p w:rsidR="007930D7" w:rsidRPr="007930D7" w:rsidRDefault="007930D7" w:rsidP="005E6765">
      <w:pPr>
        <w:jc w:val="both"/>
      </w:pPr>
      <w:r w:rsidRPr="00F00062">
        <w:rPr>
          <w:rFonts w:ascii="Arial" w:hAnsi="Arial" w:cs="Arial"/>
          <w:sz w:val="20"/>
          <w:szCs w:val="20"/>
        </w:rPr>
        <w:t>Key feature includes</w:t>
      </w:r>
      <w:r>
        <w:rPr>
          <w:rFonts w:ascii="Arial" w:hAnsi="Arial" w:cs="Arial"/>
          <w:sz w:val="20"/>
          <w:szCs w:val="20"/>
        </w:rPr>
        <w:t>:</w:t>
      </w:r>
    </w:p>
    <w:p w:rsidR="00F00062" w:rsidRDefault="00F00062" w:rsidP="005E6765">
      <w:pPr>
        <w:numPr>
          <w:ilvl w:val="1"/>
          <w:numId w:val="82"/>
        </w:numPr>
        <w:jc w:val="both"/>
        <w:rPr>
          <w:rFonts w:ascii="Arial" w:hAnsi="Arial" w:cs="Arial"/>
          <w:sz w:val="20"/>
          <w:szCs w:val="20"/>
        </w:rPr>
      </w:pPr>
      <w:r>
        <w:rPr>
          <w:rFonts w:ascii="Arial" w:hAnsi="Arial" w:cs="Arial"/>
          <w:sz w:val="20"/>
          <w:szCs w:val="20"/>
        </w:rPr>
        <w:t>Create sophisticated portfolio exposure reports</w:t>
      </w:r>
    </w:p>
    <w:p w:rsidR="00AC7E4C" w:rsidRPr="00BE4989" w:rsidRDefault="00AC7E4C" w:rsidP="005E6765">
      <w:pPr>
        <w:numPr>
          <w:ilvl w:val="1"/>
          <w:numId w:val="82"/>
        </w:numPr>
        <w:jc w:val="both"/>
        <w:rPr>
          <w:rFonts w:ascii="Arial" w:hAnsi="Arial" w:cs="Arial"/>
          <w:sz w:val="20"/>
          <w:szCs w:val="20"/>
        </w:rPr>
      </w:pPr>
      <w:r w:rsidRPr="00BE4989">
        <w:rPr>
          <w:rFonts w:ascii="Arial" w:hAnsi="Arial" w:cs="Arial"/>
          <w:sz w:val="20"/>
          <w:szCs w:val="20"/>
        </w:rPr>
        <w:t>Definitions, difference between contribution &amp; attribution</w:t>
      </w:r>
    </w:p>
    <w:p w:rsidR="00AC7E4C" w:rsidRPr="00BE4989" w:rsidRDefault="00AC7E4C" w:rsidP="005E6765">
      <w:pPr>
        <w:numPr>
          <w:ilvl w:val="1"/>
          <w:numId w:val="82"/>
        </w:numPr>
        <w:jc w:val="both"/>
        <w:rPr>
          <w:rFonts w:ascii="Arial" w:hAnsi="Arial" w:cs="Arial"/>
          <w:sz w:val="20"/>
          <w:szCs w:val="20"/>
        </w:rPr>
      </w:pPr>
      <w:r w:rsidRPr="00BE4989">
        <w:rPr>
          <w:rFonts w:ascii="Arial" w:hAnsi="Arial" w:cs="Arial"/>
          <w:sz w:val="20"/>
          <w:szCs w:val="20"/>
        </w:rPr>
        <w:t>Attribution methods and approaches</w:t>
      </w:r>
    </w:p>
    <w:p w:rsidR="00AC7E4C" w:rsidRPr="00BE4989" w:rsidRDefault="00AC7E4C" w:rsidP="005E6765">
      <w:pPr>
        <w:numPr>
          <w:ilvl w:val="3"/>
          <w:numId w:val="82"/>
        </w:numPr>
        <w:jc w:val="both"/>
        <w:rPr>
          <w:rFonts w:ascii="Arial" w:hAnsi="Arial" w:cs="Arial"/>
          <w:sz w:val="20"/>
          <w:szCs w:val="20"/>
        </w:rPr>
      </w:pPr>
      <w:r w:rsidRPr="00BE4989">
        <w:rPr>
          <w:rFonts w:ascii="Arial" w:hAnsi="Arial" w:cs="Arial"/>
          <w:sz w:val="20"/>
          <w:szCs w:val="20"/>
        </w:rPr>
        <w:t>Equity vs. Fixed Income</w:t>
      </w:r>
    </w:p>
    <w:p w:rsidR="00AC7E4C" w:rsidRPr="00BE4989" w:rsidRDefault="00AC7E4C" w:rsidP="005E6765">
      <w:pPr>
        <w:numPr>
          <w:ilvl w:val="3"/>
          <w:numId w:val="82"/>
        </w:numPr>
        <w:jc w:val="both"/>
        <w:rPr>
          <w:rFonts w:ascii="Arial" w:hAnsi="Arial" w:cs="Arial"/>
          <w:sz w:val="20"/>
          <w:szCs w:val="20"/>
        </w:rPr>
      </w:pPr>
      <w:r w:rsidRPr="00BE4989">
        <w:rPr>
          <w:rFonts w:ascii="Arial" w:hAnsi="Arial" w:cs="Arial"/>
          <w:sz w:val="20"/>
          <w:szCs w:val="20"/>
        </w:rPr>
        <w:t>Return decomposition vs. Sources of excess return</w:t>
      </w:r>
    </w:p>
    <w:p w:rsidR="00AC7E4C" w:rsidRPr="00BE4989" w:rsidRDefault="00AC7E4C" w:rsidP="005E6765">
      <w:pPr>
        <w:numPr>
          <w:ilvl w:val="3"/>
          <w:numId w:val="82"/>
        </w:numPr>
        <w:jc w:val="both"/>
        <w:rPr>
          <w:rFonts w:ascii="Arial" w:hAnsi="Arial" w:cs="Arial"/>
          <w:sz w:val="20"/>
          <w:szCs w:val="20"/>
        </w:rPr>
      </w:pPr>
      <w:r w:rsidRPr="00BE4989">
        <w:rPr>
          <w:rFonts w:ascii="Arial" w:hAnsi="Arial" w:cs="Arial"/>
          <w:sz w:val="20"/>
          <w:szCs w:val="20"/>
        </w:rPr>
        <w:t>Arithmetic vs. Geometric Methodologies</w:t>
      </w:r>
    </w:p>
    <w:p w:rsidR="00AC7E4C" w:rsidRPr="00BE4989" w:rsidRDefault="00AC7E4C" w:rsidP="005E6765">
      <w:pPr>
        <w:numPr>
          <w:ilvl w:val="3"/>
          <w:numId w:val="82"/>
        </w:numPr>
        <w:jc w:val="both"/>
        <w:rPr>
          <w:rFonts w:ascii="Arial" w:hAnsi="Arial" w:cs="Arial"/>
          <w:sz w:val="20"/>
          <w:szCs w:val="20"/>
        </w:rPr>
      </w:pPr>
      <w:r w:rsidRPr="00BE4989">
        <w:rPr>
          <w:rFonts w:ascii="Arial" w:hAnsi="Arial" w:cs="Arial"/>
          <w:sz w:val="20"/>
          <w:szCs w:val="20"/>
        </w:rPr>
        <w:t>Top-down vs. Bottom-up applications</w:t>
      </w:r>
    </w:p>
    <w:p w:rsidR="00AC7E4C" w:rsidRPr="00BE4989" w:rsidRDefault="00AC7E4C" w:rsidP="005E6765">
      <w:pPr>
        <w:numPr>
          <w:ilvl w:val="1"/>
          <w:numId w:val="82"/>
        </w:numPr>
        <w:jc w:val="both"/>
        <w:rPr>
          <w:rFonts w:ascii="Arial" w:hAnsi="Arial" w:cs="Arial"/>
          <w:sz w:val="20"/>
          <w:szCs w:val="20"/>
        </w:rPr>
      </w:pPr>
      <w:r w:rsidRPr="00BE4989">
        <w:rPr>
          <w:rFonts w:ascii="Arial" w:hAnsi="Arial" w:cs="Arial"/>
          <w:sz w:val="20"/>
          <w:szCs w:val="20"/>
        </w:rPr>
        <w:t>Benchmark selection process for excess return analysis</w:t>
      </w:r>
    </w:p>
    <w:p w:rsidR="00AC7E4C" w:rsidRPr="00BE4989" w:rsidRDefault="00AC7E4C" w:rsidP="005E6765">
      <w:pPr>
        <w:numPr>
          <w:ilvl w:val="1"/>
          <w:numId w:val="82"/>
        </w:numPr>
        <w:jc w:val="both"/>
        <w:rPr>
          <w:rFonts w:ascii="Arial" w:hAnsi="Arial" w:cs="Arial"/>
          <w:sz w:val="20"/>
          <w:szCs w:val="20"/>
        </w:rPr>
      </w:pPr>
      <w:r w:rsidRPr="00BE4989">
        <w:rPr>
          <w:rFonts w:ascii="Arial" w:hAnsi="Arial" w:cs="Arial"/>
          <w:sz w:val="20"/>
          <w:szCs w:val="20"/>
        </w:rPr>
        <w:t>Portfolio compositional analysis for style placement</w:t>
      </w:r>
    </w:p>
    <w:p w:rsidR="00AC7E4C" w:rsidRPr="00BE4989" w:rsidRDefault="00AC7E4C" w:rsidP="005E6765">
      <w:pPr>
        <w:numPr>
          <w:ilvl w:val="1"/>
          <w:numId w:val="82"/>
        </w:numPr>
        <w:jc w:val="both"/>
        <w:rPr>
          <w:rFonts w:ascii="Arial" w:hAnsi="Arial" w:cs="Arial"/>
          <w:sz w:val="20"/>
          <w:szCs w:val="20"/>
        </w:rPr>
      </w:pPr>
      <w:r w:rsidRPr="00BE4989">
        <w:rPr>
          <w:rFonts w:ascii="Arial" w:hAnsi="Arial" w:cs="Arial"/>
          <w:sz w:val="20"/>
          <w:szCs w:val="20"/>
        </w:rPr>
        <w:t>Selection of managers for peer group analysis based on style</w:t>
      </w:r>
    </w:p>
    <w:p w:rsidR="00D909EC" w:rsidRDefault="00D909EC" w:rsidP="008F23BC">
      <w:pPr>
        <w:rPr>
          <w:rFonts w:ascii="Arial" w:hAnsi="Arial"/>
          <w:bCs/>
          <w:color w:val="0000FF"/>
          <w:szCs w:val="28"/>
        </w:rPr>
      </w:pPr>
    </w:p>
    <w:p w:rsidR="008F23BC" w:rsidRPr="00274299" w:rsidRDefault="00F00062" w:rsidP="008F23BC">
      <w:pPr>
        <w:rPr>
          <w:rFonts w:ascii="Arial" w:hAnsi="Arial"/>
          <w:bCs/>
          <w:color w:val="0000FF"/>
          <w:szCs w:val="28"/>
        </w:rPr>
      </w:pPr>
      <w:r>
        <w:rPr>
          <w:rFonts w:ascii="Arial" w:hAnsi="Arial"/>
          <w:bCs/>
          <w:color w:val="0000FF"/>
          <w:szCs w:val="28"/>
        </w:rPr>
        <w:t xml:space="preserve">Research and </w:t>
      </w:r>
      <w:r w:rsidR="00274299">
        <w:rPr>
          <w:rFonts w:ascii="Arial" w:hAnsi="Arial"/>
          <w:bCs/>
          <w:color w:val="0000FF"/>
          <w:szCs w:val="28"/>
        </w:rPr>
        <w:t>Portfolio</w:t>
      </w:r>
      <w:r w:rsidR="00274299" w:rsidRPr="00274299">
        <w:rPr>
          <w:rFonts w:ascii="Arial" w:hAnsi="Arial"/>
          <w:bCs/>
          <w:color w:val="0000FF"/>
          <w:szCs w:val="28"/>
        </w:rPr>
        <w:t xml:space="preserve"> Management Utility</w:t>
      </w:r>
    </w:p>
    <w:p w:rsidR="00274299" w:rsidRDefault="007930D7" w:rsidP="005E6765">
      <w:pPr>
        <w:jc w:val="both"/>
        <w:rPr>
          <w:rFonts w:ascii="Arial" w:hAnsi="Arial" w:cs="Arial"/>
          <w:sz w:val="20"/>
          <w:szCs w:val="20"/>
        </w:rPr>
      </w:pPr>
      <w:r w:rsidRPr="00F00062">
        <w:rPr>
          <w:rFonts w:ascii="Arial" w:hAnsi="Arial" w:cs="Arial"/>
          <w:sz w:val="20"/>
          <w:szCs w:val="20"/>
        </w:rPr>
        <w:t>Key feature includes</w:t>
      </w:r>
      <w:r>
        <w:rPr>
          <w:rFonts w:ascii="Arial" w:hAnsi="Arial" w:cs="Arial"/>
          <w:sz w:val="20"/>
          <w:szCs w:val="20"/>
        </w:rPr>
        <w:t>:</w:t>
      </w:r>
    </w:p>
    <w:p w:rsidR="007930D7" w:rsidRDefault="007930D7" w:rsidP="005E6765">
      <w:pPr>
        <w:jc w:val="both"/>
      </w:pPr>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t>Portfolio management functions</w:t>
      </w:r>
    </w:p>
    <w:p w:rsidR="00F00062" w:rsidRPr="00F00062" w:rsidRDefault="00F00062" w:rsidP="005E6765">
      <w:pPr>
        <w:numPr>
          <w:ilvl w:val="3"/>
          <w:numId w:val="82"/>
        </w:numPr>
        <w:jc w:val="both"/>
        <w:rPr>
          <w:rFonts w:ascii="Arial" w:hAnsi="Arial" w:cs="Arial"/>
          <w:sz w:val="20"/>
          <w:szCs w:val="20"/>
        </w:rPr>
      </w:pPr>
      <w:r w:rsidRPr="00F00062">
        <w:rPr>
          <w:rFonts w:ascii="Arial" w:hAnsi="Arial" w:cs="Arial"/>
          <w:sz w:val="20"/>
          <w:szCs w:val="20"/>
        </w:rPr>
        <w:t>By account (single account, mass modeling etc.)</w:t>
      </w:r>
    </w:p>
    <w:p w:rsidR="00F00062" w:rsidRPr="00F00062" w:rsidRDefault="00F00062" w:rsidP="005E6765">
      <w:pPr>
        <w:numPr>
          <w:ilvl w:val="3"/>
          <w:numId w:val="82"/>
        </w:numPr>
        <w:jc w:val="both"/>
        <w:rPr>
          <w:rFonts w:ascii="Arial" w:hAnsi="Arial" w:cs="Arial"/>
          <w:sz w:val="20"/>
          <w:szCs w:val="20"/>
        </w:rPr>
      </w:pPr>
      <w:r w:rsidRPr="00F00062">
        <w:rPr>
          <w:rFonts w:ascii="Arial" w:hAnsi="Arial" w:cs="Arial"/>
          <w:sz w:val="20"/>
          <w:szCs w:val="20"/>
        </w:rPr>
        <w:t>By asset (equity vs. fixed income vs. derivatives etc.)</w:t>
      </w:r>
    </w:p>
    <w:p w:rsidR="00F00062" w:rsidRPr="00F00062" w:rsidRDefault="00F00062" w:rsidP="005E6765">
      <w:pPr>
        <w:numPr>
          <w:ilvl w:val="3"/>
          <w:numId w:val="82"/>
        </w:numPr>
        <w:jc w:val="both"/>
        <w:rPr>
          <w:rFonts w:ascii="Arial" w:hAnsi="Arial" w:cs="Arial"/>
          <w:sz w:val="20"/>
          <w:szCs w:val="20"/>
        </w:rPr>
      </w:pPr>
      <w:r w:rsidRPr="00F00062">
        <w:rPr>
          <w:rFonts w:ascii="Arial" w:hAnsi="Arial" w:cs="Arial"/>
          <w:sz w:val="20"/>
          <w:szCs w:val="20"/>
        </w:rPr>
        <w:t>By style</w:t>
      </w:r>
    </w:p>
    <w:p w:rsidR="00F00062" w:rsidRPr="00F00062" w:rsidRDefault="00F00062" w:rsidP="005E6765">
      <w:pPr>
        <w:numPr>
          <w:ilvl w:val="1"/>
          <w:numId w:val="82"/>
        </w:numPr>
        <w:jc w:val="both"/>
        <w:rPr>
          <w:rFonts w:ascii="Arial" w:hAnsi="Arial" w:cs="Arial"/>
          <w:sz w:val="20"/>
          <w:szCs w:val="20"/>
        </w:rPr>
      </w:pPr>
      <w:r>
        <w:rPr>
          <w:rFonts w:ascii="Arial" w:hAnsi="Arial" w:cs="Arial"/>
          <w:sz w:val="20"/>
          <w:szCs w:val="20"/>
        </w:rPr>
        <w:t xml:space="preserve">Integrated with </w:t>
      </w:r>
      <w:r w:rsidRPr="00F00062">
        <w:rPr>
          <w:rFonts w:ascii="Arial" w:hAnsi="Arial" w:cs="Arial"/>
          <w:sz w:val="20"/>
          <w:szCs w:val="20"/>
        </w:rPr>
        <w:t>Research tools</w:t>
      </w:r>
      <w:r>
        <w:rPr>
          <w:rFonts w:ascii="Arial" w:hAnsi="Arial" w:cs="Arial"/>
          <w:sz w:val="20"/>
          <w:szCs w:val="20"/>
        </w:rPr>
        <w:t xml:space="preserve"> such as </w:t>
      </w:r>
      <w:r w:rsidRPr="00F00062">
        <w:rPr>
          <w:rFonts w:ascii="Arial" w:hAnsi="Arial" w:cs="Arial"/>
          <w:sz w:val="20"/>
          <w:szCs w:val="20"/>
        </w:rPr>
        <w:t xml:space="preserve"> – </w:t>
      </w:r>
      <w:proofErr w:type="spellStart"/>
      <w:r w:rsidRPr="00F00062">
        <w:rPr>
          <w:rFonts w:ascii="Arial" w:hAnsi="Arial" w:cs="Arial"/>
          <w:sz w:val="20"/>
          <w:szCs w:val="20"/>
        </w:rPr>
        <w:t>Factset</w:t>
      </w:r>
      <w:proofErr w:type="spellEnd"/>
      <w:r w:rsidRPr="00F00062">
        <w:rPr>
          <w:rFonts w:ascii="Arial" w:hAnsi="Arial" w:cs="Arial"/>
          <w:sz w:val="20"/>
          <w:szCs w:val="20"/>
        </w:rPr>
        <w:t xml:space="preserve">, </w:t>
      </w:r>
      <w:proofErr w:type="spellStart"/>
      <w:r w:rsidRPr="00F00062">
        <w:rPr>
          <w:rFonts w:ascii="Arial" w:hAnsi="Arial" w:cs="Arial"/>
          <w:sz w:val="20"/>
          <w:szCs w:val="20"/>
        </w:rPr>
        <w:t>Barra</w:t>
      </w:r>
      <w:proofErr w:type="spellEnd"/>
      <w:r w:rsidRPr="00F00062">
        <w:rPr>
          <w:rFonts w:ascii="Arial" w:hAnsi="Arial" w:cs="Arial"/>
          <w:sz w:val="20"/>
          <w:szCs w:val="20"/>
        </w:rPr>
        <w:t xml:space="preserve">, Bloomberg, </w:t>
      </w:r>
      <w:proofErr w:type="spellStart"/>
      <w:r w:rsidRPr="00F00062">
        <w:rPr>
          <w:rFonts w:ascii="Arial" w:hAnsi="Arial" w:cs="Arial"/>
          <w:sz w:val="20"/>
          <w:szCs w:val="20"/>
        </w:rPr>
        <w:t>Bondedge</w:t>
      </w:r>
      <w:proofErr w:type="spellEnd"/>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t>What-if tools – generally part of trading kit</w:t>
      </w:r>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t xml:space="preserve">Fixed income – linking of portfolio requirements, security attributes, compliance and order management </w:t>
      </w:r>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t>Compliance-related exception management in SMA</w:t>
      </w:r>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t>Data collection, normalization &amp; building research databases</w:t>
      </w:r>
    </w:p>
    <w:p w:rsidR="00274299" w:rsidRPr="00274299" w:rsidRDefault="00274299" w:rsidP="005E6765">
      <w:pPr>
        <w:numPr>
          <w:ilvl w:val="1"/>
          <w:numId w:val="82"/>
        </w:numPr>
        <w:jc w:val="both"/>
        <w:rPr>
          <w:rFonts w:ascii="Arial" w:hAnsi="Arial" w:cs="Arial"/>
          <w:sz w:val="20"/>
          <w:szCs w:val="20"/>
        </w:rPr>
      </w:pPr>
      <w:r w:rsidRPr="00274299">
        <w:rPr>
          <w:rFonts w:ascii="Arial" w:hAnsi="Arial" w:cs="Arial"/>
          <w:sz w:val="20"/>
          <w:szCs w:val="20"/>
        </w:rPr>
        <w:t>Processes cash-flows of various investment products and communicates it to the transfer</w:t>
      </w:r>
      <w:r>
        <w:rPr>
          <w:rFonts w:ascii="Arial" w:hAnsi="Arial" w:cs="Arial"/>
          <w:sz w:val="20"/>
          <w:szCs w:val="20"/>
        </w:rPr>
        <w:t xml:space="preserve"> agency</w:t>
      </w:r>
    </w:p>
    <w:p w:rsidR="00274299" w:rsidRPr="00274299" w:rsidRDefault="00274299" w:rsidP="005E6765">
      <w:pPr>
        <w:numPr>
          <w:ilvl w:val="1"/>
          <w:numId w:val="82"/>
        </w:numPr>
        <w:jc w:val="both"/>
        <w:rPr>
          <w:rFonts w:ascii="Arial" w:hAnsi="Arial" w:cs="Arial"/>
          <w:sz w:val="20"/>
          <w:szCs w:val="20"/>
        </w:rPr>
      </w:pPr>
      <w:r w:rsidRPr="00274299">
        <w:rPr>
          <w:rFonts w:ascii="Arial" w:hAnsi="Arial" w:cs="Arial"/>
          <w:sz w:val="20"/>
          <w:szCs w:val="20"/>
        </w:rPr>
        <w:t>Provides for ability to deliver cash monitoring services to portfolio managers.</w:t>
      </w:r>
    </w:p>
    <w:p w:rsidR="00274299" w:rsidRPr="007930D7" w:rsidRDefault="00274299" w:rsidP="005E6765">
      <w:pPr>
        <w:numPr>
          <w:ilvl w:val="1"/>
          <w:numId w:val="82"/>
        </w:numPr>
        <w:jc w:val="both"/>
      </w:pPr>
      <w:r>
        <w:rPr>
          <w:rFonts w:ascii="Arial" w:hAnsi="Arial" w:cs="Arial"/>
          <w:sz w:val="20"/>
          <w:szCs w:val="20"/>
        </w:rPr>
        <w:t xml:space="preserve">Notifies </w:t>
      </w:r>
      <w:r w:rsidRPr="00274299">
        <w:rPr>
          <w:rFonts w:ascii="Arial" w:hAnsi="Arial" w:cs="Arial"/>
          <w:sz w:val="20"/>
          <w:szCs w:val="20"/>
        </w:rPr>
        <w:t>P</w:t>
      </w:r>
      <w:r>
        <w:rPr>
          <w:rFonts w:ascii="Arial" w:hAnsi="Arial" w:cs="Arial"/>
          <w:sz w:val="20"/>
          <w:szCs w:val="20"/>
        </w:rPr>
        <w:t xml:space="preserve">ortfolios </w:t>
      </w:r>
      <w:r w:rsidRPr="00274299">
        <w:rPr>
          <w:rFonts w:ascii="Arial" w:hAnsi="Arial" w:cs="Arial"/>
          <w:sz w:val="20"/>
          <w:szCs w:val="20"/>
        </w:rPr>
        <w:t>M</w:t>
      </w:r>
      <w:r>
        <w:rPr>
          <w:rFonts w:ascii="Arial" w:hAnsi="Arial" w:cs="Arial"/>
          <w:sz w:val="20"/>
          <w:szCs w:val="20"/>
        </w:rPr>
        <w:t>anager</w:t>
      </w:r>
      <w:r w:rsidRPr="00274299">
        <w:rPr>
          <w:rFonts w:ascii="Arial" w:hAnsi="Arial" w:cs="Arial"/>
          <w:sz w:val="20"/>
          <w:szCs w:val="20"/>
        </w:rPr>
        <w:t>s of cash-flows created.</w:t>
      </w:r>
    </w:p>
    <w:p w:rsidR="007930D7" w:rsidRDefault="007930D7" w:rsidP="007930D7">
      <w:pPr>
        <w:rPr>
          <w:rFonts w:ascii="Arial" w:hAnsi="Arial" w:cs="Arial"/>
          <w:sz w:val="20"/>
          <w:szCs w:val="20"/>
        </w:rPr>
      </w:pPr>
    </w:p>
    <w:p w:rsidR="007930D7" w:rsidRPr="007930D7" w:rsidRDefault="007930D7" w:rsidP="007930D7">
      <w:pPr>
        <w:rPr>
          <w:rFonts w:ascii="Arial" w:hAnsi="Arial"/>
          <w:bCs/>
          <w:color w:val="0000FF"/>
          <w:szCs w:val="28"/>
        </w:rPr>
      </w:pPr>
      <w:r w:rsidRPr="007930D7">
        <w:rPr>
          <w:rFonts w:ascii="Arial" w:hAnsi="Arial"/>
          <w:bCs/>
          <w:color w:val="0000FF"/>
          <w:szCs w:val="28"/>
        </w:rPr>
        <w:t>Performance Measurement Utility</w:t>
      </w:r>
    </w:p>
    <w:p w:rsidR="007930D7" w:rsidRDefault="007930D7" w:rsidP="007930D7">
      <w:pPr>
        <w:rPr>
          <w:rFonts w:ascii="Arial" w:hAnsi="Arial" w:cs="Arial"/>
          <w:sz w:val="20"/>
          <w:szCs w:val="20"/>
        </w:rPr>
      </w:pPr>
    </w:p>
    <w:p w:rsidR="007930D7" w:rsidRPr="007930D7" w:rsidRDefault="007930D7" w:rsidP="005E6765">
      <w:pPr>
        <w:jc w:val="both"/>
        <w:rPr>
          <w:rFonts w:ascii="Arial" w:hAnsi="Arial" w:cs="Arial"/>
          <w:sz w:val="20"/>
          <w:szCs w:val="20"/>
        </w:rPr>
      </w:pPr>
      <w:r w:rsidRPr="007930D7">
        <w:rPr>
          <w:rFonts w:ascii="Arial" w:hAnsi="Arial" w:cs="Arial"/>
          <w:sz w:val="20"/>
          <w:szCs w:val="20"/>
        </w:rPr>
        <w:t>Key Features include</w:t>
      </w:r>
      <w:r>
        <w:rPr>
          <w:rFonts w:ascii="Arial" w:hAnsi="Arial" w:cs="Arial"/>
          <w:sz w:val="20"/>
          <w:szCs w:val="20"/>
        </w:rPr>
        <w:t>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AIMR-GIPS standards and conventions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Modified Dietz methodology , accrual treatment options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Daily vs. monthly calculation frequency – issues and implications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Class level vs. security level calculation – requirements and issues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Effects of hedging, leverage, long-short strategies, derivatives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Effect of detail and frequency on system scalability &amp; performance</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Dependence on data quality &amp; timeliness</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Index data collection, scrubbing, and maintenance</w:t>
      </w:r>
    </w:p>
    <w:p w:rsidR="007930D7" w:rsidRPr="007930D7" w:rsidRDefault="007930D7" w:rsidP="005E6765">
      <w:pPr>
        <w:numPr>
          <w:ilvl w:val="1"/>
          <w:numId w:val="82"/>
        </w:numPr>
        <w:jc w:val="both"/>
        <w:rPr>
          <w:rFonts w:ascii="Arial" w:hAnsi="Arial" w:cs="Arial"/>
          <w:sz w:val="20"/>
          <w:szCs w:val="20"/>
        </w:rPr>
      </w:pPr>
      <w:r w:rsidRPr="007930D7">
        <w:rPr>
          <w:rFonts w:ascii="Arial" w:hAnsi="Arial" w:cs="Arial"/>
          <w:sz w:val="20"/>
          <w:szCs w:val="20"/>
        </w:rPr>
        <w:t>Mathematical treatment and relation between weights &amp; returns</w:t>
      </w:r>
    </w:p>
    <w:p w:rsidR="007930D7" w:rsidRDefault="007930D7" w:rsidP="007930D7"/>
    <w:p w:rsidR="00274299" w:rsidRPr="00F00062" w:rsidRDefault="00F00062" w:rsidP="008F23BC">
      <w:pPr>
        <w:rPr>
          <w:rFonts w:ascii="Arial" w:hAnsi="Arial"/>
          <w:bCs/>
          <w:color w:val="0000FF"/>
          <w:szCs w:val="28"/>
        </w:rPr>
      </w:pPr>
      <w:r w:rsidRPr="00F00062">
        <w:rPr>
          <w:rFonts w:ascii="Arial" w:hAnsi="Arial"/>
          <w:bCs/>
          <w:color w:val="0000FF"/>
          <w:szCs w:val="28"/>
        </w:rPr>
        <w:t>Compliance Utility</w:t>
      </w:r>
    </w:p>
    <w:p w:rsidR="00F00062" w:rsidRDefault="00F00062" w:rsidP="008F23BC"/>
    <w:p w:rsidR="00F00062" w:rsidRDefault="00F00062" w:rsidP="005E6765">
      <w:pPr>
        <w:jc w:val="both"/>
      </w:pPr>
      <w:r>
        <w:t xml:space="preserve"> </w:t>
      </w:r>
      <w:r w:rsidRPr="00F00062">
        <w:rPr>
          <w:rFonts w:ascii="Arial" w:hAnsi="Arial" w:cs="Arial"/>
          <w:sz w:val="20"/>
          <w:szCs w:val="20"/>
        </w:rPr>
        <w:t>Key feature includes</w:t>
      </w:r>
      <w:r>
        <w:rPr>
          <w:rFonts w:ascii="Arial" w:hAnsi="Arial" w:cs="Arial"/>
          <w:sz w:val="20"/>
          <w:szCs w:val="20"/>
        </w:rPr>
        <w:t>:</w:t>
      </w:r>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t>Rule types</w:t>
      </w:r>
    </w:p>
    <w:p w:rsidR="00F00062" w:rsidRPr="00F00062" w:rsidRDefault="00F00062" w:rsidP="005E6765">
      <w:pPr>
        <w:numPr>
          <w:ilvl w:val="3"/>
          <w:numId w:val="82"/>
        </w:numPr>
        <w:jc w:val="both"/>
        <w:rPr>
          <w:rFonts w:ascii="Arial" w:hAnsi="Arial" w:cs="Arial"/>
          <w:sz w:val="20"/>
          <w:szCs w:val="20"/>
        </w:rPr>
      </w:pPr>
      <w:r w:rsidRPr="00F00062">
        <w:rPr>
          <w:rFonts w:ascii="Arial" w:hAnsi="Arial" w:cs="Arial"/>
          <w:sz w:val="20"/>
          <w:szCs w:val="20"/>
        </w:rPr>
        <w:t>Lists (securities, issuers, brokers, countries etc.)</w:t>
      </w:r>
    </w:p>
    <w:p w:rsidR="00F00062" w:rsidRPr="00F00062" w:rsidRDefault="00F00062" w:rsidP="005E6765">
      <w:pPr>
        <w:numPr>
          <w:ilvl w:val="3"/>
          <w:numId w:val="82"/>
        </w:numPr>
        <w:jc w:val="both"/>
        <w:rPr>
          <w:rFonts w:ascii="Arial" w:hAnsi="Arial" w:cs="Arial"/>
          <w:sz w:val="20"/>
          <w:szCs w:val="20"/>
        </w:rPr>
      </w:pPr>
      <w:r w:rsidRPr="00F00062">
        <w:rPr>
          <w:rFonts w:ascii="Arial" w:hAnsi="Arial" w:cs="Arial"/>
          <w:sz w:val="20"/>
          <w:szCs w:val="20"/>
        </w:rPr>
        <w:t xml:space="preserve">Calculations (weighting, duration, exposure, risk etc.) </w:t>
      </w:r>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t>Industry standards (2a7, 30/60 day rules, restriction lists – KLD</w:t>
      </w:r>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lastRenderedPageBreak/>
        <w:t>Stages – On-create, on-place, post-trade</w:t>
      </w:r>
    </w:p>
    <w:p w:rsidR="00F00062" w:rsidRPr="00F00062" w:rsidRDefault="00F00062" w:rsidP="005E6765">
      <w:pPr>
        <w:numPr>
          <w:ilvl w:val="1"/>
          <w:numId w:val="82"/>
        </w:numPr>
        <w:jc w:val="both"/>
        <w:rPr>
          <w:rFonts w:ascii="Arial" w:hAnsi="Arial" w:cs="Arial"/>
          <w:sz w:val="20"/>
          <w:szCs w:val="20"/>
        </w:rPr>
      </w:pPr>
      <w:r w:rsidRPr="00F00062">
        <w:rPr>
          <w:rFonts w:ascii="Arial" w:hAnsi="Arial" w:cs="Arial"/>
          <w:sz w:val="20"/>
          <w:szCs w:val="20"/>
        </w:rPr>
        <w:t>System scalability based on compliance requirements</w:t>
      </w:r>
    </w:p>
    <w:p w:rsidR="00F00062" w:rsidRPr="008F23BC" w:rsidRDefault="00F00062" w:rsidP="008F23BC"/>
    <w:p w:rsidR="000E4D34" w:rsidRDefault="000E4D34" w:rsidP="0075663D">
      <w:pPr>
        <w:pStyle w:val="Heading2"/>
        <w:keepNext w:val="0"/>
        <w:spacing w:before="120" w:after="120" w:line="240" w:lineRule="atLeast"/>
        <w:ind w:left="0" w:firstLine="0"/>
        <w:jc w:val="both"/>
      </w:pPr>
      <w:bookmarkStart w:id="725" w:name="_Toc226530571"/>
      <w:r>
        <w:t>Back office</w:t>
      </w:r>
      <w:bookmarkEnd w:id="7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67"/>
        <w:gridCol w:w="2161"/>
        <w:gridCol w:w="4428"/>
      </w:tblGrid>
      <w:tr w:rsidR="0096752A" w:rsidRPr="00F55EEB" w:rsidTr="00F55EEB">
        <w:tc>
          <w:tcPr>
            <w:tcW w:w="1280" w:type="pct"/>
            <w:shd w:val="clear" w:color="auto" w:fill="C0C0C0"/>
          </w:tcPr>
          <w:p w:rsidR="0096752A" w:rsidRPr="00F55EEB" w:rsidRDefault="0096752A" w:rsidP="00F55EEB">
            <w:pPr>
              <w:tabs>
                <w:tab w:val="center" w:pos="1368"/>
              </w:tabs>
              <w:rPr>
                <w:rFonts w:ascii="Arial" w:hAnsi="Arial" w:cs="Arial"/>
                <w:b/>
                <w:sz w:val="20"/>
                <w:szCs w:val="20"/>
              </w:rPr>
            </w:pPr>
            <w:r w:rsidRPr="00F55EEB">
              <w:rPr>
                <w:rFonts w:ascii="Arial" w:hAnsi="Arial" w:cs="Arial"/>
                <w:b/>
                <w:sz w:val="20"/>
                <w:szCs w:val="20"/>
              </w:rPr>
              <w:t>Department</w:t>
            </w:r>
          </w:p>
        </w:tc>
        <w:tc>
          <w:tcPr>
            <w:tcW w:w="1220" w:type="pct"/>
            <w:shd w:val="clear" w:color="auto" w:fill="C0C0C0"/>
          </w:tcPr>
          <w:p w:rsidR="0096752A" w:rsidRPr="00F55EEB" w:rsidRDefault="0096752A" w:rsidP="001C60C9">
            <w:pPr>
              <w:rPr>
                <w:rFonts w:ascii="Arial" w:hAnsi="Arial" w:cs="Arial"/>
                <w:b/>
                <w:sz w:val="20"/>
                <w:szCs w:val="20"/>
              </w:rPr>
            </w:pPr>
            <w:r w:rsidRPr="00F55EEB">
              <w:rPr>
                <w:rFonts w:ascii="Arial" w:hAnsi="Arial" w:cs="Arial"/>
                <w:b/>
                <w:sz w:val="20"/>
                <w:szCs w:val="20"/>
              </w:rPr>
              <w:t>High Level Tasks</w:t>
            </w:r>
          </w:p>
        </w:tc>
        <w:tc>
          <w:tcPr>
            <w:tcW w:w="2500" w:type="pct"/>
            <w:shd w:val="clear" w:color="auto" w:fill="C0C0C0"/>
          </w:tcPr>
          <w:p w:rsidR="0096752A" w:rsidRPr="00F55EEB" w:rsidRDefault="0096752A" w:rsidP="001C60C9">
            <w:pPr>
              <w:rPr>
                <w:rFonts w:ascii="Arial" w:hAnsi="Arial" w:cs="Arial"/>
                <w:b/>
                <w:sz w:val="20"/>
                <w:szCs w:val="20"/>
              </w:rPr>
            </w:pPr>
            <w:r w:rsidRPr="00F55EEB">
              <w:rPr>
                <w:rFonts w:ascii="Arial" w:hAnsi="Arial" w:cs="Arial"/>
                <w:b/>
                <w:sz w:val="20"/>
                <w:szCs w:val="20"/>
              </w:rPr>
              <w:t>System Features</w:t>
            </w:r>
          </w:p>
        </w:tc>
      </w:tr>
      <w:tr w:rsidR="0096752A" w:rsidRPr="00F55EEB" w:rsidTr="00F55EEB">
        <w:tc>
          <w:tcPr>
            <w:tcW w:w="1280" w:type="pct"/>
          </w:tcPr>
          <w:p w:rsidR="0096752A" w:rsidRPr="00F55EEB" w:rsidRDefault="003D7A9D" w:rsidP="001C60C9">
            <w:pPr>
              <w:rPr>
                <w:rFonts w:ascii="Arial" w:hAnsi="Arial" w:cs="Arial"/>
                <w:sz w:val="20"/>
                <w:szCs w:val="20"/>
              </w:rPr>
            </w:pPr>
            <w:r w:rsidRPr="00F55EEB">
              <w:rPr>
                <w:rFonts w:ascii="Arial" w:hAnsi="Arial" w:cs="Arial"/>
                <w:sz w:val="20"/>
                <w:szCs w:val="20"/>
              </w:rPr>
              <w:t>Trade Management</w:t>
            </w:r>
          </w:p>
        </w:tc>
        <w:tc>
          <w:tcPr>
            <w:tcW w:w="1220" w:type="pct"/>
          </w:tcPr>
          <w:p w:rsidR="0096752A" w:rsidRPr="00F55EEB" w:rsidRDefault="003D7A9D" w:rsidP="001C60C9">
            <w:pPr>
              <w:rPr>
                <w:rFonts w:ascii="Arial" w:hAnsi="Arial" w:cs="Arial"/>
                <w:sz w:val="20"/>
                <w:szCs w:val="20"/>
              </w:rPr>
            </w:pPr>
            <w:r w:rsidRPr="00F55EEB">
              <w:rPr>
                <w:rFonts w:ascii="Arial" w:hAnsi="Arial" w:cs="Arial"/>
                <w:sz w:val="20"/>
                <w:szCs w:val="20"/>
              </w:rPr>
              <w:t>Reconciliation</w:t>
            </w:r>
          </w:p>
          <w:p w:rsidR="003D7A9D" w:rsidRPr="00F55EEB" w:rsidRDefault="003D7A9D" w:rsidP="001C60C9">
            <w:pPr>
              <w:rPr>
                <w:rFonts w:ascii="Arial" w:hAnsi="Arial" w:cs="Arial"/>
                <w:sz w:val="20"/>
                <w:szCs w:val="20"/>
              </w:rPr>
            </w:pPr>
            <w:r w:rsidRPr="00F55EEB">
              <w:rPr>
                <w:rFonts w:ascii="Arial" w:hAnsi="Arial" w:cs="Arial"/>
                <w:sz w:val="20"/>
                <w:szCs w:val="20"/>
              </w:rPr>
              <w:t>Clearing and Settlement</w:t>
            </w:r>
          </w:p>
        </w:tc>
        <w:tc>
          <w:tcPr>
            <w:tcW w:w="2500" w:type="pct"/>
          </w:tcPr>
          <w:p w:rsidR="0096752A" w:rsidRPr="00F55EEB" w:rsidRDefault="0096752A" w:rsidP="001C60C9">
            <w:pPr>
              <w:rPr>
                <w:rFonts w:ascii="Arial" w:hAnsi="Arial" w:cs="Arial"/>
                <w:sz w:val="20"/>
                <w:szCs w:val="20"/>
              </w:rPr>
            </w:pPr>
          </w:p>
        </w:tc>
      </w:tr>
      <w:tr w:rsidR="00EF5BF0" w:rsidRPr="00F55EEB" w:rsidTr="00F55EEB">
        <w:trPr>
          <w:trHeight w:val="305"/>
        </w:trPr>
        <w:tc>
          <w:tcPr>
            <w:tcW w:w="1280" w:type="pct"/>
            <w:vMerge w:val="restart"/>
          </w:tcPr>
          <w:p w:rsidR="00EF5BF0" w:rsidRPr="00F55EEB" w:rsidRDefault="00EF5BF0" w:rsidP="001C60C9">
            <w:pPr>
              <w:rPr>
                <w:rFonts w:ascii="Arial" w:hAnsi="Arial" w:cs="Arial"/>
                <w:sz w:val="20"/>
                <w:szCs w:val="20"/>
              </w:rPr>
            </w:pPr>
            <w:r w:rsidRPr="00F55EEB">
              <w:rPr>
                <w:rFonts w:ascii="Arial" w:hAnsi="Arial" w:cs="Arial"/>
                <w:sz w:val="20"/>
                <w:szCs w:val="20"/>
              </w:rPr>
              <w:t>Accounting</w:t>
            </w:r>
          </w:p>
        </w:tc>
        <w:tc>
          <w:tcPr>
            <w:tcW w:w="1220" w:type="pct"/>
          </w:tcPr>
          <w:p w:rsidR="00EF5BF0" w:rsidRPr="00F55EEB" w:rsidRDefault="00EF5BF0" w:rsidP="00EF5BF0">
            <w:pPr>
              <w:rPr>
                <w:rFonts w:ascii="Arial" w:hAnsi="Arial" w:cs="Arial"/>
                <w:sz w:val="20"/>
                <w:szCs w:val="20"/>
              </w:rPr>
            </w:pPr>
            <w:r w:rsidRPr="00F55EEB">
              <w:rPr>
                <w:rFonts w:ascii="Arial" w:hAnsi="Arial" w:cs="Arial"/>
                <w:sz w:val="20"/>
                <w:szCs w:val="20"/>
              </w:rPr>
              <w:t>Transaction and Maintenance</w:t>
            </w:r>
          </w:p>
        </w:tc>
        <w:tc>
          <w:tcPr>
            <w:tcW w:w="2500" w:type="pct"/>
            <w:shd w:val="clear" w:color="auto" w:fill="auto"/>
          </w:tcPr>
          <w:p w:rsidR="00EF5BF0" w:rsidRPr="00F55EEB" w:rsidRDefault="00EF5BF0" w:rsidP="00F55EEB">
            <w:pPr>
              <w:numPr>
                <w:ilvl w:val="0"/>
                <w:numId w:val="100"/>
              </w:numPr>
              <w:rPr>
                <w:rFonts w:ascii="Arial" w:hAnsi="Arial" w:cs="Arial"/>
                <w:sz w:val="20"/>
                <w:szCs w:val="20"/>
              </w:rPr>
            </w:pPr>
            <w:r w:rsidRPr="00F55EEB">
              <w:rPr>
                <w:rFonts w:ascii="Arial" w:hAnsi="Arial" w:cs="Arial"/>
                <w:sz w:val="20"/>
                <w:szCs w:val="20"/>
              </w:rPr>
              <w:t>Structure Fee schedules &amp; compute charges</w:t>
            </w:r>
          </w:p>
          <w:p w:rsidR="00EF5BF0" w:rsidRPr="00F55EEB" w:rsidRDefault="00EF5BF0" w:rsidP="00F55EEB">
            <w:pPr>
              <w:numPr>
                <w:ilvl w:val="0"/>
                <w:numId w:val="100"/>
              </w:numPr>
              <w:rPr>
                <w:rFonts w:ascii="Arial" w:hAnsi="Arial" w:cs="Arial"/>
                <w:sz w:val="20"/>
                <w:szCs w:val="20"/>
              </w:rPr>
            </w:pPr>
            <w:r w:rsidRPr="00F55EEB">
              <w:rPr>
                <w:rFonts w:ascii="Arial" w:hAnsi="Arial" w:cs="Arial"/>
                <w:sz w:val="20"/>
                <w:szCs w:val="20"/>
              </w:rPr>
              <w:t xml:space="preserve">Tax </w:t>
            </w:r>
            <w:smartTag w:uri="urn:schemas-microsoft-com:office:smarttags" w:element="place">
              <w:r w:rsidRPr="00F55EEB">
                <w:rPr>
                  <w:rFonts w:ascii="Arial" w:hAnsi="Arial" w:cs="Arial"/>
                  <w:sz w:val="20"/>
                  <w:szCs w:val="20"/>
                </w:rPr>
                <w:t>Lot</w:t>
              </w:r>
            </w:smartTag>
            <w:r w:rsidRPr="00F55EEB">
              <w:rPr>
                <w:rFonts w:ascii="Arial" w:hAnsi="Arial" w:cs="Arial"/>
                <w:sz w:val="20"/>
                <w:szCs w:val="20"/>
              </w:rPr>
              <w:t xml:space="preserve"> Accounting</w:t>
            </w:r>
          </w:p>
          <w:p w:rsidR="00EF5BF0" w:rsidRPr="00F55EEB" w:rsidRDefault="00EF5BF0" w:rsidP="00F55EEB">
            <w:pPr>
              <w:numPr>
                <w:ilvl w:val="0"/>
                <w:numId w:val="100"/>
              </w:numPr>
              <w:rPr>
                <w:rFonts w:ascii="Arial" w:hAnsi="Arial" w:cs="Arial"/>
                <w:sz w:val="20"/>
                <w:szCs w:val="20"/>
              </w:rPr>
            </w:pPr>
            <w:r w:rsidRPr="00F55EEB">
              <w:rPr>
                <w:rFonts w:ascii="Arial" w:hAnsi="Arial" w:cs="Arial"/>
                <w:sz w:val="20"/>
                <w:szCs w:val="20"/>
              </w:rPr>
              <w:t>Bills Settlement</w:t>
            </w:r>
          </w:p>
          <w:p w:rsidR="00EF5BF0" w:rsidRPr="00F55EEB" w:rsidRDefault="00EF5BF0" w:rsidP="00F55EEB">
            <w:pPr>
              <w:numPr>
                <w:ilvl w:val="0"/>
                <w:numId w:val="100"/>
              </w:numPr>
              <w:rPr>
                <w:rFonts w:ascii="Arial" w:hAnsi="Arial" w:cs="Arial"/>
                <w:sz w:val="20"/>
                <w:szCs w:val="20"/>
              </w:rPr>
            </w:pPr>
            <w:r w:rsidRPr="00F55EEB">
              <w:rPr>
                <w:rFonts w:ascii="Arial" w:hAnsi="Arial" w:cs="Arial"/>
                <w:sz w:val="20"/>
                <w:szCs w:val="20"/>
              </w:rPr>
              <w:t>Maintain Books of records (GL / Sub-GL etc)</w:t>
            </w:r>
          </w:p>
          <w:p w:rsidR="00EF5BF0" w:rsidRPr="00F55EEB" w:rsidRDefault="00EF5BF0" w:rsidP="00F55EEB">
            <w:pPr>
              <w:numPr>
                <w:ilvl w:val="0"/>
                <w:numId w:val="100"/>
              </w:numPr>
              <w:rPr>
                <w:rFonts w:ascii="Arial" w:hAnsi="Arial" w:cs="Arial"/>
                <w:sz w:val="20"/>
                <w:szCs w:val="20"/>
              </w:rPr>
            </w:pPr>
            <w:r w:rsidRPr="00F55EEB">
              <w:rPr>
                <w:rFonts w:ascii="Arial" w:hAnsi="Arial" w:cs="Arial"/>
                <w:sz w:val="20"/>
                <w:szCs w:val="20"/>
              </w:rPr>
              <w:t>Revenue Data for Invoices and Estimates</w:t>
            </w:r>
          </w:p>
        </w:tc>
      </w:tr>
      <w:tr w:rsidR="00EF5BF0" w:rsidRPr="00F55EEB" w:rsidTr="00F55EEB">
        <w:trPr>
          <w:trHeight w:val="305"/>
        </w:trPr>
        <w:tc>
          <w:tcPr>
            <w:tcW w:w="1280" w:type="pct"/>
            <w:vMerge/>
          </w:tcPr>
          <w:p w:rsidR="00EF5BF0" w:rsidRPr="00F55EEB" w:rsidRDefault="00EF5BF0" w:rsidP="001C60C9">
            <w:pPr>
              <w:rPr>
                <w:rFonts w:ascii="Arial" w:hAnsi="Arial" w:cs="Arial"/>
                <w:sz w:val="20"/>
                <w:szCs w:val="20"/>
              </w:rPr>
            </w:pPr>
          </w:p>
        </w:tc>
        <w:tc>
          <w:tcPr>
            <w:tcW w:w="1220" w:type="pct"/>
          </w:tcPr>
          <w:p w:rsidR="00EF5BF0" w:rsidRPr="00F55EEB" w:rsidRDefault="00EF5BF0" w:rsidP="001C60C9">
            <w:pPr>
              <w:rPr>
                <w:rFonts w:ascii="Arial" w:hAnsi="Arial" w:cs="Arial"/>
                <w:sz w:val="20"/>
                <w:szCs w:val="20"/>
              </w:rPr>
            </w:pPr>
            <w:r w:rsidRPr="00F55EEB">
              <w:rPr>
                <w:rFonts w:ascii="Arial" w:hAnsi="Arial" w:cs="Arial"/>
                <w:sz w:val="20"/>
                <w:szCs w:val="20"/>
              </w:rPr>
              <w:t>Statements</w:t>
            </w:r>
          </w:p>
        </w:tc>
        <w:tc>
          <w:tcPr>
            <w:tcW w:w="2500" w:type="pct"/>
            <w:shd w:val="clear" w:color="auto" w:fill="auto"/>
          </w:tcPr>
          <w:p w:rsidR="00EF5BF0" w:rsidRPr="00F55EEB" w:rsidRDefault="00EF5BF0" w:rsidP="00F55EEB">
            <w:pPr>
              <w:numPr>
                <w:ilvl w:val="0"/>
                <w:numId w:val="101"/>
              </w:numPr>
              <w:rPr>
                <w:rFonts w:ascii="Arial" w:hAnsi="Arial" w:cs="Arial"/>
                <w:sz w:val="20"/>
                <w:szCs w:val="20"/>
              </w:rPr>
            </w:pPr>
            <w:r w:rsidRPr="00F55EEB">
              <w:rPr>
                <w:rFonts w:ascii="Arial" w:hAnsi="Arial" w:cs="Arial"/>
                <w:sz w:val="20"/>
                <w:szCs w:val="20"/>
              </w:rPr>
              <w:t>Generate Brokerage Statements</w:t>
            </w:r>
          </w:p>
          <w:p w:rsidR="00EF5BF0" w:rsidRPr="00F55EEB" w:rsidRDefault="00EF5BF0" w:rsidP="00F55EEB">
            <w:pPr>
              <w:numPr>
                <w:ilvl w:val="0"/>
                <w:numId w:val="101"/>
              </w:numPr>
              <w:rPr>
                <w:rFonts w:ascii="Arial" w:hAnsi="Arial" w:cs="Arial"/>
                <w:sz w:val="20"/>
                <w:szCs w:val="20"/>
              </w:rPr>
            </w:pPr>
            <w:r w:rsidRPr="00F55EEB">
              <w:rPr>
                <w:rFonts w:ascii="Arial" w:hAnsi="Arial" w:cs="Arial"/>
                <w:sz w:val="20"/>
                <w:szCs w:val="20"/>
              </w:rPr>
              <w:t>Generate Bank Statements &amp; Certificates</w:t>
            </w:r>
          </w:p>
          <w:p w:rsidR="00EF5BF0" w:rsidRPr="00F55EEB" w:rsidRDefault="00EF5BF0" w:rsidP="00F55EEB">
            <w:pPr>
              <w:numPr>
                <w:ilvl w:val="0"/>
                <w:numId w:val="101"/>
              </w:numPr>
              <w:rPr>
                <w:rFonts w:ascii="Arial" w:hAnsi="Arial" w:cs="Arial"/>
                <w:sz w:val="20"/>
                <w:szCs w:val="20"/>
              </w:rPr>
            </w:pPr>
            <w:r w:rsidRPr="00F55EEB">
              <w:rPr>
                <w:rFonts w:ascii="Arial" w:hAnsi="Arial" w:cs="Arial"/>
                <w:sz w:val="20"/>
                <w:szCs w:val="20"/>
              </w:rPr>
              <w:t>Generate Trust Statements</w:t>
            </w:r>
          </w:p>
          <w:p w:rsidR="00EF5BF0" w:rsidRPr="00F55EEB" w:rsidRDefault="00EF5BF0" w:rsidP="00F55EEB">
            <w:pPr>
              <w:numPr>
                <w:ilvl w:val="0"/>
                <w:numId w:val="101"/>
              </w:numPr>
              <w:rPr>
                <w:rFonts w:ascii="Arial" w:hAnsi="Arial" w:cs="Arial"/>
                <w:sz w:val="20"/>
                <w:szCs w:val="20"/>
              </w:rPr>
            </w:pPr>
            <w:r w:rsidRPr="00F55EEB">
              <w:rPr>
                <w:rFonts w:ascii="Arial" w:hAnsi="Arial" w:cs="Arial"/>
                <w:sz w:val="20"/>
                <w:szCs w:val="20"/>
              </w:rPr>
              <w:t>Generate / Route Investment Statements</w:t>
            </w:r>
          </w:p>
          <w:p w:rsidR="00EF5BF0" w:rsidRPr="00F55EEB" w:rsidRDefault="00EF5BF0" w:rsidP="00F55EEB">
            <w:pPr>
              <w:numPr>
                <w:ilvl w:val="0"/>
                <w:numId w:val="101"/>
              </w:numPr>
              <w:rPr>
                <w:rFonts w:ascii="Arial" w:hAnsi="Arial" w:cs="Arial"/>
                <w:sz w:val="20"/>
                <w:szCs w:val="20"/>
              </w:rPr>
            </w:pPr>
            <w:r w:rsidRPr="00F55EEB">
              <w:rPr>
                <w:rFonts w:ascii="Arial" w:hAnsi="Arial" w:cs="Arial"/>
                <w:sz w:val="20"/>
                <w:szCs w:val="20"/>
              </w:rPr>
              <w:t xml:space="preserve">Generate Consolidated Portfolio Statements </w:t>
            </w:r>
          </w:p>
          <w:p w:rsidR="00EF5BF0" w:rsidRPr="00F55EEB" w:rsidRDefault="00EF5BF0" w:rsidP="001C60C9">
            <w:pPr>
              <w:rPr>
                <w:rFonts w:ascii="Arial" w:hAnsi="Arial" w:cs="Arial"/>
                <w:sz w:val="20"/>
                <w:szCs w:val="20"/>
              </w:rPr>
            </w:pPr>
          </w:p>
        </w:tc>
      </w:tr>
      <w:tr w:rsidR="00EF5BF0" w:rsidRPr="00F55EEB" w:rsidTr="00F55EEB">
        <w:trPr>
          <w:trHeight w:val="305"/>
        </w:trPr>
        <w:tc>
          <w:tcPr>
            <w:tcW w:w="1280" w:type="pct"/>
            <w:vMerge/>
          </w:tcPr>
          <w:p w:rsidR="00EF5BF0" w:rsidRPr="00F55EEB" w:rsidRDefault="00EF5BF0" w:rsidP="001C60C9">
            <w:pPr>
              <w:rPr>
                <w:rFonts w:ascii="Arial" w:hAnsi="Arial" w:cs="Arial"/>
                <w:sz w:val="20"/>
                <w:szCs w:val="20"/>
              </w:rPr>
            </w:pPr>
          </w:p>
        </w:tc>
        <w:tc>
          <w:tcPr>
            <w:tcW w:w="1220" w:type="pct"/>
          </w:tcPr>
          <w:p w:rsidR="00EF5BF0" w:rsidRPr="00F55EEB" w:rsidRDefault="00EF5BF0" w:rsidP="001C60C9">
            <w:pPr>
              <w:rPr>
                <w:rFonts w:ascii="Arial" w:hAnsi="Arial" w:cs="Arial"/>
                <w:sz w:val="20"/>
                <w:szCs w:val="20"/>
              </w:rPr>
            </w:pPr>
            <w:r w:rsidRPr="00F55EEB">
              <w:rPr>
                <w:rFonts w:ascii="Arial" w:hAnsi="Arial" w:cs="Arial"/>
                <w:sz w:val="20"/>
                <w:szCs w:val="20"/>
              </w:rPr>
              <w:t>Portfolio Accounting</w:t>
            </w:r>
          </w:p>
        </w:tc>
        <w:tc>
          <w:tcPr>
            <w:tcW w:w="2500" w:type="pct"/>
            <w:shd w:val="clear" w:color="auto" w:fill="auto"/>
          </w:tcPr>
          <w:p w:rsidR="00EF5BF0" w:rsidRPr="00F55EEB" w:rsidRDefault="00EF5BF0" w:rsidP="00F55EEB">
            <w:pPr>
              <w:numPr>
                <w:ilvl w:val="0"/>
                <w:numId w:val="102"/>
              </w:numPr>
              <w:rPr>
                <w:rFonts w:ascii="Arial" w:hAnsi="Arial" w:cs="Arial"/>
                <w:sz w:val="20"/>
                <w:szCs w:val="20"/>
              </w:rPr>
            </w:pPr>
            <w:r w:rsidRPr="00F55EEB">
              <w:rPr>
                <w:rFonts w:ascii="Arial" w:hAnsi="Arial" w:cs="Arial"/>
                <w:sz w:val="20"/>
                <w:szCs w:val="20"/>
              </w:rPr>
              <w:t>Portfolio Accounting</w:t>
            </w:r>
          </w:p>
        </w:tc>
      </w:tr>
      <w:tr w:rsidR="00EF5BF0" w:rsidRPr="00F55EEB" w:rsidTr="00F55EEB">
        <w:trPr>
          <w:trHeight w:val="113"/>
        </w:trPr>
        <w:tc>
          <w:tcPr>
            <w:tcW w:w="1280" w:type="pct"/>
          </w:tcPr>
          <w:p w:rsidR="00EF5BF0" w:rsidRPr="00F55EEB" w:rsidRDefault="00EF5BF0" w:rsidP="001C60C9">
            <w:pPr>
              <w:rPr>
                <w:rFonts w:ascii="Arial" w:hAnsi="Arial" w:cs="Arial"/>
                <w:sz w:val="20"/>
                <w:szCs w:val="20"/>
              </w:rPr>
            </w:pPr>
            <w:r w:rsidRPr="00F55EEB">
              <w:rPr>
                <w:rFonts w:ascii="Arial" w:hAnsi="Arial" w:cs="Arial"/>
                <w:sz w:val="20"/>
                <w:szCs w:val="20"/>
              </w:rPr>
              <w:t>Performance Analysis</w:t>
            </w:r>
          </w:p>
        </w:tc>
        <w:tc>
          <w:tcPr>
            <w:tcW w:w="1220" w:type="pct"/>
          </w:tcPr>
          <w:p w:rsidR="00EF5BF0" w:rsidRPr="00F55EEB" w:rsidRDefault="00EF5BF0" w:rsidP="001C60C9">
            <w:pPr>
              <w:rPr>
                <w:rFonts w:ascii="Arial" w:hAnsi="Arial" w:cs="Arial"/>
                <w:sz w:val="20"/>
                <w:szCs w:val="20"/>
              </w:rPr>
            </w:pPr>
            <w:r w:rsidRPr="00F55EEB">
              <w:rPr>
                <w:rFonts w:ascii="Arial" w:hAnsi="Arial" w:cs="Arial"/>
                <w:sz w:val="20"/>
                <w:szCs w:val="20"/>
              </w:rPr>
              <w:t>Sales Performance</w:t>
            </w:r>
          </w:p>
        </w:tc>
        <w:tc>
          <w:tcPr>
            <w:tcW w:w="2500" w:type="pct"/>
            <w:shd w:val="clear" w:color="auto" w:fill="auto"/>
          </w:tcPr>
          <w:p w:rsidR="00EF5BF0" w:rsidRPr="00F55EEB" w:rsidRDefault="00EF5BF0" w:rsidP="00F55EEB">
            <w:pPr>
              <w:numPr>
                <w:ilvl w:val="0"/>
                <w:numId w:val="103"/>
              </w:numPr>
              <w:rPr>
                <w:rFonts w:ascii="Arial" w:hAnsi="Arial" w:cs="Arial"/>
                <w:sz w:val="20"/>
                <w:szCs w:val="20"/>
              </w:rPr>
            </w:pPr>
            <w:r w:rsidRPr="00F55EEB">
              <w:rPr>
                <w:rFonts w:ascii="Arial" w:hAnsi="Arial" w:cs="Arial"/>
                <w:sz w:val="20"/>
                <w:szCs w:val="20"/>
              </w:rPr>
              <w:t>Customer Satisfaction Analysis</w:t>
            </w:r>
          </w:p>
          <w:p w:rsidR="00EF5BF0" w:rsidRPr="00F55EEB" w:rsidRDefault="00EF5BF0" w:rsidP="00F55EEB">
            <w:pPr>
              <w:numPr>
                <w:ilvl w:val="0"/>
                <w:numId w:val="103"/>
              </w:numPr>
              <w:rPr>
                <w:rFonts w:ascii="Arial" w:hAnsi="Arial" w:cs="Arial"/>
                <w:sz w:val="20"/>
                <w:szCs w:val="20"/>
              </w:rPr>
            </w:pPr>
            <w:r w:rsidRPr="00F55EEB">
              <w:rPr>
                <w:rFonts w:ascii="Arial" w:hAnsi="Arial" w:cs="Arial"/>
                <w:sz w:val="20"/>
                <w:szCs w:val="20"/>
              </w:rPr>
              <w:t>Customer Profitability Analysis</w:t>
            </w:r>
          </w:p>
          <w:p w:rsidR="00EF5BF0" w:rsidRPr="00F55EEB" w:rsidRDefault="00EF5BF0" w:rsidP="00F55EEB">
            <w:pPr>
              <w:numPr>
                <w:ilvl w:val="0"/>
                <w:numId w:val="103"/>
              </w:numPr>
              <w:rPr>
                <w:rFonts w:ascii="Arial" w:hAnsi="Arial" w:cs="Arial"/>
                <w:sz w:val="20"/>
                <w:szCs w:val="20"/>
              </w:rPr>
            </w:pPr>
            <w:r w:rsidRPr="00F55EEB">
              <w:rPr>
                <w:rFonts w:ascii="Arial" w:hAnsi="Arial" w:cs="Arial"/>
                <w:sz w:val="20"/>
                <w:szCs w:val="20"/>
              </w:rPr>
              <w:t>Measure Relationship Manager's performance vis-à-vis target</w:t>
            </w:r>
          </w:p>
        </w:tc>
      </w:tr>
      <w:tr w:rsidR="00EF5BF0" w:rsidRPr="00F55EEB" w:rsidTr="00F55EEB">
        <w:trPr>
          <w:trHeight w:val="233"/>
        </w:trPr>
        <w:tc>
          <w:tcPr>
            <w:tcW w:w="1280" w:type="pct"/>
            <w:vMerge w:val="restart"/>
          </w:tcPr>
          <w:p w:rsidR="00EF5BF0" w:rsidRPr="00F55EEB" w:rsidRDefault="00EF5BF0" w:rsidP="001C60C9">
            <w:pPr>
              <w:rPr>
                <w:rFonts w:ascii="Arial" w:hAnsi="Arial" w:cs="Arial"/>
                <w:sz w:val="20"/>
                <w:szCs w:val="20"/>
              </w:rPr>
            </w:pPr>
            <w:r w:rsidRPr="00F55EEB">
              <w:rPr>
                <w:rFonts w:ascii="Arial" w:hAnsi="Arial" w:cs="Arial"/>
                <w:sz w:val="20"/>
                <w:szCs w:val="20"/>
              </w:rPr>
              <w:t>Reporting</w:t>
            </w:r>
          </w:p>
        </w:tc>
        <w:tc>
          <w:tcPr>
            <w:tcW w:w="1220" w:type="pct"/>
          </w:tcPr>
          <w:p w:rsidR="00EF5BF0" w:rsidRPr="00F55EEB" w:rsidRDefault="00EF5BF0" w:rsidP="001C60C9">
            <w:pPr>
              <w:rPr>
                <w:rFonts w:ascii="Arial" w:hAnsi="Arial" w:cs="Arial"/>
                <w:sz w:val="20"/>
                <w:szCs w:val="20"/>
              </w:rPr>
            </w:pPr>
            <w:r w:rsidRPr="00F55EEB">
              <w:rPr>
                <w:rFonts w:ascii="Arial" w:hAnsi="Arial" w:cs="Arial"/>
                <w:sz w:val="20"/>
                <w:szCs w:val="20"/>
              </w:rPr>
              <w:t>Regulatory</w:t>
            </w:r>
          </w:p>
        </w:tc>
        <w:tc>
          <w:tcPr>
            <w:tcW w:w="2500" w:type="pct"/>
            <w:shd w:val="clear" w:color="auto" w:fill="auto"/>
          </w:tcPr>
          <w:p w:rsidR="00EF5BF0" w:rsidRPr="00F55EEB" w:rsidRDefault="00EF5BF0" w:rsidP="00F55EEB">
            <w:pPr>
              <w:numPr>
                <w:ilvl w:val="0"/>
                <w:numId w:val="104"/>
              </w:numPr>
              <w:rPr>
                <w:rFonts w:ascii="Arial" w:hAnsi="Arial" w:cs="Arial"/>
                <w:sz w:val="20"/>
                <w:szCs w:val="20"/>
              </w:rPr>
            </w:pPr>
            <w:r w:rsidRPr="00F55EEB">
              <w:rPr>
                <w:rFonts w:ascii="Arial" w:hAnsi="Arial" w:cs="Arial"/>
                <w:sz w:val="20"/>
                <w:szCs w:val="20"/>
              </w:rPr>
              <w:t>Tax Reporting</w:t>
            </w:r>
          </w:p>
          <w:p w:rsidR="00EF5BF0" w:rsidRPr="00F55EEB" w:rsidRDefault="00EF5BF0" w:rsidP="00F55EEB">
            <w:pPr>
              <w:numPr>
                <w:ilvl w:val="0"/>
                <w:numId w:val="104"/>
              </w:numPr>
              <w:rPr>
                <w:rFonts w:ascii="Arial" w:hAnsi="Arial" w:cs="Arial"/>
                <w:sz w:val="20"/>
                <w:szCs w:val="20"/>
              </w:rPr>
            </w:pPr>
            <w:r w:rsidRPr="00F55EEB">
              <w:rPr>
                <w:rFonts w:ascii="Arial" w:hAnsi="Arial" w:cs="Arial"/>
                <w:sz w:val="20"/>
                <w:szCs w:val="20"/>
              </w:rPr>
              <w:t>Federal &amp; Other agencies Reporting</w:t>
            </w:r>
          </w:p>
        </w:tc>
      </w:tr>
      <w:tr w:rsidR="00EF5BF0" w:rsidRPr="00F55EEB" w:rsidTr="00F55EEB">
        <w:trPr>
          <w:trHeight w:val="232"/>
        </w:trPr>
        <w:tc>
          <w:tcPr>
            <w:tcW w:w="1280" w:type="pct"/>
            <w:vMerge/>
          </w:tcPr>
          <w:p w:rsidR="00EF5BF0" w:rsidRPr="00F55EEB" w:rsidRDefault="00EF5BF0" w:rsidP="001C60C9">
            <w:pPr>
              <w:rPr>
                <w:rFonts w:ascii="Arial" w:hAnsi="Arial" w:cs="Arial"/>
                <w:sz w:val="20"/>
                <w:szCs w:val="20"/>
              </w:rPr>
            </w:pPr>
          </w:p>
        </w:tc>
        <w:tc>
          <w:tcPr>
            <w:tcW w:w="1220" w:type="pct"/>
          </w:tcPr>
          <w:p w:rsidR="00EF5BF0" w:rsidRPr="00F55EEB" w:rsidRDefault="00EF5BF0" w:rsidP="001C60C9">
            <w:pPr>
              <w:rPr>
                <w:rFonts w:ascii="Arial" w:hAnsi="Arial" w:cs="Arial"/>
                <w:sz w:val="20"/>
                <w:szCs w:val="20"/>
              </w:rPr>
            </w:pPr>
            <w:r w:rsidRPr="00F55EEB">
              <w:rPr>
                <w:rFonts w:ascii="Arial" w:hAnsi="Arial" w:cs="Arial"/>
                <w:sz w:val="20"/>
                <w:szCs w:val="20"/>
              </w:rPr>
              <w:t>Business( MIS)</w:t>
            </w:r>
          </w:p>
        </w:tc>
        <w:tc>
          <w:tcPr>
            <w:tcW w:w="2500" w:type="pct"/>
            <w:shd w:val="clear" w:color="auto" w:fill="auto"/>
          </w:tcPr>
          <w:p w:rsidR="00EF5BF0" w:rsidRPr="00F55EEB" w:rsidRDefault="00EF5BF0" w:rsidP="00F55EEB">
            <w:pPr>
              <w:numPr>
                <w:ilvl w:val="0"/>
                <w:numId w:val="105"/>
              </w:numPr>
              <w:rPr>
                <w:rFonts w:ascii="Arial" w:hAnsi="Arial" w:cs="Arial"/>
                <w:sz w:val="20"/>
                <w:szCs w:val="20"/>
              </w:rPr>
            </w:pPr>
            <w:r w:rsidRPr="00F55EEB">
              <w:rPr>
                <w:rFonts w:ascii="Arial" w:hAnsi="Arial" w:cs="Arial"/>
                <w:sz w:val="20"/>
                <w:szCs w:val="20"/>
              </w:rPr>
              <w:t>Corporate G/L</w:t>
            </w:r>
          </w:p>
          <w:p w:rsidR="00EF5BF0" w:rsidRPr="00F55EEB" w:rsidRDefault="00EF5BF0" w:rsidP="00F55EEB">
            <w:pPr>
              <w:numPr>
                <w:ilvl w:val="0"/>
                <w:numId w:val="105"/>
              </w:numPr>
              <w:rPr>
                <w:rFonts w:ascii="Arial" w:hAnsi="Arial" w:cs="Arial"/>
                <w:sz w:val="20"/>
                <w:szCs w:val="20"/>
              </w:rPr>
            </w:pPr>
            <w:r w:rsidRPr="00F55EEB">
              <w:rPr>
                <w:rFonts w:ascii="Arial" w:hAnsi="Arial" w:cs="Arial"/>
                <w:sz w:val="20"/>
                <w:szCs w:val="20"/>
              </w:rPr>
              <w:t>AUM Reporting</w:t>
            </w:r>
          </w:p>
          <w:p w:rsidR="00EF5BF0" w:rsidRPr="00F55EEB" w:rsidRDefault="00EF5BF0" w:rsidP="00F55EEB">
            <w:pPr>
              <w:numPr>
                <w:ilvl w:val="0"/>
                <w:numId w:val="105"/>
              </w:numPr>
              <w:rPr>
                <w:rFonts w:ascii="Arial" w:hAnsi="Arial" w:cs="Arial"/>
                <w:sz w:val="20"/>
                <w:szCs w:val="20"/>
              </w:rPr>
            </w:pPr>
            <w:r w:rsidRPr="00F55EEB">
              <w:rPr>
                <w:rFonts w:ascii="Arial" w:hAnsi="Arial" w:cs="Arial"/>
                <w:sz w:val="20"/>
                <w:szCs w:val="20"/>
              </w:rPr>
              <w:t>Revenue Reporting</w:t>
            </w:r>
          </w:p>
          <w:p w:rsidR="00EF5BF0" w:rsidRPr="00F55EEB" w:rsidRDefault="00EF5BF0" w:rsidP="00F55EEB">
            <w:pPr>
              <w:numPr>
                <w:ilvl w:val="0"/>
                <w:numId w:val="105"/>
              </w:numPr>
              <w:rPr>
                <w:rFonts w:ascii="Arial" w:hAnsi="Arial" w:cs="Arial"/>
                <w:sz w:val="20"/>
                <w:szCs w:val="20"/>
              </w:rPr>
            </w:pPr>
            <w:r w:rsidRPr="00F55EEB">
              <w:rPr>
                <w:rFonts w:ascii="Arial" w:hAnsi="Arial" w:cs="Arial"/>
                <w:sz w:val="20"/>
                <w:szCs w:val="20"/>
              </w:rPr>
              <w:t>Profitability Reporting</w:t>
            </w:r>
          </w:p>
          <w:p w:rsidR="00EF5BF0" w:rsidRPr="00F55EEB" w:rsidRDefault="00EF5BF0" w:rsidP="00F55EEB">
            <w:pPr>
              <w:numPr>
                <w:ilvl w:val="0"/>
                <w:numId w:val="105"/>
              </w:numPr>
              <w:rPr>
                <w:rFonts w:ascii="Arial" w:hAnsi="Arial" w:cs="Arial"/>
                <w:sz w:val="20"/>
                <w:szCs w:val="20"/>
              </w:rPr>
            </w:pPr>
            <w:r w:rsidRPr="00F55EEB">
              <w:rPr>
                <w:rFonts w:ascii="Arial" w:hAnsi="Arial" w:cs="Arial"/>
                <w:sz w:val="20"/>
                <w:szCs w:val="20"/>
              </w:rPr>
              <w:t>Positions Reporting</w:t>
            </w:r>
          </w:p>
          <w:p w:rsidR="00EF5BF0" w:rsidRPr="00F55EEB" w:rsidRDefault="00EF5BF0" w:rsidP="00F55EEB">
            <w:pPr>
              <w:numPr>
                <w:ilvl w:val="0"/>
                <w:numId w:val="105"/>
              </w:numPr>
              <w:rPr>
                <w:rFonts w:ascii="Arial" w:hAnsi="Arial" w:cs="Arial"/>
                <w:sz w:val="20"/>
                <w:szCs w:val="20"/>
              </w:rPr>
            </w:pPr>
            <w:r w:rsidRPr="00F55EEB">
              <w:rPr>
                <w:rFonts w:ascii="Arial" w:hAnsi="Arial" w:cs="Arial"/>
                <w:sz w:val="20"/>
                <w:szCs w:val="20"/>
              </w:rPr>
              <w:t>Business Metrics</w:t>
            </w:r>
          </w:p>
          <w:p w:rsidR="00EF5BF0" w:rsidRPr="00F55EEB" w:rsidRDefault="00EF5BF0" w:rsidP="00F55EEB">
            <w:pPr>
              <w:numPr>
                <w:ilvl w:val="0"/>
                <w:numId w:val="105"/>
              </w:numPr>
              <w:rPr>
                <w:rFonts w:ascii="Arial" w:hAnsi="Arial" w:cs="Arial"/>
                <w:sz w:val="20"/>
                <w:szCs w:val="20"/>
              </w:rPr>
            </w:pPr>
            <w:r w:rsidRPr="00F55EEB">
              <w:rPr>
                <w:rFonts w:ascii="Arial" w:hAnsi="Arial" w:cs="Arial"/>
                <w:sz w:val="20"/>
                <w:szCs w:val="20"/>
              </w:rPr>
              <w:t>Ad Hoc Reporting</w:t>
            </w:r>
          </w:p>
        </w:tc>
      </w:tr>
      <w:tr w:rsidR="00EF5BF0" w:rsidRPr="00F55EEB" w:rsidTr="00F55EEB">
        <w:trPr>
          <w:trHeight w:val="233"/>
        </w:trPr>
        <w:tc>
          <w:tcPr>
            <w:tcW w:w="1280" w:type="pct"/>
            <w:vMerge w:val="restart"/>
          </w:tcPr>
          <w:p w:rsidR="00EF5BF0" w:rsidRPr="00F55EEB" w:rsidRDefault="00EF5BF0" w:rsidP="001C60C9">
            <w:pPr>
              <w:rPr>
                <w:rFonts w:ascii="Arial" w:hAnsi="Arial" w:cs="Arial"/>
                <w:sz w:val="20"/>
                <w:szCs w:val="20"/>
              </w:rPr>
            </w:pPr>
            <w:r w:rsidRPr="00F55EEB">
              <w:rPr>
                <w:rFonts w:ascii="Arial" w:hAnsi="Arial" w:cs="Arial"/>
                <w:sz w:val="20"/>
                <w:szCs w:val="20"/>
              </w:rPr>
              <w:t>Data Management</w:t>
            </w:r>
          </w:p>
        </w:tc>
        <w:tc>
          <w:tcPr>
            <w:tcW w:w="1220" w:type="pct"/>
          </w:tcPr>
          <w:p w:rsidR="00EF5BF0" w:rsidRPr="00F55EEB" w:rsidRDefault="00EF5BF0" w:rsidP="001C60C9">
            <w:pPr>
              <w:rPr>
                <w:rFonts w:ascii="Arial" w:hAnsi="Arial" w:cs="Arial"/>
                <w:sz w:val="20"/>
                <w:szCs w:val="20"/>
              </w:rPr>
            </w:pPr>
            <w:r w:rsidRPr="00F55EEB">
              <w:rPr>
                <w:rFonts w:ascii="Arial" w:hAnsi="Arial" w:cs="Arial"/>
                <w:sz w:val="20"/>
                <w:szCs w:val="20"/>
              </w:rPr>
              <w:t>Reference Data Management</w:t>
            </w:r>
          </w:p>
        </w:tc>
        <w:tc>
          <w:tcPr>
            <w:tcW w:w="2500" w:type="pct"/>
            <w:shd w:val="clear" w:color="auto" w:fill="auto"/>
          </w:tcPr>
          <w:p w:rsidR="00EF5BF0" w:rsidRPr="00F55EEB" w:rsidRDefault="00EF5BF0" w:rsidP="00F55EEB">
            <w:pPr>
              <w:numPr>
                <w:ilvl w:val="0"/>
                <w:numId w:val="106"/>
              </w:numPr>
              <w:rPr>
                <w:rFonts w:ascii="Arial" w:hAnsi="Arial" w:cs="Arial"/>
                <w:iCs/>
                <w:sz w:val="20"/>
                <w:szCs w:val="20"/>
              </w:rPr>
            </w:pPr>
            <w:r w:rsidRPr="00F55EEB">
              <w:rPr>
                <w:rFonts w:ascii="Arial" w:hAnsi="Arial" w:cs="Arial"/>
                <w:sz w:val="20"/>
                <w:szCs w:val="20"/>
              </w:rPr>
              <w:t>Source pricing and market value data</w:t>
            </w:r>
          </w:p>
          <w:p w:rsidR="00EF5BF0" w:rsidRPr="00F55EEB" w:rsidRDefault="00EF5BF0" w:rsidP="00F55EEB">
            <w:pPr>
              <w:numPr>
                <w:ilvl w:val="0"/>
                <w:numId w:val="106"/>
              </w:numPr>
              <w:rPr>
                <w:rFonts w:ascii="Arial" w:hAnsi="Arial" w:cs="Arial"/>
                <w:sz w:val="20"/>
                <w:szCs w:val="20"/>
              </w:rPr>
            </w:pPr>
            <w:r w:rsidRPr="00F55EEB">
              <w:rPr>
                <w:rFonts w:ascii="Arial" w:hAnsi="Arial" w:cs="Arial"/>
                <w:sz w:val="20"/>
                <w:szCs w:val="20"/>
              </w:rPr>
              <w:t>Maintaining instrument data</w:t>
            </w:r>
          </w:p>
          <w:p w:rsidR="00EF5BF0" w:rsidRPr="00F55EEB" w:rsidRDefault="00EF5BF0" w:rsidP="00F55EEB">
            <w:pPr>
              <w:numPr>
                <w:ilvl w:val="0"/>
                <w:numId w:val="106"/>
              </w:numPr>
              <w:rPr>
                <w:rFonts w:ascii="Arial" w:hAnsi="Arial" w:cs="Arial"/>
                <w:iCs/>
                <w:sz w:val="20"/>
                <w:szCs w:val="20"/>
              </w:rPr>
            </w:pPr>
            <w:r w:rsidRPr="00F55EEB">
              <w:rPr>
                <w:rFonts w:ascii="Arial" w:hAnsi="Arial" w:cs="Arial"/>
                <w:iCs/>
                <w:sz w:val="20"/>
                <w:szCs w:val="20"/>
              </w:rPr>
              <w:t>Maintaining benchmark constituent data</w:t>
            </w:r>
          </w:p>
          <w:p w:rsidR="00EF5BF0" w:rsidRPr="00F55EEB" w:rsidRDefault="00EF5BF0" w:rsidP="00F55EEB">
            <w:pPr>
              <w:numPr>
                <w:ilvl w:val="0"/>
                <w:numId w:val="106"/>
              </w:numPr>
              <w:rPr>
                <w:rFonts w:ascii="Arial" w:hAnsi="Arial" w:cs="Arial"/>
                <w:iCs/>
                <w:sz w:val="20"/>
                <w:szCs w:val="20"/>
              </w:rPr>
            </w:pPr>
            <w:r w:rsidRPr="00F55EEB">
              <w:rPr>
                <w:rFonts w:ascii="Arial" w:hAnsi="Arial" w:cs="Arial"/>
                <w:iCs/>
                <w:sz w:val="20"/>
                <w:szCs w:val="20"/>
              </w:rPr>
              <w:t xml:space="preserve">Maintaining client data </w:t>
            </w:r>
          </w:p>
          <w:p w:rsidR="00EF5BF0" w:rsidRPr="00F55EEB" w:rsidRDefault="00EF5BF0" w:rsidP="00F55EEB">
            <w:pPr>
              <w:numPr>
                <w:ilvl w:val="0"/>
                <w:numId w:val="106"/>
              </w:numPr>
              <w:rPr>
                <w:rFonts w:ascii="Arial" w:hAnsi="Arial" w:cs="Arial"/>
                <w:sz w:val="20"/>
                <w:szCs w:val="20"/>
              </w:rPr>
            </w:pPr>
            <w:r w:rsidRPr="00F55EEB">
              <w:rPr>
                <w:rFonts w:ascii="Arial" w:hAnsi="Arial" w:cs="Arial"/>
                <w:iCs/>
                <w:sz w:val="20"/>
                <w:szCs w:val="20"/>
              </w:rPr>
              <w:t>Maintaining Third-party data</w:t>
            </w:r>
          </w:p>
        </w:tc>
      </w:tr>
      <w:tr w:rsidR="00EF5BF0" w:rsidRPr="00F55EEB" w:rsidTr="00F55EEB">
        <w:trPr>
          <w:trHeight w:val="232"/>
        </w:trPr>
        <w:tc>
          <w:tcPr>
            <w:tcW w:w="1280" w:type="pct"/>
            <w:vMerge/>
          </w:tcPr>
          <w:p w:rsidR="00EF5BF0" w:rsidRPr="00F55EEB" w:rsidRDefault="00EF5BF0" w:rsidP="001C60C9">
            <w:pPr>
              <w:rPr>
                <w:rFonts w:ascii="Arial" w:hAnsi="Arial" w:cs="Arial"/>
                <w:sz w:val="20"/>
                <w:szCs w:val="20"/>
              </w:rPr>
            </w:pPr>
          </w:p>
        </w:tc>
        <w:tc>
          <w:tcPr>
            <w:tcW w:w="1220" w:type="pct"/>
          </w:tcPr>
          <w:p w:rsidR="00EF5BF0" w:rsidRPr="00F55EEB" w:rsidRDefault="00EF5BF0" w:rsidP="001C60C9">
            <w:pPr>
              <w:rPr>
                <w:rFonts w:ascii="Arial" w:hAnsi="Arial" w:cs="Arial"/>
                <w:sz w:val="20"/>
                <w:szCs w:val="20"/>
              </w:rPr>
            </w:pPr>
            <w:r w:rsidRPr="00F55EEB">
              <w:rPr>
                <w:rFonts w:ascii="Arial" w:hAnsi="Arial" w:cs="Arial"/>
                <w:sz w:val="20"/>
                <w:szCs w:val="20"/>
              </w:rPr>
              <w:t>Operations Data</w:t>
            </w:r>
          </w:p>
        </w:tc>
        <w:tc>
          <w:tcPr>
            <w:tcW w:w="2500" w:type="pct"/>
            <w:shd w:val="clear" w:color="auto" w:fill="auto"/>
          </w:tcPr>
          <w:p w:rsidR="00EF5BF0" w:rsidRPr="00F55EEB" w:rsidRDefault="00EF5BF0" w:rsidP="00F55EEB">
            <w:pPr>
              <w:numPr>
                <w:ilvl w:val="0"/>
                <w:numId w:val="107"/>
              </w:numPr>
              <w:rPr>
                <w:rFonts w:ascii="Arial" w:hAnsi="Arial" w:cs="Arial"/>
                <w:sz w:val="20"/>
                <w:szCs w:val="20"/>
              </w:rPr>
            </w:pPr>
            <w:r w:rsidRPr="00F55EEB">
              <w:rPr>
                <w:rFonts w:ascii="Arial" w:hAnsi="Arial" w:cs="Arial"/>
                <w:sz w:val="20"/>
                <w:szCs w:val="20"/>
              </w:rPr>
              <w:t>Maintain position and holding data</w:t>
            </w:r>
          </w:p>
        </w:tc>
      </w:tr>
    </w:tbl>
    <w:p w:rsidR="00F0076C" w:rsidRDefault="00F0076C" w:rsidP="00F0076C"/>
    <w:p w:rsidR="00F00062" w:rsidRPr="00DB0A70" w:rsidRDefault="00F00062" w:rsidP="00DB0A70">
      <w:pPr>
        <w:rPr>
          <w:rFonts w:ascii="Arial" w:hAnsi="Arial"/>
          <w:bCs/>
          <w:color w:val="0000FF"/>
          <w:szCs w:val="28"/>
        </w:rPr>
      </w:pPr>
    </w:p>
    <w:p w:rsidR="00A8670A" w:rsidRDefault="00A8670A" w:rsidP="00A8670A">
      <w:pPr>
        <w:pStyle w:val="Heading3"/>
        <w:keepNext w:val="0"/>
        <w:tabs>
          <w:tab w:val="clear" w:pos="6444"/>
          <w:tab w:val="num" w:pos="540"/>
        </w:tabs>
        <w:spacing w:before="120" w:after="120" w:line="240" w:lineRule="atLeast"/>
        <w:ind w:left="0" w:firstLine="0"/>
        <w:jc w:val="both"/>
      </w:pPr>
      <w:r>
        <w:t>High Level Systems Overview (Back Office)</w:t>
      </w:r>
    </w:p>
    <w:p w:rsidR="00D45B4F" w:rsidRDefault="00D45B4F" w:rsidP="00D45B4F"/>
    <w:p w:rsidR="00D45B4F" w:rsidRPr="00107401" w:rsidRDefault="00D45B4F" w:rsidP="005E6765">
      <w:pPr>
        <w:jc w:val="both"/>
        <w:rPr>
          <w:rFonts w:ascii="Arial" w:hAnsi="Arial" w:cs="Arial"/>
          <w:sz w:val="20"/>
          <w:szCs w:val="20"/>
        </w:rPr>
      </w:pPr>
      <w:r w:rsidRPr="00107401">
        <w:rPr>
          <w:rFonts w:ascii="Arial" w:hAnsi="Arial" w:cs="Arial"/>
          <w:sz w:val="20"/>
          <w:szCs w:val="20"/>
        </w:rPr>
        <w:lastRenderedPageBreak/>
        <w:t xml:space="preserve">Below </w:t>
      </w:r>
      <w:r>
        <w:rPr>
          <w:rFonts w:ascii="Arial" w:hAnsi="Arial" w:cs="Arial"/>
          <w:sz w:val="20"/>
          <w:szCs w:val="20"/>
        </w:rPr>
        <w:t>is the indicative list of</w:t>
      </w:r>
      <w:r w:rsidRPr="00107401">
        <w:rPr>
          <w:rFonts w:ascii="Arial" w:hAnsi="Arial" w:cs="Arial"/>
          <w:sz w:val="20"/>
          <w:szCs w:val="20"/>
        </w:rPr>
        <w:t xml:space="preserve"> key </w:t>
      </w:r>
      <w:r>
        <w:rPr>
          <w:rFonts w:ascii="Arial" w:hAnsi="Arial" w:cs="Arial"/>
          <w:sz w:val="20"/>
          <w:szCs w:val="20"/>
        </w:rPr>
        <w:t xml:space="preserve">technology </w:t>
      </w:r>
      <w:r w:rsidRPr="00107401">
        <w:rPr>
          <w:rFonts w:ascii="Arial" w:hAnsi="Arial" w:cs="Arial"/>
          <w:sz w:val="20"/>
          <w:szCs w:val="20"/>
        </w:rPr>
        <w:t>tasks perf</w:t>
      </w:r>
      <w:r>
        <w:rPr>
          <w:rFonts w:ascii="Arial" w:hAnsi="Arial" w:cs="Arial"/>
          <w:sz w:val="20"/>
          <w:szCs w:val="20"/>
        </w:rPr>
        <w:t>ormed by various Back Office systems:</w:t>
      </w:r>
    </w:p>
    <w:p w:rsidR="00D45B4F" w:rsidRDefault="00D45B4F" w:rsidP="00D45B4F"/>
    <w:p w:rsidR="00D45B4F" w:rsidRDefault="00D45B4F" w:rsidP="00D45B4F">
      <w:pPr>
        <w:rPr>
          <w:rFonts w:ascii="Arial" w:hAnsi="Arial"/>
          <w:bCs/>
          <w:color w:val="0000FF"/>
          <w:szCs w:val="28"/>
        </w:rPr>
      </w:pPr>
      <w:r w:rsidRPr="00731692">
        <w:rPr>
          <w:rFonts w:ascii="Arial" w:hAnsi="Arial"/>
          <w:bCs/>
          <w:color w:val="0000FF"/>
          <w:szCs w:val="28"/>
        </w:rPr>
        <w:t>Business (MIS)</w:t>
      </w:r>
      <w:r>
        <w:rPr>
          <w:rFonts w:ascii="Arial" w:hAnsi="Arial"/>
          <w:bCs/>
          <w:color w:val="0000FF"/>
          <w:szCs w:val="28"/>
        </w:rPr>
        <w:t xml:space="preserve"> Utility</w:t>
      </w:r>
    </w:p>
    <w:p w:rsidR="00D45B4F" w:rsidRDefault="00D45B4F" w:rsidP="00D45B4F">
      <w:pPr>
        <w:rPr>
          <w:rFonts w:ascii="Arial" w:hAnsi="Arial"/>
          <w:bCs/>
          <w:color w:val="0000FF"/>
          <w:szCs w:val="28"/>
        </w:rPr>
      </w:pPr>
    </w:p>
    <w:p w:rsidR="00D45B4F" w:rsidRDefault="00D45B4F" w:rsidP="005E6765">
      <w:pPr>
        <w:jc w:val="both"/>
        <w:rPr>
          <w:rFonts w:ascii="Arial" w:hAnsi="Arial" w:cs="Arial"/>
          <w:sz w:val="20"/>
          <w:szCs w:val="20"/>
        </w:rPr>
      </w:pPr>
      <w:r w:rsidRPr="00731692">
        <w:rPr>
          <w:rFonts w:ascii="Arial" w:hAnsi="Arial" w:cs="Arial"/>
          <w:sz w:val="20"/>
          <w:szCs w:val="20"/>
        </w:rPr>
        <w:t xml:space="preserve">Usually </w:t>
      </w:r>
      <w:r>
        <w:rPr>
          <w:rFonts w:ascii="Arial" w:hAnsi="Arial" w:cs="Arial"/>
          <w:sz w:val="20"/>
          <w:szCs w:val="20"/>
        </w:rPr>
        <w:t>these types of utilities are large data ware houses which receives feed from all enterprise wide systems. Based on the mandate given by the management, various reports can be generated on given frequency basis for different user profiles. Normally all the confirmed transactions form the basis of the raw data based on which all other attributes of the reports are generated.</w:t>
      </w:r>
    </w:p>
    <w:p w:rsidR="00D45B4F" w:rsidRDefault="00D45B4F" w:rsidP="00D45B4F">
      <w:pPr>
        <w:jc w:val="both"/>
        <w:rPr>
          <w:rFonts w:ascii="Arial" w:hAnsi="Arial" w:cs="Arial"/>
          <w:sz w:val="20"/>
          <w:szCs w:val="20"/>
        </w:rPr>
      </w:pPr>
    </w:p>
    <w:p w:rsidR="00D45B4F" w:rsidRDefault="00D45B4F" w:rsidP="00D45B4F">
      <w:pPr>
        <w:rPr>
          <w:rFonts w:ascii="Arial" w:hAnsi="Arial"/>
          <w:bCs/>
          <w:color w:val="0000FF"/>
          <w:szCs w:val="28"/>
        </w:rPr>
      </w:pPr>
      <w:r w:rsidRPr="00DB0A70">
        <w:rPr>
          <w:rFonts w:ascii="Arial" w:hAnsi="Arial"/>
          <w:bCs/>
          <w:color w:val="0000FF"/>
          <w:szCs w:val="28"/>
        </w:rPr>
        <w:t>Data Management Utility</w:t>
      </w:r>
    </w:p>
    <w:p w:rsidR="00D45B4F" w:rsidRDefault="00D45B4F" w:rsidP="00D45B4F">
      <w:pPr>
        <w:rPr>
          <w:rFonts w:ascii="Arial" w:hAnsi="Arial"/>
          <w:bCs/>
          <w:color w:val="0000FF"/>
          <w:szCs w:val="28"/>
        </w:rPr>
      </w:pPr>
    </w:p>
    <w:p w:rsidR="00D45B4F" w:rsidRDefault="00D45B4F" w:rsidP="005E6765">
      <w:pPr>
        <w:jc w:val="both"/>
        <w:rPr>
          <w:rFonts w:ascii="Arial" w:hAnsi="Arial" w:cs="Arial"/>
          <w:sz w:val="20"/>
          <w:szCs w:val="20"/>
        </w:rPr>
      </w:pPr>
      <w:r w:rsidRPr="00DB0A70">
        <w:rPr>
          <w:rFonts w:ascii="Arial" w:hAnsi="Arial" w:cs="Arial"/>
          <w:sz w:val="20"/>
          <w:szCs w:val="20"/>
        </w:rPr>
        <w:t xml:space="preserve">This utility normally receives data feed from third party sources to keep the reference data up to date. </w:t>
      </w:r>
      <w:r>
        <w:rPr>
          <w:rFonts w:ascii="Arial" w:hAnsi="Arial" w:cs="Arial"/>
          <w:sz w:val="20"/>
          <w:szCs w:val="20"/>
        </w:rPr>
        <w:t xml:space="preserve">Usually </w:t>
      </w:r>
      <w:proofErr w:type="spellStart"/>
      <w:r>
        <w:rPr>
          <w:rFonts w:ascii="Arial" w:hAnsi="Arial" w:cs="Arial"/>
          <w:sz w:val="20"/>
          <w:szCs w:val="20"/>
        </w:rPr>
        <w:t>the</w:t>
      </w:r>
      <w:proofErr w:type="spellEnd"/>
      <w:r>
        <w:rPr>
          <w:rFonts w:ascii="Arial" w:hAnsi="Arial" w:cs="Arial"/>
          <w:sz w:val="20"/>
          <w:szCs w:val="20"/>
        </w:rPr>
        <w:t xml:space="preserve"> receive </w:t>
      </w:r>
      <w:r w:rsidRPr="00DB0A70">
        <w:rPr>
          <w:rFonts w:ascii="Arial" w:hAnsi="Arial" w:cs="Arial"/>
          <w:sz w:val="20"/>
          <w:szCs w:val="20"/>
        </w:rPr>
        <w:t>End of Day Prices from vendor feeds, process them and publish them to various users and applications</w:t>
      </w:r>
      <w:r>
        <w:rPr>
          <w:rFonts w:ascii="Arial" w:hAnsi="Arial" w:cs="Arial"/>
          <w:sz w:val="20"/>
          <w:szCs w:val="20"/>
        </w:rPr>
        <w:t xml:space="preserve"> for the enterprise</w:t>
      </w:r>
      <w:r w:rsidRPr="00DB0A70">
        <w:rPr>
          <w:rFonts w:ascii="Arial" w:hAnsi="Arial" w:cs="Arial"/>
          <w:sz w:val="20"/>
          <w:szCs w:val="20"/>
        </w:rPr>
        <w:t xml:space="preserve">. </w:t>
      </w:r>
      <w:r>
        <w:rPr>
          <w:rFonts w:ascii="Arial" w:hAnsi="Arial" w:cs="Arial"/>
          <w:sz w:val="20"/>
          <w:szCs w:val="20"/>
        </w:rPr>
        <w:t>The firm</w:t>
      </w:r>
      <w:r w:rsidRPr="00DB0A70">
        <w:rPr>
          <w:rFonts w:ascii="Arial" w:hAnsi="Arial" w:cs="Arial"/>
          <w:sz w:val="20"/>
          <w:szCs w:val="20"/>
        </w:rPr>
        <w:t xml:space="preserve"> utilizes security prices to support its portfolio management functions such as portfolio performance measurement, maintaining positions and ensuring that the company has accurate information on all positions and transactions in their client accounts.</w:t>
      </w:r>
      <w:r>
        <w:rPr>
          <w:rFonts w:ascii="Arial" w:hAnsi="Arial" w:cs="Arial"/>
          <w:sz w:val="20"/>
          <w:szCs w:val="20"/>
        </w:rPr>
        <w:t xml:space="preserve"> The application availability for this utility tends to be high in nature as they primarily support the below key tasks</w:t>
      </w:r>
    </w:p>
    <w:p w:rsidR="00D45B4F" w:rsidRDefault="00D45B4F" w:rsidP="005E6765">
      <w:pPr>
        <w:jc w:val="both"/>
        <w:rPr>
          <w:rFonts w:ascii="Arial" w:hAnsi="Arial" w:cs="Arial"/>
          <w:sz w:val="20"/>
          <w:szCs w:val="20"/>
        </w:rPr>
      </w:pPr>
    </w:p>
    <w:p w:rsidR="00D45B4F" w:rsidRPr="00DB0A70" w:rsidRDefault="00D45B4F" w:rsidP="005E6765">
      <w:pPr>
        <w:numPr>
          <w:ilvl w:val="1"/>
          <w:numId w:val="82"/>
        </w:numPr>
        <w:jc w:val="both"/>
        <w:rPr>
          <w:rFonts w:ascii="Arial" w:hAnsi="Arial" w:cs="Arial"/>
          <w:sz w:val="20"/>
          <w:szCs w:val="20"/>
        </w:rPr>
      </w:pPr>
      <w:r w:rsidRPr="00DB0A70">
        <w:rPr>
          <w:rFonts w:ascii="Arial" w:hAnsi="Arial" w:cs="Arial"/>
          <w:sz w:val="20"/>
          <w:szCs w:val="20"/>
        </w:rPr>
        <w:t>Reference data for company (issuer) and security information</w:t>
      </w:r>
    </w:p>
    <w:p w:rsidR="00D45B4F" w:rsidRDefault="00D45B4F" w:rsidP="005E6765">
      <w:pPr>
        <w:numPr>
          <w:ilvl w:val="1"/>
          <w:numId w:val="82"/>
        </w:numPr>
        <w:jc w:val="both"/>
        <w:rPr>
          <w:rFonts w:ascii="Arial" w:hAnsi="Arial" w:cs="Arial"/>
          <w:sz w:val="20"/>
          <w:szCs w:val="20"/>
        </w:rPr>
      </w:pPr>
      <w:r w:rsidRPr="00DB0A70">
        <w:rPr>
          <w:rFonts w:ascii="Arial" w:hAnsi="Arial" w:cs="Arial"/>
          <w:sz w:val="20"/>
          <w:szCs w:val="20"/>
        </w:rPr>
        <w:t xml:space="preserve">Referenced by several critical applications in the </w:t>
      </w:r>
      <w:r>
        <w:rPr>
          <w:rFonts w:ascii="Arial" w:hAnsi="Arial" w:cs="Arial"/>
          <w:sz w:val="20"/>
          <w:szCs w:val="20"/>
        </w:rPr>
        <w:t>enterprise</w:t>
      </w:r>
      <w:r w:rsidRPr="00DB0A70">
        <w:rPr>
          <w:rFonts w:ascii="Arial" w:hAnsi="Arial" w:cs="Arial"/>
          <w:sz w:val="20"/>
          <w:szCs w:val="20"/>
        </w:rPr>
        <w:t xml:space="preserve"> landscape</w:t>
      </w:r>
    </w:p>
    <w:p w:rsidR="00D45B4F" w:rsidRDefault="00D45B4F" w:rsidP="00D45B4F">
      <w:pPr>
        <w:rPr>
          <w:rFonts w:ascii="Arial" w:hAnsi="Arial" w:cs="Arial"/>
          <w:sz w:val="20"/>
          <w:szCs w:val="20"/>
        </w:rPr>
      </w:pPr>
    </w:p>
    <w:p w:rsidR="00D45B4F" w:rsidRPr="00DB0A70" w:rsidRDefault="00D45B4F" w:rsidP="00D45B4F">
      <w:pPr>
        <w:rPr>
          <w:rFonts w:ascii="Arial" w:hAnsi="Arial" w:cs="Arial"/>
          <w:sz w:val="20"/>
          <w:szCs w:val="20"/>
        </w:rPr>
      </w:pPr>
    </w:p>
    <w:p w:rsidR="00D45B4F" w:rsidRPr="00411A68" w:rsidRDefault="00D45B4F" w:rsidP="00D45B4F">
      <w:pPr>
        <w:rPr>
          <w:rFonts w:ascii="Arial" w:hAnsi="Arial"/>
          <w:b/>
          <w:bCs/>
          <w:color w:val="0000FF"/>
          <w:sz w:val="22"/>
          <w:szCs w:val="22"/>
        </w:rPr>
      </w:pPr>
      <w:r w:rsidRPr="00411A68">
        <w:rPr>
          <w:rFonts w:ascii="Arial" w:hAnsi="Arial"/>
          <w:b/>
          <w:bCs/>
          <w:color w:val="0000FF"/>
          <w:sz w:val="22"/>
          <w:szCs w:val="22"/>
        </w:rPr>
        <w:t>Portfolio Accounting Utility</w:t>
      </w:r>
    </w:p>
    <w:p w:rsidR="005E6765" w:rsidRDefault="005E6765" w:rsidP="00D45B4F">
      <w:pPr>
        <w:rPr>
          <w:rFonts w:ascii="Arial" w:hAnsi="Arial" w:cs="Arial"/>
          <w:sz w:val="20"/>
          <w:szCs w:val="20"/>
        </w:rPr>
      </w:pPr>
    </w:p>
    <w:p w:rsidR="00D45B4F" w:rsidRDefault="007930D7" w:rsidP="005E6765">
      <w:pPr>
        <w:jc w:val="both"/>
        <w:rPr>
          <w:rFonts w:ascii="Arial" w:hAnsi="Arial" w:cs="Arial"/>
          <w:sz w:val="20"/>
          <w:szCs w:val="20"/>
        </w:rPr>
      </w:pPr>
      <w:r w:rsidRPr="00F00062">
        <w:rPr>
          <w:rFonts w:ascii="Arial" w:hAnsi="Arial" w:cs="Arial"/>
          <w:sz w:val="20"/>
          <w:szCs w:val="20"/>
        </w:rPr>
        <w:t>Key feature includes</w:t>
      </w:r>
      <w:r>
        <w:rPr>
          <w:rFonts w:ascii="Arial" w:hAnsi="Arial" w:cs="Arial"/>
          <w:sz w:val="20"/>
          <w:szCs w:val="20"/>
        </w:rPr>
        <w:t>:</w:t>
      </w:r>
    </w:p>
    <w:p w:rsidR="00D45B4F" w:rsidRPr="00274299" w:rsidRDefault="00D45B4F" w:rsidP="005E6765">
      <w:pPr>
        <w:numPr>
          <w:ilvl w:val="1"/>
          <w:numId w:val="82"/>
        </w:numPr>
        <w:jc w:val="both"/>
        <w:rPr>
          <w:rFonts w:ascii="Arial" w:hAnsi="Arial" w:cs="Arial"/>
          <w:sz w:val="20"/>
          <w:szCs w:val="20"/>
        </w:rPr>
      </w:pPr>
      <w:r w:rsidRPr="00274299">
        <w:rPr>
          <w:rFonts w:ascii="Arial" w:hAnsi="Arial" w:cs="Arial"/>
          <w:sz w:val="20"/>
          <w:szCs w:val="20"/>
        </w:rPr>
        <w:t>Th</w:t>
      </w:r>
      <w:r>
        <w:rPr>
          <w:rFonts w:ascii="Arial" w:hAnsi="Arial" w:cs="Arial"/>
          <w:sz w:val="20"/>
          <w:szCs w:val="20"/>
        </w:rPr>
        <w:t>is</w:t>
      </w:r>
      <w:r w:rsidRPr="00274299">
        <w:rPr>
          <w:rFonts w:ascii="Arial" w:hAnsi="Arial" w:cs="Arial"/>
          <w:sz w:val="20"/>
          <w:szCs w:val="20"/>
        </w:rPr>
        <w:t xml:space="preserve"> application is </w:t>
      </w:r>
      <w:r>
        <w:rPr>
          <w:rFonts w:ascii="Arial" w:hAnsi="Arial" w:cs="Arial"/>
          <w:sz w:val="20"/>
          <w:szCs w:val="20"/>
        </w:rPr>
        <w:t xml:space="preserve">normally </w:t>
      </w:r>
      <w:r w:rsidRPr="00274299">
        <w:rPr>
          <w:rFonts w:ascii="Arial" w:hAnsi="Arial" w:cs="Arial"/>
          <w:sz w:val="20"/>
          <w:szCs w:val="20"/>
        </w:rPr>
        <w:t xml:space="preserve">integrated to </w:t>
      </w:r>
      <w:r>
        <w:rPr>
          <w:rFonts w:ascii="Arial" w:hAnsi="Arial" w:cs="Arial"/>
          <w:sz w:val="20"/>
          <w:szCs w:val="20"/>
        </w:rPr>
        <w:t>corporate</w:t>
      </w:r>
      <w:r w:rsidRPr="00274299">
        <w:rPr>
          <w:rFonts w:ascii="Arial" w:hAnsi="Arial" w:cs="Arial"/>
          <w:sz w:val="20"/>
          <w:szCs w:val="20"/>
        </w:rPr>
        <w:t xml:space="preserve"> trading system and data repository via proprietary software. </w:t>
      </w:r>
    </w:p>
    <w:p w:rsidR="00D45B4F" w:rsidRPr="00274299" w:rsidRDefault="00D45B4F" w:rsidP="005E6765">
      <w:pPr>
        <w:numPr>
          <w:ilvl w:val="1"/>
          <w:numId w:val="82"/>
        </w:numPr>
        <w:jc w:val="both"/>
        <w:rPr>
          <w:rFonts w:ascii="Arial" w:hAnsi="Arial" w:cs="Arial"/>
          <w:sz w:val="20"/>
          <w:szCs w:val="20"/>
        </w:rPr>
      </w:pPr>
      <w:r w:rsidRPr="00274299">
        <w:rPr>
          <w:rFonts w:ascii="Arial" w:hAnsi="Arial" w:cs="Arial"/>
          <w:sz w:val="20"/>
          <w:szCs w:val="20"/>
        </w:rPr>
        <w:t xml:space="preserve">On a daily basis, trading activity, prices, corporate actions, security master, </w:t>
      </w:r>
      <w:r w:rsidR="00B72131">
        <w:rPr>
          <w:rFonts w:ascii="Arial" w:hAnsi="Arial" w:cs="Arial"/>
          <w:sz w:val="20"/>
          <w:szCs w:val="20"/>
        </w:rPr>
        <w:t>etc.</w:t>
      </w:r>
      <w:r w:rsidRPr="00274299">
        <w:rPr>
          <w:rFonts w:ascii="Arial" w:hAnsi="Arial" w:cs="Arial"/>
          <w:sz w:val="20"/>
          <w:szCs w:val="20"/>
        </w:rPr>
        <w:t xml:space="preserve"> are posted for all client accounts. </w:t>
      </w:r>
    </w:p>
    <w:p w:rsidR="00D45B4F" w:rsidRPr="00274299" w:rsidRDefault="00D45B4F" w:rsidP="005E6765">
      <w:pPr>
        <w:numPr>
          <w:ilvl w:val="1"/>
          <w:numId w:val="82"/>
        </w:numPr>
        <w:jc w:val="both"/>
        <w:rPr>
          <w:rFonts w:ascii="Arial" w:hAnsi="Arial" w:cs="Arial"/>
          <w:sz w:val="20"/>
          <w:szCs w:val="20"/>
        </w:rPr>
      </w:pPr>
      <w:r>
        <w:rPr>
          <w:rFonts w:ascii="Arial" w:hAnsi="Arial" w:cs="Arial"/>
          <w:sz w:val="20"/>
          <w:szCs w:val="20"/>
        </w:rPr>
        <w:t>This utility</w:t>
      </w:r>
      <w:r w:rsidRPr="00274299">
        <w:rPr>
          <w:rFonts w:ascii="Arial" w:hAnsi="Arial" w:cs="Arial"/>
          <w:sz w:val="20"/>
          <w:szCs w:val="20"/>
        </w:rPr>
        <w:t xml:space="preserve"> produces the posted transactions, start-of-day positions, end-of-day position, and prior month position along with the market values. </w:t>
      </w:r>
    </w:p>
    <w:p w:rsidR="00B72131" w:rsidRDefault="00D45B4F" w:rsidP="005E6765">
      <w:pPr>
        <w:numPr>
          <w:ilvl w:val="1"/>
          <w:numId w:val="82"/>
        </w:numPr>
        <w:jc w:val="both"/>
        <w:rPr>
          <w:rFonts w:ascii="Arial" w:hAnsi="Arial" w:cs="Arial"/>
          <w:sz w:val="20"/>
          <w:szCs w:val="20"/>
        </w:rPr>
      </w:pPr>
      <w:r w:rsidRPr="00274299">
        <w:rPr>
          <w:rFonts w:ascii="Arial" w:hAnsi="Arial" w:cs="Arial"/>
          <w:sz w:val="20"/>
          <w:szCs w:val="20"/>
        </w:rPr>
        <w:t xml:space="preserve">This data is stored in the </w:t>
      </w:r>
      <w:r>
        <w:rPr>
          <w:rFonts w:ascii="Arial" w:hAnsi="Arial" w:cs="Arial"/>
          <w:sz w:val="20"/>
          <w:szCs w:val="20"/>
        </w:rPr>
        <w:t>data</w:t>
      </w:r>
      <w:r w:rsidRPr="00274299">
        <w:rPr>
          <w:rFonts w:ascii="Arial" w:hAnsi="Arial" w:cs="Arial"/>
          <w:sz w:val="20"/>
          <w:szCs w:val="20"/>
        </w:rPr>
        <w:t xml:space="preserve"> repository for use by all other down steam systems as well as client and internal reporting applications.</w:t>
      </w:r>
    </w:p>
    <w:p w:rsidR="00D45B4F" w:rsidRPr="00274299" w:rsidRDefault="00B72131" w:rsidP="005E6765">
      <w:pPr>
        <w:numPr>
          <w:ilvl w:val="1"/>
          <w:numId w:val="82"/>
        </w:numPr>
        <w:jc w:val="both"/>
        <w:rPr>
          <w:rFonts w:ascii="Arial" w:hAnsi="Arial" w:cs="Arial"/>
          <w:sz w:val="20"/>
          <w:szCs w:val="20"/>
        </w:rPr>
      </w:pPr>
      <w:r>
        <w:rPr>
          <w:rFonts w:ascii="Arial" w:hAnsi="Arial" w:cs="Arial"/>
          <w:sz w:val="20"/>
          <w:szCs w:val="20"/>
        </w:rPr>
        <w:t>Portfolio accounting platform typically has a large number of upstream as well as downstream interfaces, processes a large amount of data,</w:t>
      </w:r>
      <w:r w:rsidR="006F0CA4">
        <w:rPr>
          <w:rFonts w:ascii="Arial" w:hAnsi="Arial" w:cs="Arial"/>
          <w:sz w:val="20"/>
          <w:szCs w:val="20"/>
        </w:rPr>
        <w:t xml:space="preserve"> has very stringent SLAs</w:t>
      </w:r>
      <w:r>
        <w:rPr>
          <w:rFonts w:ascii="Arial" w:hAnsi="Arial" w:cs="Arial"/>
          <w:sz w:val="20"/>
          <w:szCs w:val="20"/>
        </w:rPr>
        <w:t xml:space="preserve"> and </w:t>
      </w:r>
      <w:r w:rsidR="006F0CA4">
        <w:rPr>
          <w:rFonts w:ascii="Arial" w:hAnsi="Arial" w:cs="Arial"/>
          <w:sz w:val="20"/>
          <w:szCs w:val="20"/>
        </w:rPr>
        <w:t>typically requires many manual interventions or validations during the complete process.</w:t>
      </w:r>
    </w:p>
    <w:p w:rsidR="005E6765" w:rsidRDefault="005E6765" w:rsidP="00D45B4F">
      <w:pPr>
        <w:rPr>
          <w:rFonts w:ascii="Arial" w:hAnsi="Arial"/>
          <w:bCs/>
          <w:color w:val="0000FF"/>
          <w:szCs w:val="28"/>
        </w:rPr>
      </w:pPr>
    </w:p>
    <w:p w:rsidR="00D45B4F" w:rsidRPr="00411A68" w:rsidRDefault="00D45B4F" w:rsidP="00D45B4F">
      <w:pPr>
        <w:rPr>
          <w:rFonts w:ascii="Arial" w:hAnsi="Arial"/>
          <w:b/>
          <w:bCs/>
          <w:color w:val="0000FF"/>
          <w:sz w:val="22"/>
          <w:szCs w:val="22"/>
        </w:rPr>
      </w:pPr>
      <w:r w:rsidRPr="00411A68">
        <w:rPr>
          <w:rFonts w:ascii="Arial" w:hAnsi="Arial"/>
          <w:b/>
          <w:bCs/>
          <w:color w:val="0000FF"/>
          <w:sz w:val="22"/>
          <w:szCs w:val="22"/>
        </w:rPr>
        <w:t>Trade Management System</w:t>
      </w:r>
    </w:p>
    <w:p w:rsidR="005E6765" w:rsidRDefault="005E6765" w:rsidP="00D45B4F">
      <w:pPr>
        <w:rPr>
          <w:rFonts w:ascii="Arial" w:hAnsi="Arial" w:cs="Arial"/>
          <w:sz w:val="20"/>
          <w:szCs w:val="20"/>
        </w:rPr>
      </w:pPr>
    </w:p>
    <w:p w:rsidR="00D45B4F" w:rsidRDefault="007930D7" w:rsidP="005E6765">
      <w:pPr>
        <w:jc w:val="both"/>
        <w:rPr>
          <w:rFonts w:ascii="Arial" w:hAnsi="Arial" w:cs="Arial"/>
          <w:sz w:val="20"/>
          <w:szCs w:val="20"/>
        </w:rPr>
      </w:pPr>
      <w:r w:rsidRPr="00F00062">
        <w:rPr>
          <w:rFonts w:ascii="Arial" w:hAnsi="Arial" w:cs="Arial"/>
          <w:sz w:val="20"/>
          <w:szCs w:val="20"/>
        </w:rPr>
        <w:t>Key feature includes</w:t>
      </w:r>
      <w:r>
        <w:rPr>
          <w:rFonts w:ascii="Arial" w:hAnsi="Arial" w:cs="Arial"/>
          <w:sz w:val="20"/>
          <w:szCs w:val="20"/>
        </w:rPr>
        <w:t>:</w:t>
      </w:r>
    </w:p>
    <w:p w:rsidR="007930D7" w:rsidRDefault="007930D7" w:rsidP="005E6765">
      <w:pPr>
        <w:jc w:val="both"/>
        <w:rPr>
          <w:rFonts w:ascii="Arial" w:hAnsi="Arial"/>
          <w:bCs/>
          <w:color w:val="0000FF"/>
          <w:szCs w:val="28"/>
        </w:rPr>
      </w:pP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Order management process &amp; flow for various asset types</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Local market conventions</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Broker relationships</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Commission tracking (per trade, YTD, SI, budgets etc.)</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Directed brokerage function</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Step-outs</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 xml:space="preserve">Financial Information </w:t>
      </w:r>
      <w:proofErr w:type="spellStart"/>
      <w:r w:rsidRPr="00F00062">
        <w:rPr>
          <w:rFonts w:ascii="Arial" w:hAnsi="Arial" w:cs="Arial"/>
          <w:sz w:val="20"/>
          <w:szCs w:val="20"/>
        </w:rPr>
        <w:t>eXchange</w:t>
      </w:r>
      <w:proofErr w:type="spellEnd"/>
      <w:r w:rsidRPr="00F00062">
        <w:rPr>
          <w:rFonts w:ascii="Arial" w:hAnsi="Arial" w:cs="Arial"/>
          <w:sz w:val="20"/>
          <w:szCs w:val="20"/>
        </w:rPr>
        <w:t xml:space="preserve"> (FIX) protocol</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Block trading – placement &amp; allocation rounding rules</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lastRenderedPageBreak/>
        <w:t>Minimum order size (lot/$, rounding, tolerance) depending on security as well as portfolio characteristics</w:t>
      </w:r>
    </w:p>
    <w:p w:rsidR="00D45B4F" w:rsidRPr="00F00062" w:rsidRDefault="00D45B4F" w:rsidP="005E6765">
      <w:pPr>
        <w:numPr>
          <w:ilvl w:val="1"/>
          <w:numId w:val="82"/>
        </w:numPr>
        <w:jc w:val="both"/>
        <w:rPr>
          <w:rFonts w:ascii="Arial" w:hAnsi="Arial" w:cs="Arial"/>
          <w:sz w:val="20"/>
          <w:szCs w:val="20"/>
        </w:rPr>
      </w:pPr>
      <w:r w:rsidRPr="00F00062">
        <w:rPr>
          <w:rFonts w:ascii="Arial" w:hAnsi="Arial" w:cs="Arial"/>
          <w:sz w:val="20"/>
          <w:szCs w:val="20"/>
        </w:rPr>
        <w:t>Mutual fund trading conventions</w:t>
      </w:r>
    </w:p>
    <w:p w:rsidR="005E6765" w:rsidRDefault="005E6765" w:rsidP="00D45B4F">
      <w:pPr>
        <w:rPr>
          <w:rFonts w:ascii="Arial" w:hAnsi="Arial"/>
          <w:bCs/>
          <w:color w:val="0000FF"/>
          <w:szCs w:val="28"/>
        </w:rPr>
      </w:pPr>
    </w:p>
    <w:p w:rsidR="00D45B4F" w:rsidRPr="00411A68" w:rsidRDefault="00D45B4F" w:rsidP="00D45B4F">
      <w:pPr>
        <w:rPr>
          <w:rFonts w:ascii="Arial" w:hAnsi="Arial"/>
          <w:b/>
          <w:bCs/>
          <w:color w:val="0000FF"/>
          <w:sz w:val="22"/>
          <w:szCs w:val="22"/>
        </w:rPr>
      </w:pPr>
      <w:r w:rsidRPr="00411A68">
        <w:rPr>
          <w:rFonts w:ascii="Arial" w:hAnsi="Arial"/>
          <w:b/>
          <w:bCs/>
          <w:color w:val="0000FF"/>
          <w:sz w:val="22"/>
          <w:szCs w:val="22"/>
        </w:rPr>
        <w:t>Investment Accounting System</w:t>
      </w:r>
    </w:p>
    <w:p w:rsidR="00D45B4F" w:rsidRDefault="00D45B4F" w:rsidP="00D45B4F">
      <w:pPr>
        <w:rPr>
          <w:rFonts w:ascii="Arial" w:hAnsi="Arial"/>
          <w:bCs/>
          <w:color w:val="0000FF"/>
          <w:szCs w:val="28"/>
        </w:rPr>
      </w:pPr>
    </w:p>
    <w:p w:rsidR="00D45B4F" w:rsidRDefault="00D45B4F" w:rsidP="005E6765">
      <w:pPr>
        <w:jc w:val="both"/>
        <w:rPr>
          <w:rFonts w:ascii="Arial" w:hAnsi="Arial" w:cs="Arial"/>
          <w:sz w:val="20"/>
          <w:szCs w:val="20"/>
        </w:rPr>
      </w:pPr>
      <w:r w:rsidRPr="00F00062">
        <w:rPr>
          <w:rFonts w:ascii="Arial" w:hAnsi="Arial" w:cs="Arial"/>
          <w:sz w:val="20"/>
          <w:szCs w:val="20"/>
        </w:rPr>
        <w:t>Key feature includes</w:t>
      </w:r>
      <w:r>
        <w:rPr>
          <w:rFonts w:ascii="Arial" w:hAnsi="Arial" w:cs="Arial"/>
          <w:sz w:val="20"/>
          <w:szCs w:val="20"/>
        </w:rPr>
        <w:t>:</w:t>
      </w:r>
    </w:p>
    <w:p w:rsidR="00D45B4F" w:rsidRPr="00F00062" w:rsidRDefault="00D45B4F" w:rsidP="005E6765">
      <w:pPr>
        <w:numPr>
          <w:ilvl w:val="1"/>
          <w:numId w:val="83"/>
        </w:numPr>
        <w:jc w:val="both"/>
        <w:rPr>
          <w:rFonts w:ascii="Arial" w:hAnsi="Arial" w:cs="Arial"/>
          <w:sz w:val="20"/>
          <w:szCs w:val="20"/>
        </w:rPr>
      </w:pPr>
      <w:r w:rsidRPr="00F00062">
        <w:rPr>
          <w:rFonts w:ascii="Arial" w:hAnsi="Arial" w:cs="Arial"/>
          <w:sz w:val="20"/>
          <w:szCs w:val="20"/>
        </w:rPr>
        <w:t>Standard Industry &amp; Custom Classification systems for securities</w:t>
      </w:r>
    </w:p>
    <w:p w:rsidR="00D45B4F" w:rsidRPr="00F00062" w:rsidRDefault="00D45B4F" w:rsidP="005E6765">
      <w:pPr>
        <w:numPr>
          <w:ilvl w:val="1"/>
          <w:numId w:val="83"/>
        </w:numPr>
        <w:jc w:val="both"/>
        <w:rPr>
          <w:rFonts w:ascii="Arial" w:hAnsi="Arial" w:cs="Arial"/>
          <w:sz w:val="20"/>
          <w:szCs w:val="20"/>
        </w:rPr>
      </w:pPr>
      <w:r w:rsidRPr="00F00062">
        <w:rPr>
          <w:rFonts w:ascii="Arial" w:hAnsi="Arial" w:cs="Arial"/>
          <w:sz w:val="20"/>
          <w:szCs w:val="20"/>
        </w:rPr>
        <w:t>Tax lot accounting – LIFO, FIFO, minimum cost etc.</w:t>
      </w:r>
    </w:p>
    <w:p w:rsidR="00D45B4F" w:rsidRPr="00F00062" w:rsidRDefault="00D45B4F" w:rsidP="005E6765">
      <w:pPr>
        <w:numPr>
          <w:ilvl w:val="1"/>
          <w:numId w:val="83"/>
        </w:numPr>
        <w:jc w:val="both"/>
        <w:rPr>
          <w:rFonts w:ascii="Arial" w:hAnsi="Arial" w:cs="Arial"/>
          <w:sz w:val="20"/>
          <w:szCs w:val="20"/>
        </w:rPr>
      </w:pPr>
      <w:r w:rsidRPr="00F00062">
        <w:rPr>
          <w:rFonts w:ascii="Arial" w:hAnsi="Arial" w:cs="Arial"/>
          <w:sz w:val="20"/>
          <w:szCs w:val="20"/>
        </w:rPr>
        <w:t>Fixed income – accruals, day count conventions, money market income, floating rate payments</w:t>
      </w:r>
    </w:p>
    <w:p w:rsidR="00D45B4F" w:rsidRPr="00F00062" w:rsidRDefault="00D45B4F" w:rsidP="005E6765">
      <w:pPr>
        <w:numPr>
          <w:ilvl w:val="1"/>
          <w:numId w:val="83"/>
        </w:numPr>
        <w:jc w:val="both"/>
        <w:rPr>
          <w:rFonts w:ascii="Arial" w:hAnsi="Arial" w:cs="Arial"/>
          <w:sz w:val="20"/>
          <w:szCs w:val="20"/>
        </w:rPr>
      </w:pPr>
      <w:r w:rsidRPr="00F00062">
        <w:rPr>
          <w:rFonts w:ascii="Arial" w:hAnsi="Arial" w:cs="Arial"/>
          <w:sz w:val="20"/>
          <w:szCs w:val="20"/>
        </w:rPr>
        <w:t>Derivatives – futures mark to market, swap construction &amp; accounting, options exercise &amp; expiration</w:t>
      </w:r>
    </w:p>
    <w:p w:rsidR="00D45B4F" w:rsidRPr="00F00062" w:rsidRDefault="00D45B4F" w:rsidP="005E6765">
      <w:pPr>
        <w:numPr>
          <w:ilvl w:val="1"/>
          <w:numId w:val="83"/>
        </w:numPr>
        <w:jc w:val="both"/>
        <w:rPr>
          <w:rFonts w:ascii="Arial" w:hAnsi="Arial" w:cs="Arial"/>
          <w:sz w:val="20"/>
          <w:szCs w:val="20"/>
        </w:rPr>
      </w:pPr>
      <w:r w:rsidRPr="00F00062">
        <w:rPr>
          <w:rFonts w:ascii="Arial" w:hAnsi="Arial" w:cs="Arial"/>
          <w:sz w:val="20"/>
          <w:szCs w:val="20"/>
        </w:rPr>
        <w:t>Dividend, income, and corporate action posting and requirements</w:t>
      </w:r>
    </w:p>
    <w:p w:rsidR="00D45B4F" w:rsidRDefault="00D45B4F" w:rsidP="005E6765">
      <w:pPr>
        <w:numPr>
          <w:ilvl w:val="1"/>
          <w:numId w:val="83"/>
        </w:numPr>
        <w:jc w:val="both"/>
        <w:rPr>
          <w:rFonts w:ascii="Arial" w:hAnsi="Arial" w:cs="Arial"/>
          <w:sz w:val="20"/>
          <w:szCs w:val="20"/>
        </w:rPr>
      </w:pPr>
      <w:r w:rsidRPr="00F00062">
        <w:rPr>
          <w:rFonts w:ascii="Arial" w:hAnsi="Arial" w:cs="Arial"/>
          <w:sz w:val="20"/>
          <w:szCs w:val="20"/>
        </w:rPr>
        <w:t xml:space="preserve">Withholding taxes and reclaims </w:t>
      </w:r>
    </w:p>
    <w:p w:rsidR="00D45B4F" w:rsidRPr="00D45B4F" w:rsidRDefault="00D45B4F" w:rsidP="005E6765">
      <w:pPr>
        <w:numPr>
          <w:ilvl w:val="1"/>
          <w:numId w:val="83"/>
        </w:numPr>
        <w:jc w:val="both"/>
        <w:rPr>
          <w:rFonts w:ascii="Arial" w:hAnsi="Arial" w:cs="Arial"/>
          <w:sz w:val="20"/>
          <w:szCs w:val="20"/>
        </w:rPr>
      </w:pPr>
      <w:r w:rsidRPr="00D45B4F">
        <w:rPr>
          <w:rFonts w:ascii="Arial" w:hAnsi="Arial" w:cs="Arial"/>
          <w:sz w:val="20"/>
          <w:szCs w:val="20"/>
        </w:rPr>
        <w:t>Amortization rules and impacts by security &amp; portfolio type</w:t>
      </w:r>
    </w:p>
    <w:p w:rsidR="00D45B4F" w:rsidRPr="00D45B4F" w:rsidRDefault="00D45B4F" w:rsidP="005E6765">
      <w:pPr>
        <w:numPr>
          <w:ilvl w:val="1"/>
          <w:numId w:val="83"/>
        </w:numPr>
        <w:jc w:val="both"/>
        <w:rPr>
          <w:rFonts w:ascii="Arial" w:hAnsi="Arial" w:cs="Arial"/>
          <w:sz w:val="20"/>
          <w:szCs w:val="20"/>
        </w:rPr>
      </w:pPr>
      <w:r w:rsidRPr="00D45B4F">
        <w:rPr>
          <w:rFonts w:ascii="Arial" w:hAnsi="Arial" w:cs="Arial"/>
          <w:sz w:val="20"/>
          <w:szCs w:val="20"/>
        </w:rPr>
        <w:t>Mutual fund accounting, NAV</w:t>
      </w:r>
    </w:p>
    <w:p w:rsidR="00D45B4F" w:rsidRPr="00D45B4F" w:rsidRDefault="00D45B4F" w:rsidP="005E6765">
      <w:pPr>
        <w:numPr>
          <w:ilvl w:val="1"/>
          <w:numId w:val="83"/>
        </w:numPr>
        <w:jc w:val="both"/>
        <w:rPr>
          <w:rFonts w:ascii="Arial" w:hAnsi="Arial" w:cs="Arial"/>
          <w:sz w:val="20"/>
          <w:szCs w:val="20"/>
        </w:rPr>
      </w:pPr>
      <w:r w:rsidRPr="00D45B4F">
        <w:rPr>
          <w:rFonts w:ascii="Arial" w:hAnsi="Arial" w:cs="Arial"/>
          <w:sz w:val="20"/>
          <w:szCs w:val="20"/>
        </w:rPr>
        <w:t>Management fee calculation – basis, tiered structure, iterative performance based structure, high &amp; low watermarks</w:t>
      </w:r>
    </w:p>
    <w:p w:rsidR="00D45B4F" w:rsidRPr="00D45B4F" w:rsidRDefault="00D45B4F" w:rsidP="005E6765">
      <w:pPr>
        <w:numPr>
          <w:ilvl w:val="1"/>
          <w:numId w:val="83"/>
        </w:numPr>
        <w:jc w:val="both"/>
        <w:rPr>
          <w:rFonts w:ascii="Arial" w:hAnsi="Arial" w:cs="Arial"/>
          <w:sz w:val="20"/>
          <w:szCs w:val="20"/>
        </w:rPr>
      </w:pPr>
      <w:r w:rsidRPr="00D45B4F">
        <w:rPr>
          <w:rFonts w:ascii="Arial" w:hAnsi="Arial" w:cs="Arial"/>
          <w:sz w:val="20"/>
          <w:szCs w:val="20"/>
        </w:rPr>
        <w:t>Partnership accounting for hedge funds &amp; S corporations</w:t>
      </w:r>
    </w:p>
    <w:p w:rsidR="00D45B4F" w:rsidRPr="00D45B4F" w:rsidRDefault="00D45B4F" w:rsidP="005E6765">
      <w:pPr>
        <w:numPr>
          <w:ilvl w:val="1"/>
          <w:numId w:val="83"/>
        </w:numPr>
        <w:jc w:val="both"/>
        <w:rPr>
          <w:rFonts w:ascii="Arial" w:hAnsi="Arial" w:cs="Arial"/>
          <w:sz w:val="20"/>
          <w:szCs w:val="20"/>
        </w:rPr>
      </w:pPr>
      <w:r w:rsidRPr="00D45B4F">
        <w:rPr>
          <w:rFonts w:ascii="Arial" w:hAnsi="Arial" w:cs="Arial"/>
          <w:sz w:val="20"/>
          <w:szCs w:val="20"/>
        </w:rPr>
        <w:t>Multi-currency transaction capture &amp; valuations</w:t>
      </w:r>
    </w:p>
    <w:p w:rsidR="00D45B4F" w:rsidRPr="00D45B4F" w:rsidRDefault="00D45B4F" w:rsidP="005E6765">
      <w:pPr>
        <w:numPr>
          <w:ilvl w:val="1"/>
          <w:numId w:val="83"/>
        </w:numPr>
        <w:jc w:val="both"/>
        <w:rPr>
          <w:rFonts w:ascii="Arial" w:hAnsi="Arial" w:cs="Arial"/>
          <w:sz w:val="20"/>
          <w:szCs w:val="20"/>
        </w:rPr>
      </w:pPr>
      <w:r w:rsidRPr="00D45B4F">
        <w:rPr>
          <w:rFonts w:ascii="Arial" w:hAnsi="Arial" w:cs="Arial"/>
          <w:sz w:val="20"/>
          <w:szCs w:val="20"/>
        </w:rPr>
        <w:t>Differences between holdings &amp; transaction based systems</w:t>
      </w:r>
    </w:p>
    <w:p w:rsidR="00D45B4F" w:rsidRPr="00F00062" w:rsidRDefault="00D45B4F" w:rsidP="005E6765">
      <w:pPr>
        <w:numPr>
          <w:ilvl w:val="1"/>
          <w:numId w:val="83"/>
        </w:numPr>
        <w:jc w:val="both"/>
        <w:rPr>
          <w:rFonts w:ascii="Arial" w:hAnsi="Arial" w:cs="Arial"/>
          <w:sz w:val="20"/>
          <w:szCs w:val="20"/>
        </w:rPr>
      </w:pPr>
      <w:r w:rsidRPr="00D45B4F">
        <w:rPr>
          <w:rFonts w:ascii="Arial" w:hAnsi="Arial" w:cs="Arial"/>
          <w:sz w:val="20"/>
          <w:szCs w:val="20"/>
        </w:rPr>
        <w:t>General ledger accounting – correction rules etc.</w:t>
      </w:r>
    </w:p>
    <w:p w:rsidR="00D45B4F" w:rsidRPr="00D45B4F" w:rsidRDefault="00D45B4F" w:rsidP="00D45B4F"/>
    <w:p w:rsidR="006F0CA4" w:rsidRPr="00411A68" w:rsidRDefault="006F0CA4" w:rsidP="006F0CA4">
      <w:pPr>
        <w:rPr>
          <w:rFonts w:ascii="Arial" w:hAnsi="Arial"/>
          <w:b/>
          <w:bCs/>
          <w:color w:val="0000FF"/>
          <w:sz w:val="22"/>
          <w:szCs w:val="22"/>
        </w:rPr>
      </w:pPr>
      <w:r w:rsidRPr="00411A68">
        <w:rPr>
          <w:rFonts w:ascii="Arial" w:hAnsi="Arial"/>
          <w:b/>
          <w:bCs/>
          <w:color w:val="0000FF"/>
          <w:sz w:val="22"/>
          <w:szCs w:val="22"/>
        </w:rPr>
        <w:t>Performance Attribution</w:t>
      </w:r>
    </w:p>
    <w:p w:rsidR="006F0CA4" w:rsidRDefault="006F0CA4" w:rsidP="006F0CA4">
      <w:pPr>
        <w:rPr>
          <w:rFonts w:ascii="Arial" w:hAnsi="Arial"/>
          <w:bCs/>
          <w:color w:val="0000FF"/>
          <w:szCs w:val="28"/>
        </w:rPr>
      </w:pPr>
    </w:p>
    <w:p w:rsidR="006F0CA4" w:rsidRDefault="006F0CA4" w:rsidP="006F0CA4">
      <w:pPr>
        <w:jc w:val="both"/>
        <w:rPr>
          <w:rFonts w:ascii="Arial" w:hAnsi="Arial" w:cs="Arial"/>
          <w:sz w:val="20"/>
          <w:szCs w:val="20"/>
        </w:rPr>
      </w:pPr>
      <w:r w:rsidRPr="00F00062">
        <w:rPr>
          <w:rFonts w:ascii="Arial" w:hAnsi="Arial" w:cs="Arial"/>
          <w:sz w:val="20"/>
          <w:szCs w:val="20"/>
        </w:rPr>
        <w:t>Key feature includes</w:t>
      </w:r>
      <w:r>
        <w:rPr>
          <w:rFonts w:ascii="Arial" w:hAnsi="Arial" w:cs="Arial"/>
          <w:sz w:val="20"/>
          <w:szCs w:val="20"/>
        </w:rPr>
        <w:t>:</w:t>
      </w:r>
    </w:p>
    <w:p w:rsidR="006F0CA4" w:rsidRPr="00F00062" w:rsidRDefault="00367191" w:rsidP="006F0CA4">
      <w:pPr>
        <w:numPr>
          <w:ilvl w:val="1"/>
          <w:numId w:val="83"/>
        </w:numPr>
        <w:jc w:val="both"/>
        <w:rPr>
          <w:rFonts w:ascii="Arial" w:hAnsi="Arial" w:cs="Arial"/>
          <w:sz w:val="20"/>
          <w:szCs w:val="20"/>
        </w:rPr>
      </w:pPr>
      <w:r>
        <w:rPr>
          <w:rFonts w:ascii="Arial" w:hAnsi="Arial" w:cs="Arial"/>
          <w:sz w:val="20"/>
          <w:szCs w:val="20"/>
        </w:rPr>
        <w:t>Composites management</w:t>
      </w:r>
    </w:p>
    <w:p w:rsidR="006F0CA4" w:rsidRDefault="00367191" w:rsidP="006F0CA4">
      <w:pPr>
        <w:numPr>
          <w:ilvl w:val="1"/>
          <w:numId w:val="83"/>
        </w:numPr>
        <w:jc w:val="both"/>
        <w:rPr>
          <w:rFonts w:ascii="Arial" w:hAnsi="Arial" w:cs="Arial"/>
          <w:sz w:val="20"/>
          <w:szCs w:val="20"/>
        </w:rPr>
      </w:pPr>
      <w:r>
        <w:rPr>
          <w:rFonts w:ascii="Arial" w:hAnsi="Arial" w:cs="Arial"/>
          <w:sz w:val="20"/>
          <w:szCs w:val="20"/>
        </w:rPr>
        <w:t>Performance categories, benchmarks definition</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Performance preferences setup – calculation methods, period, etc.</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Returns computation</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Risk computation</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Ratio computation</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Performance attribution – equity, fixed income, derivatives</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Comparisons against benchmarks</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Back-dated posting</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GIPS reporting</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Real-time / batch interface with position keeping / accounting system</w:t>
      </w:r>
    </w:p>
    <w:p w:rsidR="00367191" w:rsidRDefault="00367191" w:rsidP="006F0CA4">
      <w:pPr>
        <w:numPr>
          <w:ilvl w:val="1"/>
          <w:numId w:val="83"/>
        </w:numPr>
        <w:jc w:val="both"/>
        <w:rPr>
          <w:rFonts w:ascii="Arial" w:hAnsi="Arial" w:cs="Arial"/>
          <w:sz w:val="20"/>
          <w:szCs w:val="20"/>
        </w:rPr>
      </w:pPr>
      <w:r>
        <w:rPr>
          <w:rFonts w:ascii="Arial" w:hAnsi="Arial" w:cs="Arial"/>
          <w:sz w:val="20"/>
          <w:szCs w:val="20"/>
        </w:rPr>
        <w:t>Designed to handle humongous amount of data processing, number crunching</w:t>
      </w:r>
    </w:p>
    <w:p w:rsidR="00367191" w:rsidRPr="00F00062" w:rsidRDefault="00367191" w:rsidP="006F0CA4">
      <w:pPr>
        <w:numPr>
          <w:ilvl w:val="1"/>
          <w:numId w:val="83"/>
        </w:numPr>
        <w:jc w:val="both"/>
        <w:rPr>
          <w:rFonts w:ascii="Arial" w:hAnsi="Arial" w:cs="Arial"/>
          <w:sz w:val="20"/>
          <w:szCs w:val="20"/>
        </w:rPr>
      </w:pPr>
      <w:r>
        <w:rPr>
          <w:rFonts w:ascii="Arial" w:hAnsi="Arial" w:cs="Arial"/>
          <w:sz w:val="20"/>
          <w:szCs w:val="20"/>
        </w:rPr>
        <w:t>Charting, graphical representations of performance statistics and style analysis</w:t>
      </w:r>
    </w:p>
    <w:p w:rsidR="006F0CA4" w:rsidRPr="00D45B4F" w:rsidRDefault="009E1424" w:rsidP="006F0CA4">
      <w:r>
        <w:br w:type="page"/>
      </w:r>
    </w:p>
    <w:p w:rsidR="00367191" w:rsidRDefault="009E1424" w:rsidP="000D59D8">
      <w:pPr>
        <w:pStyle w:val="Heading2"/>
      </w:pPr>
      <w:bookmarkStart w:id="726" w:name="_Toc226530572"/>
      <w:r>
        <w:lastRenderedPageBreak/>
        <w:t>Consolidated View</w:t>
      </w:r>
      <w:bookmarkEnd w:id="726"/>
    </w:p>
    <w:p w:rsidR="00814BEB" w:rsidRDefault="009E1424">
      <w:pPr>
        <w:pStyle w:val="Heading3"/>
        <w:tabs>
          <w:tab w:val="clear" w:pos="6444"/>
        </w:tabs>
        <w:ind w:left="900"/>
      </w:pPr>
      <w:r>
        <w:t>Operational Model</w:t>
      </w:r>
    </w:p>
    <w:p w:rsidR="00814BEB" w:rsidRDefault="00814BEB">
      <w:pPr>
        <w:ind w:left="432"/>
        <w:jc w:val="both"/>
        <w:rPr>
          <w:sz w:val="20"/>
          <w:szCs w:val="20"/>
        </w:rPr>
      </w:pPr>
    </w:p>
    <w:p w:rsidR="00814BEB" w:rsidRDefault="008011A0">
      <w:pPr>
        <w:ind w:left="-720"/>
        <w:jc w:val="both"/>
        <w:rPr>
          <w:sz w:val="20"/>
          <w:szCs w:val="20"/>
        </w:rPr>
      </w:pPr>
      <w:r>
        <w:rPr>
          <w:rFonts w:ascii="Arial" w:hAnsi="Arial" w:cs="Arial"/>
          <w:noProof/>
          <w:sz w:val="20"/>
          <w:szCs w:val="20"/>
        </w:rPr>
        <w:drawing>
          <wp:inline distT="0" distB="0" distL="0" distR="0">
            <wp:extent cx="6641631" cy="4343400"/>
            <wp:effectExtent l="6819" t="0" r="0" b="0"/>
            <wp:docPr id="22" name="Object 1"/>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24925" cy="4876800"/>
                      <a:chOff x="381000" y="1752600"/>
                      <a:chExt cx="8924925" cy="4876800"/>
                    </a:xfrm>
                  </a:grpSpPr>
                  <a:grpSp>
                    <a:nvGrpSpPr>
                      <a:cNvPr id="1917954" name="Group 2"/>
                      <a:cNvGrpSpPr>
                        <a:grpSpLocks/>
                      </a:cNvGrpSpPr>
                    </a:nvGrpSpPr>
                    <a:grpSpPr bwMode="auto">
                      <a:xfrm>
                        <a:off x="381000" y="1752600"/>
                        <a:ext cx="8924925" cy="4876800"/>
                        <a:chOff x="240" y="1104"/>
                        <a:chExt cx="5622" cy="3072"/>
                      </a:xfrm>
                    </a:grpSpPr>
                    <a:cxnSp>
                      <a:nvCxnSpPr>
                        <a:cNvPr id="1917955" name="AutoShape 3"/>
                        <a:cNvCxnSpPr>
                          <a:cxnSpLocks noChangeShapeType="1"/>
                        </a:cNvCxnSpPr>
                      </a:nvCxnSpPr>
                      <a:spPr bwMode="auto">
                        <a:xfrm>
                          <a:off x="3456" y="2301"/>
                          <a:ext cx="0" cy="0"/>
                        </a:xfrm>
                        <a:prstGeom prst="straightConnector1">
                          <a:avLst/>
                        </a:prstGeom>
                        <a:noFill/>
                        <a:ln w="9525">
                          <a:solidFill>
                            <a:schemeClr val="tx1"/>
                          </a:solidFill>
                          <a:round/>
                          <a:headEnd/>
                          <a:tailEnd/>
                        </a:ln>
                        <a:effectLst/>
                      </a:spPr>
                    </a:cxnSp>
                    <a:grpSp>
                      <a:nvGrpSpPr>
                        <a:cNvPr id="4" name="Group 4"/>
                        <a:cNvGrpSpPr>
                          <a:grpSpLocks/>
                        </a:cNvGrpSpPr>
                      </a:nvGrpSpPr>
                      <a:grpSpPr bwMode="auto">
                        <a:xfrm>
                          <a:off x="2304" y="1824"/>
                          <a:ext cx="1344" cy="231"/>
                          <a:chOff x="2208" y="825"/>
                          <a:chExt cx="1344" cy="231"/>
                        </a:xfrm>
                      </a:grpSpPr>
                      <a:sp>
                        <a:nvSpPr>
                          <a:cNvPr id="1917957" name="Text Box 5"/>
                          <a:cNvSpPr txBox="1">
                            <a:spLocks noChangeArrowheads="1"/>
                          </a:cNvSpPr>
                        </a:nvSpPr>
                        <a:spPr bwMode="auto">
                          <a:xfrm>
                            <a:off x="2208" y="825"/>
                            <a:ext cx="1344" cy="231"/>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spcBef>
                                  <a:spcPct val="50000"/>
                                </a:spcBef>
                              </a:pPr>
                              <a:r>
                                <a:rPr lang="en-US" sz="1800">
                                  <a:solidFill>
                                    <a:schemeClr val="tx1"/>
                                  </a:solidFill>
                                  <a:latin typeface="Arial" charset="0"/>
                                </a:rPr>
                                <a:t>   </a:t>
                              </a:r>
                              <a:r>
                                <a:rPr lang="en-US" sz="1200">
                                  <a:solidFill>
                                    <a:srgbClr val="034093"/>
                                  </a:solidFill>
                                  <a:latin typeface="Arial" charset="0"/>
                                </a:rPr>
                                <a:t>Portfolio Management</a:t>
                              </a:r>
                            </a:p>
                          </a:txBody>
                          <a:useSpRect/>
                        </a:txSp>
                      </a:sp>
                      <a:sp>
                        <a:nvSpPr>
                          <a:cNvPr id="1917958" name="Rectangle 6"/>
                          <a:cNvSpPr>
                            <a:spLocks noChangeArrowheads="1"/>
                          </a:cNvSpPr>
                        </a:nvSpPr>
                        <a:spPr bwMode="auto">
                          <a:xfrm>
                            <a:off x="2352" y="864"/>
                            <a:ext cx="1056" cy="192"/>
                          </a:xfrm>
                          <a:prstGeom prst="rect">
                            <a:avLst/>
                          </a:prstGeom>
                          <a:noFill/>
                          <a:ln w="25400">
                            <a:solidFill>
                              <a:srgbClr val="008080"/>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a:nvGrpSpPr>
                        <a:cNvPr id="5" name="Group 7"/>
                        <a:cNvGrpSpPr>
                          <a:grpSpLocks/>
                        </a:cNvGrpSpPr>
                      </a:nvGrpSpPr>
                      <a:grpSpPr bwMode="auto">
                        <a:xfrm rot="-5400000">
                          <a:off x="3365" y="2491"/>
                          <a:ext cx="864" cy="202"/>
                          <a:chOff x="3120" y="1152"/>
                          <a:chExt cx="960" cy="303"/>
                        </a:xfrm>
                      </a:grpSpPr>
                      <a:sp>
                        <a:nvSpPr>
                          <a:cNvPr id="1917960" name="Rectangle 8"/>
                          <a:cNvSpPr>
                            <a:spLocks noChangeArrowheads="1"/>
                          </a:cNvSpPr>
                        </a:nvSpPr>
                        <a:spPr bwMode="auto">
                          <a:xfrm>
                            <a:off x="3120" y="1152"/>
                            <a:ext cx="960" cy="303"/>
                          </a:xfrm>
                          <a:prstGeom prst="rect">
                            <a:avLst/>
                          </a:prstGeom>
                          <a:noFill/>
                          <a:ln w="9525">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1500">
                                  <a:solidFill>
                                    <a:srgbClr val="034093"/>
                                  </a:solidFill>
                                  <a:latin typeface="Arial" charset="0"/>
                                </a:rPr>
                                <a:t>   </a:t>
                              </a:r>
                              <a:r>
                                <a:rPr lang="en-US" sz="1200">
                                  <a:solidFill>
                                    <a:srgbClr val="034093"/>
                                  </a:solidFill>
                                  <a:latin typeface="Arial" charset="0"/>
                                </a:rPr>
                                <a:t>Back Office</a:t>
                              </a:r>
                            </a:p>
                          </a:txBody>
                          <a:useSpRect/>
                        </a:txSp>
                      </a:sp>
                      <a:sp>
                        <a:nvSpPr>
                          <a:cNvPr id="1917961" name="Rectangle 9"/>
                          <a:cNvSpPr>
                            <a:spLocks noChangeArrowheads="1"/>
                          </a:cNvSpPr>
                        </a:nvSpPr>
                        <a:spPr bwMode="auto">
                          <a:xfrm>
                            <a:off x="3120" y="1200"/>
                            <a:ext cx="864" cy="240"/>
                          </a:xfrm>
                          <a:prstGeom prst="rect">
                            <a:avLst/>
                          </a:prstGeom>
                          <a:noFill/>
                          <a:ln w="25400">
                            <a:solidFill>
                              <a:srgbClr val="008080"/>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a:nvGrpSpPr>
                        <a:cNvPr id="6" name="Group 10"/>
                        <a:cNvGrpSpPr>
                          <a:grpSpLocks/>
                        </a:cNvGrpSpPr>
                      </a:nvGrpSpPr>
                      <a:grpSpPr bwMode="auto">
                        <a:xfrm>
                          <a:off x="2352" y="3120"/>
                          <a:ext cx="1272" cy="231"/>
                          <a:chOff x="2204" y="2972"/>
                          <a:chExt cx="1272" cy="231"/>
                        </a:xfrm>
                      </a:grpSpPr>
                      <a:sp>
                        <a:nvSpPr>
                          <a:cNvPr id="1917963" name="Rectangle 11"/>
                          <a:cNvSpPr>
                            <a:spLocks noChangeArrowheads="1"/>
                          </a:cNvSpPr>
                        </a:nvSpPr>
                        <a:spPr bwMode="auto">
                          <a:xfrm>
                            <a:off x="2204" y="2972"/>
                            <a:ext cx="1272" cy="231"/>
                          </a:xfrm>
                          <a:prstGeom prst="rect">
                            <a:avLst/>
                          </a:prstGeom>
                          <a:noFill/>
                          <a:ln w="9525">
                            <a:noFill/>
                            <a:miter lim="800000"/>
                            <a:headEnd/>
                            <a:tailEnd/>
                          </a:ln>
                          <a:effectLst/>
                        </a:spPr>
                        <a:txSp>
                          <a:txBody>
                            <a:bodyPr wrap="none">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1800" b="0">
                                  <a:solidFill>
                                    <a:srgbClr val="034093"/>
                                  </a:solidFill>
                                  <a:latin typeface="Arial" charset="0"/>
                                </a:rPr>
                                <a:t> </a:t>
                              </a:r>
                              <a:r>
                                <a:rPr lang="en-US" sz="1200">
                                  <a:solidFill>
                                    <a:srgbClr val="034093"/>
                                  </a:solidFill>
                                  <a:latin typeface="Arial" charset="0"/>
                                </a:rPr>
                                <a:t>Marketing &amp; Distribution</a:t>
                              </a:r>
                            </a:p>
                          </a:txBody>
                          <a:useSpRect/>
                        </a:txSp>
                      </a:sp>
                      <a:sp>
                        <a:nvSpPr>
                          <a:cNvPr id="1917964" name="Rectangle 12"/>
                          <a:cNvSpPr>
                            <a:spLocks noChangeArrowheads="1"/>
                          </a:cNvSpPr>
                        </a:nvSpPr>
                        <a:spPr bwMode="auto">
                          <a:xfrm>
                            <a:off x="2284" y="3032"/>
                            <a:ext cx="1152" cy="144"/>
                          </a:xfrm>
                          <a:prstGeom prst="rect">
                            <a:avLst/>
                          </a:prstGeom>
                          <a:noFill/>
                          <a:ln w="25400">
                            <a:solidFill>
                              <a:srgbClr val="008080"/>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a:nvGrpSpPr>
                        <a:cNvPr id="7" name="Group 13"/>
                        <a:cNvGrpSpPr>
                          <a:grpSpLocks/>
                        </a:cNvGrpSpPr>
                      </a:nvGrpSpPr>
                      <a:grpSpPr bwMode="auto">
                        <a:xfrm>
                          <a:off x="816" y="1104"/>
                          <a:ext cx="4552" cy="750"/>
                          <a:chOff x="736" y="18"/>
                          <a:chExt cx="4552" cy="750"/>
                        </a:xfrm>
                      </a:grpSpPr>
                      <a:grpSp>
                        <a:nvGrpSpPr>
                          <a:cNvPr id="68" name="Group 14"/>
                          <a:cNvGrpSpPr>
                            <a:grpSpLocks/>
                          </a:cNvGrpSpPr>
                        </a:nvGrpSpPr>
                        <a:grpSpPr bwMode="auto">
                          <a:xfrm>
                            <a:off x="736" y="18"/>
                            <a:ext cx="4224" cy="750"/>
                            <a:chOff x="736" y="18"/>
                            <a:chExt cx="4224" cy="750"/>
                          </a:xfrm>
                        </a:grpSpPr>
                        <a:sp>
                          <a:nvSpPr>
                            <a:cNvPr id="1917967" name="Text Box 15"/>
                            <a:cNvSpPr txBox="1">
                              <a:spLocks noChangeArrowheads="1"/>
                            </a:cNvSpPr>
                          </a:nvSpPr>
                          <a:spPr bwMode="auto">
                            <a:xfrm>
                              <a:off x="1858" y="60"/>
                              <a:ext cx="1344" cy="346"/>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1000">
                                    <a:solidFill>
                                      <a:schemeClr val="tx1"/>
                                    </a:solidFill>
                                    <a:latin typeface="Arial" charset="0"/>
                                  </a:rPr>
                                  <a:t>Investor profiling</a:t>
                                </a:r>
                              </a:p>
                              <a:p>
                                <a:r>
                                  <a:rPr lang="en-US" sz="1000">
                                    <a:solidFill>
                                      <a:schemeClr val="tx1"/>
                                    </a:solidFill>
                                    <a:latin typeface="Arial" charset="0"/>
                                  </a:rPr>
                                  <a:t>Tax Planning</a:t>
                                </a:r>
                              </a:p>
                              <a:p>
                                <a:r>
                                  <a:rPr lang="en-US" sz="1000">
                                    <a:solidFill>
                                      <a:schemeClr val="tx1"/>
                                    </a:solidFill>
                                    <a:latin typeface="Arial" charset="0"/>
                                  </a:rPr>
                                  <a:t>Retirement Planning</a:t>
                                </a:r>
                              </a:p>
                            </a:txBody>
                            <a:useSpRect/>
                          </a:txSp>
                        </a:sp>
                        <a:sp>
                          <a:nvSpPr>
                            <a:cNvPr id="1917968" name="Rectangle 16"/>
                            <a:cNvSpPr>
                              <a:spLocks noChangeArrowheads="1"/>
                            </a:cNvSpPr>
                          </a:nvSpPr>
                          <a:spPr bwMode="auto">
                            <a:xfrm>
                              <a:off x="736" y="18"/>
                              <a:ext cx="4224" cy="750"/>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69" name="Rectangle 17"/>
                            <a:cNvSpPr>
                              <a:spLocks noChangeArrowheads="1"/>
                            </a:cNvSpPr>
                          </a:nvSpPr>
                          <a:spPr bwMode="auto">
                            <a:xfrm>
                              <a:off x="826" y="48"/>
                              <a:ext cx="936" cy="402"/>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7970" name="Rectangle 18"/>
                            <a:cNvSpPr>
                              <a:spLocks noChangeArrowheads="1"/>
                            </a:cNvSpPr>
                          </a:nvSpPr>
                          <a:spPr bwMode="auto">
                            <a:xfrm>
                              <a:off x="3946" y="48"/>
                              <a:ext cx="936" cy="402"/>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71" name="Rectangle 19"/>
                            <a:cNvSpPr>
                              <a:spLocks noChangeArrowheads="1"/>
                            </a:cNvSpPr>
                          </a:nvSpPr>
                          <a:spPr bwMode="auto">
                            <a:xfrm>
                              <a:off x="2896" y="48"/>
                              <a:ext cx="936" cy="402"/>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72" name="Rectangle 20"/>
                            <a:cNvSpPr>
                              <a:spLocks noChangeArrowheads="1"/>
                            </a:cNvSpPr>
                          </a:nvSpPr>
                          <a:spPr bwMode="auto">
                            <a:xfrm>
                              <a:off x="1858" y="48"/>
                              <a:ext cx="936" cy="402"/>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73" name="Rectangle 21"/>
                            <a:cNvSpPr>
                              <a:spLocks noChangeArrowheads="1"/>
                            </a:cNvSpPr>
                          </a:nvSpPr>
                          <a:spPr bwMode="auto">
                            <a:xfrm>
                              <a:off x="826" y="594"/>
                              <a:ext cx="936" cy="14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74" name="Rectangle 22"/>
                            <a:cNvSpPr>
                              <a:spLocks noChangeArrowheads="1"/>
                            </a:cNvSpPr>
                          </a:nvSpPr>
                          <a:spPr bwMode="auto">
                            <a:xfrm>
                              <a:off x="1858" y="594"/>
                              <a:ext cx="936" cy="14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75" name="Rectangle 23"/>
                            <a:cNvSpPr>
                              <a:spLocks noChangeArrowheads="1"/>
                            </a:cNvSpPr>
                          </a:nvSpPr>
                          <a:spPr bwMode="auto">
                            <a:xfrm>
                              <a:off x="2896" y="594"/>
                              <a:ext cx="936" cy="14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76" name="Rectangle 24"/>
                            <a:cNvSpPr>
                              <a:spLocks noChangeArrowheads="1"/>
                            </a:cNvSpPr>
                          </a:nvSpPr>
                          <a:spPr bwMode="auto">
                            <a:xfrm>
                              <a:off x="3952" y="594"/>
                              <a:ext cx="936" cy="14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77" name="Text Box 25"/>
                            <a:cNvSpPr txBox="1">
                              <a:spLocks noChangeArrowheads="1"/>
                            </a:cNvSpPr>
                          </a:nvSpPr>
                          <a:spPr bwMode="auto">
                            <a:xfrm>
                              <a:off x="796" y="68"/>
                              <a:ext cx="1344" cy="346"/>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spcBef>
                                    <a:spcPct val="50000"/>
                                  </a:spcBef>
                                </a:pPr>
                                <a:r>
                                  <a:rPr lang="en-US" sz="1000" dirty="0">
                                    <a:solidFill>
                                      <a:schemeClr val="tx1"/>
                                    </a:solidFill>
                                    <a:latin typeface="Arial" charset="0"/>
                                  </a:rPr>
                                  <a:t>General research tools</a:t>
                                </a:r>
                              </a:p>
                              <a:p>
                                <a:r>
                                  <a:rPr lang="en-US" sz="1000" dirty="0">
                                    <a:solidFill>
                                      <a:schemeClr val="tx1"/>
                                    </a:solidFill>
                                    <a:latin typeface="Arial" charset="0"/>
                                  </a:rPr>
                                  <a:t>Investment Committee </a:t>
                                </a:r>
                              </a:p>
                              <a:p>
                                <a:r>
                                  <a:rPr lang="en-US" sz="1000" dirty="0">
                                    <a:solidFill>
                                      <a:schemeClr val="tx1"/>
                                    </a:solidFill>
                                    <a:latin typeface="Arial" charset="0"/>
                                  </a:rPr>
                                  <a:t>tools</a:t>
                                </a:r>
                              </a:p>
                            </a:txBody>
                            <a:useSpRect/>
                          </a:txSp>
                        </a:sp>
                        <a:sp>
                          <a:nvSpPr>
                            <a:cNvPr id="1917978" name="Text Box 26"/>
                            <a:cNvSpPr txBox="1">
                              <a:spLocks noChangeArrowheads="1"/>
                            </a:cNvSpPr>
                          </a:nvSpPr>
                          <a:spPr bwMode="auto">
                            <a:xfrm>
                              <a:off x="2902" y="68"/>
                              <a:ext cx="1344" cy="346"/>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1000">
                                    <a:solidFill>
                                      <a:schemeClr val="tx1"/>
                                    </a:solidFill>
                                    <a:latin typeface="Arial" charset="0"/>
                                  </a:rPr>
                                  <a:t>Portfolio Models</a:t>
                                </a:r>
                              </a:p>
                              <a:p>
                                <a:r>
                                  <a:rPr lang="en-US" sz="1000">
                                    <a:solidFill>
                                      <a:schemeClr val="tx1"/>
                                    </a:solidFill>
                                    <a:latin typeface="Arial" charset="0"/>
                                  </a:rPr>
                                  <a:t>Asset Allocation</a:t>
                                </a:r>
                              </a:p>
                              <a:p>
                                <a:r>
                                  <a:rPr lang="en-US" sz="1000">
                                    <a:solidFill>
                                      <a:schemeClr val="tx1"/>
                                    </a:solidFill>
                                    <a:latin typeface="Arial" charset="0"/>
                                  </a:rPr>
                                  <a:t>Overlay management</a:t>
                                </a:r>
                              </a:p>
                            </a:txBody>
                            <a:useSpRect/>
                          </a:txSp>
                        </a:sp>
                        <a:sp>
                          <a:nvSpPr>
                            <a:cNvPr id="1917979" name="Text Box 27"/>
                            <a:cNvSpPr txBox="1">
                              <a:spLocks noChangeArrowheads="1"/>
                            </a:cNvSpPr>
                          </a:nvSpPr>
                          <a:spPr bwMode="auto">
                            <a:xfrm>
                              <a:off x="994" y="579"/>
                              <a:ext cx="600" cy="173"/>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spcBef>
                                    <a:spcPct val="50000"/>
                                  </a:spcBef>
                                </a:pPr>
                                <a:r>
                                  <a:rPr lang="en-US" sz="1200">
                                    <a:solidFill>
                                      <a:schemeClr val="tx1"/>
                                    </a:solidFill>
                                    <a:latin typeface="Arial" charset="0"/>
                                  </a:rPr>
                                  <a:t>Research</a:t>
                                </a:r>
                              </a:p>
                            </a:txBody>
                            <a:useSpRect/>
                          </a:txSp>
                        </a:sp>
                        <a:sp>
                          <a:nvSpPr>
                            <a:cNvPr id="1917980" name="Text Box 28"/>
                            <a:cNvSpPr txBox="1">
                              <a:spLocks noChangeArrowheads="1"/>
                            </a:cNvSpPr>
                          </a:nvSpPr>
                          <a:spPr bwMode="auto">
                            <a:xfrm>
                              <a:off x="1846" y="576"/>
                              <a:ext cx="954" cy="173"/>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spcBef>
                                    <a:spcPct val="50000"/>
                                  </a:spcBef>
                                </a:pPr>
                                <a:r>
                                  <a:rPr lang="en-US" sz="1200">
                                    <a:solidFill>
                                      <a:schemeClr val="tx1"/>
                                    </a:solidFill>
                                    <a:latin typeface="Arial" charset="0"/>
                                  </a:rPr>
                                  <a:t>Advisory Services</a:t>
                                </a:r>
                              </a:p>
                            </a:txBody>
                            <a:useSpRect/>
                          </a:txSp>
                        </a:sp>
                        <a:sp>
                          <a:nvSpPr>
                            <a:cNvPr id="1917981" name="Text Box 29"/>
                            <a:cNvSpPr txBox="1">
                              <a:spLocks noChangeArrowheads="1"/>
                            </a:cNvSpPr>
                          </a:nvSpPr>
                          <a:spPr bwMode="auto">
                            <a:xfrm>
                              <a:off x="2860" y="576"/>
                              <a:ext cx="1086" cy="173"/>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spcBef>
                                    <a:spcPct val="50000"/>
                                  </a:spcBef>
                                </a:pPr>
                                <a:r>
                                  <a:rPr lang="en-US" sz="1200">
                                    <a:solidFill>
                                      <a:schemeClr val="tx1"/>
                                    </a:solidFill>
                                    <a:latin typeface="Arial" charset="0"/>
                                  </a:rPr>
                                  <a:t>Program Strategies</a:t>
                                </a:r>
                              </a:p>
                            </a:txBody>
                            <a:useSpRect/>
                          </a:txSp>
                        </a:sp>
                        <a:sp>
                          <a:nvSpPr>
                            <a:cNvPr id="1917982" name="Text Box 30"/>
                            <a:cNvSpPr txBox="1">
                              <a:spLocks noChangeArrowheads="1"/>
                            </a:cNvSpPr>
                          </a:nvSpPr>
                          <a:spPr bwMode="auto">
                            <a:xfrm>
                              <a:off x="4168" y="582"/>
                              <a:ext cx="498" cy="173"/>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spcBef>
                                    <a:spcPct val="50000"/>
                                  </a:spcBef>
                                </a:pPr>
                                <a:r>
                                  <a:rPr lang="en-US" sz="1200">
                                    <a:solidFill>
                                      <a:schemeClr val="tx1"/>
                                    </a:solidFill>
                                    <a:latin typeface="Arial" charset="0"/>
                                  </a:rPr>
                                  <a:t>Trading</a:t>
                                </a:r>
                              </a:p>
                            </a:txBody>
                            <a:useSpRect/>
                          </a:txSp>
                        </a:sp>
                        <a:sp>
                          <a:nvSpPr>
                            <a:cNvPr id="1917983" name="Line 31"/>
                            <a:cNvSpPr>
                              <a:spLocks noChangeShapeType="1"/>
                            </a:cNvSpPr>
                          </a:nvSpPr>
                          <a:spPr bwMode="auto">
                            <a:xfrm>
                              <a:off x="1306" y="444"/>
                              <a:ext cx="0" cy="15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84" name="Line 32"/>
                            <a:cNvSpPr>
                              <a:spLocks noChangeShapeType="1"/>
                            </a:cNvSpPr>
                          </a:nvSpPr>
                          <a:spPr bwMode="auto">
                            <a:xfrm>
                              <a:off x="2314" y="450"/>
                              <a:ext cx="0" cy="15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85" name="Line 33"/>
                            <a:cNvSpPr>
                              <a:spLocks noChangeShapeType="1"/>
                            </a:cNvSpPr>
                          </a:nvSpPr>
                          <a:spPr bwMode="auto">
                            <a:xfrm>
                              <a:off x="3370" y="444"/>
                              <a:ext cx="0" cy="15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86" name="Line 34"/>
                            <a:cNvSpPr>
                              <a:spLocks noChangeShapeType="1"/>
                            </a:cNvSpPr>
                          </a:nvSpPr>
                          <a:spPr bwMode="auto">
                            <a:xfrm>
                              <a:off x="4426" y="444"/>
                              <a:ext cx="0" cy="15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sp>
                        <a:nvSpPr>
                          <a:cNvPr id="1917987" name="Text Box 35"/>
                          <a:cNvSpPr txBox="1">
                            <a:spLocks noChangeArrowheads="1"/>
                          </a:cNvSpPr>
                        </a:nvSpPr>
                        <a:spPr bwMode="auto">
                          <a:xfrm>
                            <a:off x="3944" y="24"/>
                            <a:ext cx="1344" cy="442"/>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1000">
                                  <a:solidFill>
                                    <a:schemeClr val="tx1"/>
                                  </a:solidFill>
                                  <a:latin typeface="Arial" charset="0"/>
                                </a:rPr>
                                <a:t>Portfolio Mgmt Tools</a:t>
                              </a:r>
                            </a:p>
                            <a:p>
                              <a:r>
                                <a:rPr lang="en-US" sz="1000">
                                  <a:solidFill>
                                    <a:schemeClr val="tx1"/>
                                  </a:solidFill>
                                  <a:latin typeface="Arial" charset="0"/>
                                </a:rPr>
                                <a:t>Drift analysis tools</a:t>
                              </a:r>
                            </a:p>
                            <a:p>
                              <a:r>
                                <a:rPr lang="en-US" sz="1000">
                                  <a:solidFill>
                                    <a:schemeClr val="tx1"/>
                                  </a:solidFill>
                                  <a:latin typeface="Arial" charset="0"/>
                                </a:rPr>
                                <a:t>Pre-trade compliance</a:t>
                              </a:r>
                            </a:p>
                            <a:p>
                              <a:r>
                                <a:rPr lang="en-US" sz="1000">
                                  <a:solidFill>
                                    <a:schemeClr val="tx1"/>
                                  </a:solidFill>
                                  <a:latin typeface="Arial" charset="0"/>
                                </a:rPr>
                                <a:t>Order management</a:t>
                              </a:r>
                            </a:p>
                          </a:txBody>
                          <a:useSpRect/>
                        </a:txSp>
                      </a:sp>
                    </a:grpSp>
                    <a:grpSp>
                      <a:nvGrpSpPr>
                        <a:cNvPr id="8" name="Group 36"/>
                        <a:cNvGrpSpPr>
                          <a:grpSpLocks/>
                        </a:cNvGrpSpPr>
                      </a:nvGrpSpPr>
                      <a:grpSpPr bwMode="auto">
                        <a:xfrm>
                          <a:off x="240" y="1920"/>
                          <a:ext cx="1967" cy="2256"/>
                          <a:chOff x="40" y="816"/>
                          <a:chExt cx="1928" cy="2304"/>
                        </a:xfrm>
                      </a:grpSpPr>
                      <a:sp>
                        <a:nvSpPr>
                          <a:cNvPr id="1917989" name="Rectangle 37"/>
                          <a:cNvSpPr>
                            <a:spLocks noChangeArrowheads="1"/>
                          </a:cNvSpPr>
                        </a:nvSpPr>
                        <a:spPr bwMode="auto">
                          <a:xfrm>
                            <a:off x="40" y="816"/>
                            <a:ext cx="1832" cy="230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nvGrpSpPr>
                          <a:cNvPr id="44" name="Group 38"/>
                          <a:cNvGrpSpPr>
                            <a:grpSpLocks/>
                          </a:cNvGrpSpPr>
                        </a:nvGrpSpPr>
                        <a:grpSpPr bwMode="auto">
                          <a:xfrm>
                            <a:off x="48" y="894"/>
                            <a:ext cx="1842" cy="402"/>
                            <a:chOff x="48" y="894"/>
                            <a:chExt cx="1842" cy="402"/>
                          </a:xfrm>
                        </a:grpSpPr>
                        <a:sp>
                          <a:nvSpPr>
                            <a:cNvPr id="1917991" name="Rectangle 39"/>
                            <a:cNvSpPr>
                              <a:spLocks noChangeArrowheads="1"/>
                            </a:cNvSpPr>
                          </a:nvSpPr>
                          <a:spPr bwMode="auto">
                            <a:xfrm>
                              <a:off x="80" y="894"/>
                              <a:ext cx="1008" cy="402"/>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7992" name="Text Box 40"/>
                            <a:cNvSpPr txBox="1">
                              <a:spLocks noChangeArrowheads="1"/>
                            </a:cNvSpPr>
                          </a:nvSpPr>
                          <a:spPr bwMode="auto">
                            <a:xfrm>
                              <a:off x="48" y="912"/>
                              <a:ext cx="1120" cy="374"/>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Performance Measurement</a:t>
                                </a:r>
                              </a:p>
                              <a:p>
                                <a:r>
                                  <a:rPr lang="en-US" sz="800">
                                    <a:solidFill>
                                      <a:schemeClr val="tx1"/>
                                    </a:solidFill>
                                    <a:latin typeface="Arial" charset="0"/>
                                  </a:rPr>
                                  <a:t>Index/benchmark Management</a:t>
                                </a:r>
                              </a:p>
                              <a:p>
                                <a:r>
                                  <a:rPr lang="en-US" sz="800">
                                    <a:solidFill>
                                      <a:schemeClr val="tx1"/>
                                    </a:solidFill>
                                    <a:latin typeface="Arial" charset="0"/>
                                  </a:rPr>
                                  <a:t>Performance Attribution</a:t>
                                </a:r>
                              </a:p>
                              <a:p>
                                <a:r>
                                  <a:rPr lang="en-US" sz="800">
                                    <a:solidFill>
                                      <a:schemeClr val="tx1"/>
                                    </a:solidFill>
                                    <a:latin typeface="Arial" charset="0"/>
                                  </a:rPr>
                                  <a:t>Style Analysis</a:t>
                                </a:r>
                              </a:p>
                            </a:txBody>
                            <a:useSpRect/>
                          </a:txSp>
                        </a:sp>
                        <a:sp>
                          <a:nvSpPr>
                            <a:cNvPr id="1917993" name="Rectangle 41"/>
                            <a:cNvSpPr>
                              <a:spLocks noChangeArrowheads="1"/>
                            </a:cNvSpPr>
                          </a:nvSpPr>
                          <a:spPr bwMode="auto">
                            <a:xfrm>
                              <a:off x="1146" y="967"/>
                              <a:ext cx="690" cy="240"/>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94" name="Text Box 42"/>
                            <a:cNvSpPr txBox="1">
                              <a:spLocks noChangeArrowheads="1"/>
                            </a:cNvSpPr>
                          </a:nvSpPr>
                          <a:spPr bwMode="auto">
                            <a:xfrm>
                              <a:off x="1170" y="963"/>
                              <a:ext cx="720" cy="255"/>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spcBef>
                                    <a:spcPct val="50000"/>
                                  </a:spcBef>
                                </a:pPr>
                                <a:r>
                                  <a:rPr lang="en-US" sz="1000">
                                    <a:solidFill>
                                      <a:schemeClr val="tx1"/>
                                    </a:solidFill>
                                    <a:latin typeface="Arial" charset="0"/>
                                  </a:rPr>
                                  <a:t>Performance Measurement</a:t>
                                </a:r>
                              </a:p>
                            </a:txBody>
                            <a:useSpRect/>
                          </a:txSp>
                        </a:sp>
                        <a:sp>
                          <a:nvSpPr>
                            <a:cNvPr id="1917995" name="Line 43"/>
                            <a:cNvSpPr>
                              <a:spLocks noChangeShapeType="1"/>
                            </a:cNvSpPr>
                          </a:nvSpPr>
                          <a:spPr bwMode="auto">
                            <a:xfrm>
                              <a:off x="1089" y="1098"/>
                              <a:ext cx="48" cy="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a:nvGrpSpPr>
                          <a:cNvPr id="45" name="Group 44"/>
                          <a:cNvGrpSpPr>
                            <a:grpSpLocks/>
                          </a:cNvGrpSpPr>
                        </a:nvGrpSpPr>
                        <a:grpSpPr bwMode="auto">
                          <a:xfrm>
                            <a:off x="54" y="1416"/>
                            <a:ext cx="1788" cy="552"/>
                            <a:chOff x="54" y="1416"/>
                            <a:chExt cx="1788" cy="552"/>
                          </a:xfrm>
                        </a:grpSpPr>
                        <a:sp>
                          <a:nvSpPr>
                            <a:cNvPr id="1917997" name="Rectangle 45"/>
                            <a:cNvSpPr>
                              <a:spLocks noChangeArrowheads="1"/>
                            </a:cNvSpPr>
                          </a:nvSpPr>
                          <a:spPr bwMode="auto">
                            <a:xfrm>
                              <a:off x="78" y="1416"/>
                              <a:ext cx="1008" cy="552"/>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7998" name="Rectangle 46"/>
                            <a:cNvSpPr>
                              <a:spLocks noChangeArrowheads="1"/>
                            </a:cNvSpPr>
                          </a:nvSpPr>
                          <a:spPr bwMode="auto">
                            <a:xfrm>
                              <a:off x="1146" y="1584"/>
                              <a:ext cx="690" cy="240"/>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7999" name="Text Box 47"/>
                            <a:cNvSpPr txBox="1">
                              <a:spLocks noChangeArrowheads="1"/>
                            </a:cNvSpPr>
                          </a:nvSpPr>
                          <a:spPr bwMode="auto">
                            <a:xfrm>
                              <a:off x="54" y="1432"/>
                              <a:ext cx="1120" cy="532"/>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Credit risk</a:t>
                                </a:r>
                              </a:p>
                              <a:p>
                                <a:r>
                                  <a:rPr lang="en-US" sz="800">
                                    <a:solidFill>
                                      <a:schemeClr val="tx1"/>
                                    </a:solidFill>
                                    <a:latin typeface="Arial" charset="0"/>
                                  </a:rPr>
                                  <a:t>Market Riskt</a:t>
                                </a:r>
                              </a:p>
                              <a:p>
                                <a:r>
                                  <a:rPr lang="en-US" sz="800">
                                    <a:solidFill>
                                      <a:schemeClr val="tx1"/>
                                    </a:solidFill>
                                    <a:latin typeface="Arial" charset="0"/>
                                  </a:rPr>
                                  <a:t>Liquidity risk</a:t>
                                </a:r>
                              </a:p>
                              <a:p>
                                <a:r>
                                  <a:rPr lang="en-US" sz="800">
                                    <a:solidFill>
                                      <a:schemeClr val="tx1"/>
                                    </a:solidFill>
                                    <a:latin typeface="Arial" charset="0"/>
                                  </a:rPr>
                                  <a:t>Operational Risk</a:t>
                                </a:r>
                              </a:p>
                              <a:p>
                                <a:r>
                                  <a:rPr lang="en-US" sz="800">
                                    <a:solidFill>
                                      <a:schemeClr val="tx1"/>
                                    </a:solidFill>
                                    <a:latin typeface="Arial" charset="0"/>
                                  </a:rPr>
                                  <a:t>Exchange rate risk</a:t>
                                </a:r>
                              </a:p>
                              <a:p>
                                <a:r>
                                  <a:rPr lang="en-US" sz="800">
                                    <a:solidFill>
                                      <a:schemeClr val="tx1"/>
                                    </a:solidFill>
                                    <a:latin typeface="Arial" charset="0"/>
                                  </a:rPr>
                                  <a:t>Interest rate risk</a:t>
                                </a:r>
                              </a:p>
                            </a:txBody>
                            <a:useSpRect/>
                          </a:txSp>
                        </a:sp>
                        <a:sp>
                          <a:nvSpPr>
                            <a:cNvPr id="1918000" name="Text Box 48"/>
                            <a:cNvSpPr txBox="1">
                              <a:spLocks noChangeArrowheads="1"/>
                            </a:cNvSpPr>
                          </a:nvSpPr>
                          <a:spPr bwMode="auto">
                            <a:xfrm>
                              <a:off x="1122" y="1574"/>
                              <a:ext cx="720" cy="256"/>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spcBef>
                                    <a:spcPct val="50000"/>
                                  </a:spcBef>
                                </a:pPr>
                                <a:r>
                                  <a:rPr lang="en-US" sz="1000">
                                    <a:solidFill>
                                      <a:schemeClr val="tx1"/>
                                    </a:solidFill>
                                    <a:latin typeface="Arial" charset="0"/>
                                  </a:rPr>
                                  <a:t>Risk Management</a:t>
                                </a:r>
                              </a:p>
                            </a:txBody>
                            <a:useSpRect/>
                          </a:txSp>
                        </a:sp>
                        <a:sp>
                          <a:nvSpPr>
                            <a:cNvPr id="1918001" name="Line 49"/>
                            <a:cNvSpPr>
                              <a:spLocks noChangeShapeType="1"/>
                            </a:cNvSpPr>
                          </a:nvSpPr>
                          <a:spPr bwMode="auto">
                            <a:xfrm>
                              <a:off x="1092" y="1707"/>
                              <a:ext cx="48" cy="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a:nvGrpSpPr>
                          <a:cNvPr id="46" name="Group 50"/>
                          <a:cNvGrpSpPr>
                            <a:grpSpLocks/>
                          </a:cNvGrpSpPr>
                        </a:nvGrpSpPr>
                        <a:grpSpPr bwMode="auto">
                          <a:xfrm>
                            <a:off x="56" y="2108"/>
                            <a:ext cx="1906" cy="388"/>
                            <a:chOff x="56" y="2108"/>
                            <a:chExt cx="1906" cy="388"/>
                          </a:xfrm>
                        </a:grpSpPr>
                        <a:sp>
                          <a:nvSpPr>
                            <a:cNvPr id="1918003" name="Text Box 51"/>
                            <a:cNvSpPr txBox="1">
                              <a:spLocks noChangeArrowheads="1"/>
                            </a:cNvSpPr>
                          </a:nvSpPr>
                          <a:spPr bwMode="auto">
                            <a:xfrm>
                              <a:off x="56" y="2108"/>
                              <a:ext cx="1120" cy="374"/>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Client Reporting</a:t>
                                </a:r>
                              </a:p>
                              <a:p>
                                <a:r>
                                  <a:rPr lang="en-US" sz="800">
                                    <a:solidFill>
                                      <a:schemeClr val="tx1"/>
                                    </a:solidFill>
                                    <a:latin typeface="Arial" charset="0"/>
                                  </a:rPr>
                                  <a:t>Anti-money laundering</a:t>
                                </a:r>
                              </a:p>
                              <a:p>
                                <a:r>
                                  <a:rPr lang="en-US" sz="800">
                                    <a:solidFill>
                                      <a:schemeClr val="tx1"/>
                                    </a:solidFill>
                                    <a:latin typeface="Arial" charset="0"/>
                                  </a:rPr>
                                  <a:t>Regulatory reporting</a:t>
                                </a:r>
                              </a:p>
                              <a:p>
                                <a:r>
                                  <a:rPr lang="en-US" sz="800">
                                    <a:solidFill>
                                      <a:schemeClr val="tx1"/>
                                    </a:solidFill>
                                    <a:latin typeface="Arial" charset="0"/>
                                  </a:rPr>
                                  <a:t>SOX compliance</a:t>
                                </a:r>
                              </a:p>
                            </a:txBody>
                            <a:useSpRect/>
                          </a:txSp>
                        </a:sp>
                        <a:sp>
                          <a:nvSpPr>
                            <a:cNvPr id="1918004" name="Rectangle 52"/>
                            <a:cNvSpPr>
                              <a:spLocks noChangeArrowheads="1"/>
                            </a:cNvSpPr>
                          </a:nvSpPr>
                          <a:spPr bwMode="auto">
                            <a:xfrm>
                              <a:off x="84" y="2112"/>
                              <a:ext cx="1008" cy="384"/>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8005" name="Rectangle 53"/>
                            <a:cNvSpPr>
                              <a:spLocks noChangeArrowheads="1"/>
                            </a:cNvSpPr>
                          </a:nvSpPr>
                          <a:spPr bwMode="auto">
                            <a:xfrm>
                              <a:off x="1146" y="2256"/>
                              <a:ext cx="690" cy="14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06" name="Text Box 54"/>
                            <a:cNvSpPr txBox="1">
                              <a:spLocks noChangeArrowheads="1"/>
                            </a:cNvSpPr>
                          </a:nvSpPr>
                          <a:spPr bwMode="auto">
                            <a:xfrm>
                              <a:off x="1002" y="2244"/>
                              <a:ext cx="960" cy="157"/>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spcBef>
                                    <a:spcPct val="50000"/>
                                  </a:spcBef>
                                </a:pPr>
                                <a:r>
                                  <a:rPr lang="en-US" sz="1000">
                                    <a:solidFill>
                                      <a:schemeClr val="tx1"/>
                                    </a:solidFill>
                                    <a:latin typeface="Arial" charset="0"/>
                                  </a:rPr>
                                  <a:t>Compliance</a:t>
                                </a:r>
                              </a:p>
                            </a:txBody>
                            <a:useSpRect/>
                          </a:txSp>
                        </a:sp>
                        <a:sp>
                          <a:nvSpPr>
                            <a:cNvPr id="1918007" name="Line 55"/>
                            <a:cNvSpPr>
                              <a:spLocks noChangeShapeType="1"/>
                            </a:cNvSpPr>
                          </a:nvSpPr>
                          <a:spPr bwMode="auto">
                            <a:xfrm>
                              <a:off x="1098" y="2334"/>
                              <a:ext cx="48" cy="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a:nvGrpSpPr>
                          <a:cNvPr id="47" name="Group 56"/>
                          <a:cNvGrpSpPr>
                            <a:grpSpLocks/>
                          </a:cNvGrpSpPr>
                        </a:nvGrpSpPr>
                        <a:grpSpPr bwMode="auto">
                          <a:xfrm>
                            <a:off x="66" y="2616"/>
                            <a:ext cx="1902" cy="384"/>
                            <a:chOff x="66" y="2616"/>
                            <a:chExt cx="1902" cy="384"/>
                          </a:xfrm>
                        </a:grpSpPr>
                        <a:sp>
                          <a:nvSpPr>
                            <a:cNvPr id="1918009" name="Text Box 57"/>
                            <a:cNvSpPr txBox="1">
                              <a:spLocks noChangeArrowheads="1"/>
                            </a:cNvSpPr>
                          </a:nvSpPr>
                          <a:spPr bwMode="auto">
                            <a:xfrm>
                              <a:off x="1008" y="2737"/>
                              <a:ext cx="960" cy="157"/>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spcBef>
                                    <a:spcPct val="50000"/>
                                  </a:spcBef>
                                </a:pPr>
                                <a:r>
                                  <a:rPr lang="en-US" sz="1000">
                                    <a:solidFill>
                                      <a:schemeClr val="tx1"/>
                                    </a:solidFill>
                                    <a:latin typeface="Arial" charset="0"/>
                                  </a:rPr>
                                  <a:t>Legal</a:t>
                                </a:r>
                              </a:p>
                            </a:txBody>
                            <a:useSpRect/>
                          </a:txSp>
                        </a:sp>
                        <a:sp>
                          <a:nvSpPr>
                            <a:cNvPr id="1918010" name="Text Box 58"/>
                            <a:cNvSpPr txBox="1">
                              <a:spLocks noChangeArrowheads="1"/>
                            </a:cNvSpPr>
                          </a:nvSpPr>
                          <a:spPr bwMode="auto">
                            <a:xfrm>
                              <a:off x="66" y="2616"/>
                              <a:ext cx="1120" cy="374"/>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Contracts</a:t>
                                </a:r>
                              </a:p>
                              <a:p>
                                <a:r>
                                  <a:rPr lang="en-US" sz="800">
                                    <a:solidFill>
                                      <a:schemeClr val="tx1"/>
                                    </a:solidFill>
                                    <a:latin typeface="Arial" charset="0"/>
                                  </a:rPr>
                                  <a:t>SEC Filings</a:t>
                                </a:r>
                              </a:p>
                              <a:p>
                                <a:r>
                                  <a:rPr lang="en-US" sz="800">
                                    <a:solidFill>
                                      <a:schemeClr val="tx1"/>
                                    </a:solidFill>
                                    <a:latin typeface="Arial" charset="0"/>
                                  </a:rPr>
                                  <a:t>Prospectuses</a:t>
                                </a:r>
                              </a:p>
                              <a:p>
                                <a:r>
                                  <a:rPr lang="en-US" sz="800">
                                    <a:solidFill>
                                      <a:schemeClr val="tx1"/>
                                    </a:solidFill>
                                    <a:latin typeface="Arial" charset="0"/>
                                  </a:rPr>
                                  <a:t>Proxies</a:t>
                                </a:r>
                              </a:p>
                            </a:txBody>
                            <a:useSpRect/>
                          </a:txSp>
                        </a:sp>
                        <a:sp>
                          <a:nvSpPr>
                            <a:cNvPr id="1918011" name="Rectangle 59"/>
                            <a:cNvSpPr>
                              <a:spLocks noChangeArrowheads="1"/>
                            </a:cNvSpPr>
                          </a:nvSpPr>
                          <a:spPr bwMode="auto">
                            <a:xfrm>
                              <a:off x="84" y="2616"/>
                              <a:ext cx="1008" cy="384"/>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8012" name="Rectangle 60"/>
                            <a:cNvSpPr>
                              <a:spLocks noChangeArrowheads="1"/>
                            </a:cNvSpPr>
                          </a:nvSpPr>
                          <a:spPr bwMode="auto">
                            <a:xfrm>
                              <a:off x="1146" y="2746"/>
                              <a:ext cx="690" cy="14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13" name="Line 61"/>
                            <a:cNvSpPr>
                              <a:spLocks noChangeShapeType="1"/>
                            </a:cNvSpPr>
                          </a:nvSpPr>
                          <a:spPr bwMode="auto">
                            <a:xfrm>
                              <a:off x="1098" y="2821"/>
                              <a:ext cx="48" cy="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a:sp>
                      <a:nvSpPr>
                        <a:cNvPr id="1918014" name="Rectangle 62"/>
                        <a:cNvSpPr>
                          <a:spLocks noChangeArrowheads="1"/>
                        </a:cNvSpPr>
                      </a:nvSpPr>
                      <a:spPr bwMode="auto">
                        <a:xfrm>
                          <a:off x="2256" y="3504"/>
                          <a:ext cx="720" cy="528"/>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8015" name="Rectangle 63"/>
                        <a:cNvSpPr>
                          <a:spLocks noChangeArrowheads="1"/>
                        </a:cNvSpPr>
                      </a:nvSpPr>
                      <a:spPr bwMode="auto">
                        <a:xfrm>
                          <a:off x="2976" y="3504"/>
                          <a:ext cx="768" cy="528"/>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8016" name="Rectangle 64"/>
                        <a:cNvSpPr>
                          <a:spLocks noChangeArrowheads="1"/>
                        </a:cNvSpPr>
                      </a:nvSpPr>
                      <a:spPr bwMode="auto">
                        <a:xfrm>
                          <a:off x="2208" y="3312"/>
                          <a:ext cx="1584" cy="816"/>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17" name="Text Box 65"/>
                        <a:cNvSpPr txBox="1">
                          <a:spLocks noChangeArrowheads="1"/>
                        </a:cNvSpPr>
                      </a:nvSpPr>
                      <a:spPr bwMode="auto">
                        <a:xfrm>
                          <a:off x="2256" y="3360"/>
                          <a:ext cx="720" cy="162"/>
                        </a:xfrm>
                        <a:prstGeom prst="rect">
                          <a:avLst/>
                        </a:prstGeom>
                        <a:noFill/>
                        <a:ln w="12700">
                          <a:solidFill>
                            <a:schemeClr val="tx1"/>
                          </a:solid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spcBef>
                                <a:spcPct val="50000"/>
                              </a:spcBef>
                            </a:pPr>
                            <a:r>
                              <a:rPr lang="en-US" sz="1000">
                                <a:solidFill>
                                  <a:schemeClr val="tx1"/>
                                </a:solidFill>
                                <a:latin typeface="Arial" charset="0"/>
                              </a:rPr>
                              <a:t>Client servicing</a:t>
                            </a:r>
                          </a:p>
                        </a:txBody>
                        <a:useSpRect/>
                      </a:txSp>
                    </a:sp>
                    <a:sp>
                      <a:nvSpPr>
                        <a:cNvPr id="1918018" name="Text Box 66"/>
                        <a:cNvSpPr txBox="1">
                          <a:spLocks noChangeArrowheads="1"/>
                        </a:cNvSpPr>
                      </a:nvSpPr>
                      <a:spPr bwMode="auto">
                        <a:xfrm>
                          <a:off x="2976" y="3360"/>
                          <a:ext cx="768" cy="162"/>
                        </a:xfrm>
                        <a:prstGeom prst="rect">
                          <a:avLst/>
                        </a:prstGeom>
                        <a:noFill/>
                        <a:ln w="12700">
                          <a:solidFill>
                            <a:schemeClr val="tx1"/>
                          </a:solid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spcBef>
                                <a:spcPct val="50000"/>
                              </a:spcBef>
                            </a:pPr>
                            <a:r>
                              <a:rPr lang="en-US" sz="1000">
                                <a:solidFill>
                                  <a:schemeClr val="tx1"/>
                                </a:solidFill>
                                <a:latin typeface="Arial" charset="0"/>
                              </a:rPr>
                              <a:t>Marketing</a:t>
                            </a:r>
                          </a:p>
                        </a:txBody>
                        <a:useSpRect/>
                      </a:txSp>
                    </a:sp>
                    <a:sp>
                      <a:nvSpPr>
                        <a:cNvPr id="1918019" name="Text Box 67"/>
                        <a:cNvSpPr txBox="1">
                          <a:spLocks noChangeArrowheads="1"/>
                        </a:cNvSpPr>
                      </a:nvSpPr>
                      <a:spPr bwMode="auto">
                        <a:xfrm>
                          <a:off x="2256" y="3552"/>
                          <a:ext cx="798" cy="443"/>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CRM tools</a:t>
                            </a:r>
                          </a:p>
                          <a:p>
                            <a:r>
                              <a:rPr lang="en-US" sz="800">
                                <a:solidFill>
                                  <a:schemeClr val="tx1"/>
                                </a:solidFill>
                                <a:latin typeface="Arial" charset="0"/>
                              </a:rPr>
                              <a:t>Online client portal</a:t>
                            </a:r>
                          </a:p>
                          <a:p>
                            <a:r>
                              <a:rPr lang="en-US" sz="800">
                                <a:solidFill>
                                  <a:schemeClr val="tx1"/>
                                </a:solidFill>
                                <a:latin typeface="Arial" charset="0"/>
                              </a:rPr>
                              <a:t>New Account Open</a:t>
                            </a:r>
                          </a:p>
                          <a:p>
                            <a:r>
                              <a:rPr lang="en-US" sz="800">
                                <a:solidFill>
                                  <a:schemeClr val="tx1"/>
                                </a:solidFill>
                                <a:latin typeface="Arial" charset="0"/>
                              </a:rPr>
                              <a:t>Redemptions</a:t>
                            </a:r>
                          </a:p>
                          <a:p>
                            <a:r>
                              <a:rPr lang="en-US" sz="800">
                                <a:solidFill>
                                  <a:schemeClr val="tx1"/>
                                </a:solidFill>
                                <a:latin typeface="Arial" charset="0"/>
                              </a:rPr>
                              <a:t>Transfers</a:t>
                            </a:r>
                          </a:p>
                        </a:txBody>
                        <a:useSpRect/>
                      </a:txSp>
                    </a:sp>
                    <a:sp>
                      <a:nvSpPr>
                        <a:cNvPr id="1918020" name="Text Box 68"/>
                        <a:cNvSpPr txBox="1">
                          <a:spLocks noChangeArrowheads="1"/>
                        </a:cNvSpPr>
                      </a:nvSpPr>
                      <a:spPr bwMode="auto">
                        <a:xfrm>
                          <a:off x="2976" y="3504"/>
                          <a:ext cx="912" cy="520"/>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Marketing</a:t>
                            </a:r>
                          </a:p>
                          <a:p>
                            <a:r>
                              <a:rPr lang="en-US" sz="800">
                                <a:solidFill>
                                  <a:schemeClr val="tx1"/>
                                </a:solidFill>
                                <a:latin typeface="Arial" charset="0"/>
                              </a:rPr>
                              <a:t>Client presentations</a:t>
                            </a:r>
                          </a:p>
                          <a:p>
                            <a:r>
                              <a:rPr lang="en-US" sz="800">
                                <a:solidFill>
                                  <a:schemeClr val="tx1"/>
                                </a:solidFill>
                                <a:latin typeface="Arial" charset="0"/>
                              </a:rPr>
                              <a:t>Prospecting</a:t>
                            </a:r>
                          </a:p>
                          <a:p>
                            <a:r>
                              <a:rPr lang="en-US" sz="800">
                                <a:solidFill>
                                  <a:schemeClr val="tx1"/>
                                </a:solidFill>
                                <a:latin typeface="Arial" charset="0"/>
                              </a:rPr>
                              <a:t>Enterprise Reporting</a:t>
                            </a:r>
                          </a:p>
                          <a:p>
                            <a:r>
                              <a:rPr lang="en-US" sz="800">
                                <a:solidFill>
                                  <a:schemeClr val="tx1"/>
                                </a:solidFill>
                                <a:latin typeface="Arial" charset="0"/>
                              </a:rPr>
                              <a:t>Broker, Dealer, Agency commissions, 12B-1</a:t>
                            </a:r>
                          </a:p>
                        </a:txBody>
                        <a:useSpRect/>
                      </a:txSp>
                    </a:sp>
                    <a:grpSp>
                      <a:nvGrpSpPr>
                        <a:cNvPr id="16" name="Group 69"/>
                        <a:cNvGrpSpPr>
                          <a:grpSpLocks/>
                        </a:cNvGrpSpPr>
                      </a:nvGrpSpPr>
                      <a:grpSpPr bwMode="auto">
                        <a:xfrm>
                          <a:off x="3792" y="1920"/>
                          <a:ext cx="2070" cy="1680"/>
                          <a:chOff x="3888" y="784"/>
                          <a:chExt cx="2070" cy="1680"/>
                        </a:xfrm>
                      </a:grpSpPr>
                      <a:sp>
                        <a:nvSpPr>
                          <a:cNvPr id="1918022" name="Rectangle 70"/>
                          <a:cNvSpPr>
                            <a:spLocks noChangeArrowheads="1"/>
                          </a:cNvSpPr>
                        </a:nvSpPr>
                        <a:spPr bwMode="auto">
                          <a:xfrm>
                            <a:off x="3984" y="784"/>
                            <a:ext cx="1736" cy="1680"/>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nvGrpSpPr>
                          <a:cNvPr id="27" name="Group 71"/>
                          <a:cNvGrpSpPr>
                            <a:grpSpLocks/>
                          </a:cNvGrpSpPr>
                        </a:nvGrpSpPr>
                        <a:grpSpPr bwMode="auto">
                          <a:xfrm>
                            <a:off x="3888" y="886"/>
                            <a:ext cx="2070" cy="1498"/>
                            <a:chOff x="3888" y="1590"/>
                            <a:chExt cx="2070" cy="1498"/>
                          </a:xfrm>
                        </a:grpSpPr>
                        <a:sp>
                          <a:nvSpPr>
                            <a:cNvPr id="1918024" name="Text Box 72"/>
                            <a:cNvSpPr txBox="1">
                              <a:spLocks noChangeArrowheads="1"/>
                            </a:cNvSpPr>
                          </a:nvSpPr>
                          <a:spPr bwMode="auto">
                            <a:xfrm>
                              <a:off x="3888" y="1634"/>
                              <a:ext cx="876" cy="250"/>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spcBef>
                                    <a:spcPct val="50000"/>
                                  </a:spcBef>
                                </a:pPr>
                                <a:r>
                                  <a:rPr lang="en-US" sz="1000">
                                    <a:solidFill>
                                      <a:schemeClr val="tx1"/>
                                    </a:solidFill>
                                    <a:latin typeface="Arial" charset="0"/>
                                  </a:rPr>
                                  <a:t>Portfolio Accounting</a:t>
                                </a:r>
                              </a:p>
                            </a:txBody>
                            <a:useSpRect/>
                          </a:txSp>
                        </a:sp>
                        <a:sp>
                          <a:nvSpPr>
                            <a:cNvPr id="1918025" name="Text Box 73"/>
                            <a:cNvSpPr txBox="1">
                              <a:spLocks noChangeArrowheads="1"/>
                            </a:cNvSpPr>
                          </a:nvSpPr>
                          <a:spPr bwMode="auto">
                            <a:xfrm>
                              <a:off x="3900" y="2144"/>
                              <a:ext cx="876" cy="269"/>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spcBef>
                                    <a:spcPct val="50000"/>
                                  </a:spcBef>
                                </a:pPr>
                                <a:r>
                                  <a:rPr lang="en-US" sz="1000">
                                    <a:solidFill>
                                      <a:schemeClr val="tx1"/>
                                    </a:solidFill>
                                    <a:latin typeface="Arial" charset="0"/>
                                  </a:rPr>
                                  <a:t>Corporate </a:t>
                                </a:r>
                              </a:p>
                              <a:p>
                                <a:pPr algn="ctr">
                                  <a:spcBef>
                                    <a:spcPct val="20000"/>
                                  </a:spcBef>
                                </a:pPr>
                                <a:r>
                                  <a:rPr lang="en-US" sz="1000">
                                    <a:solidFill>
                                      <a:schemeClr val="tx1"/>
                                    </a:solidFill>
                                    <a:latin typeface="Arial" charset="0"/>
                                  </a:rPr>
                                  <a:t>Actions</a:t>
                                </a:r>
                              </a:p>
                            </a:txBody>
                            <a:useSpRect/>
                          </a:txSp>
                        </a:sp>
                        <a:sp>
                          <a:nvSpPr>
                            <a:cNvPr id="1918026" name="Rectangle 74"/>
                            <a:cNvSpPr>
                              <a:spLocks noChangeArrowheads="1"/>
                            </a:cNvSpPr>
                          </a:nvSpPr>
                          <a:spPr bwMode="auto">
                            <a:xfrm>
                              <a:off x="4848" y="2088"/>
                              <a:ext cx="816" cy="384"/>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8027" name="Rectangle 75"/>
                            <a:cNvSpPr>
                              <a:spLocks noChangeArrowheads="1"/>
                            </a:cNvSpPr>
                          </a:nvSpPr>
                          <a:spPr bwMode="auto">
                            <a:xfrm>
                              <a:off x="4848" y="1596"/>
                              <a:ext cx="816" cy="288"/>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8028" name="Rectangle 76"/>
                            <a:cNvSpPr>
                              <a:spLocks noChangeArrowheads="1"/>
                            </a:cNvSpPr>
                          </a:nvSpPr>
                          <a:spPr bwMode="auto">
                            <a:xfrm>
                              <a:off x="4848" y="2592"/>
                              <a:ext cx="816" cy="480"/>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8029" name="Rectangle 77"/>
                            <a:cNvSpPr>
                              <a:spLocks noChangeArrowheads="1"/>
                            </a:cNvSpPr>
                          </a:nvSpPr>
                          <a:spPr bwMode="auto">
                            <a:xfrm>
                              <a:off x="4014" y="1648"/>
                              <a:ext cx="642" cy="22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30" name="Rectangle 78"/>
                            <a:cNvSpPr>
                              <a:spLocks noChangeArrowheads="1"/>
                            </a:cNvSpPr>
                          </a:nvSpPr>
                          <a:spPr bwMode="auto">
                            <a:xfrm>
                              <a:off x="4014" y="2158"/>
                              <a:ext cx="642" cy="272"/>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31" name="Rectangle 79"/>
                            <a:cNvSpPr>
                              <a:spLocks noChangeArrowheads="1"/>
                            </a:cNvSpPr>
                          </a:nvSpPr>
                          <a:spPr bwMode="auto">
                            <a:xfrm>
                              <a:off x="4014" y="2736"/>
                              <a:ext cx="642" cy="144"/>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32" name="Text Box 80"/>
                            <a:cNvSpPr txBox="1">
                              <a:spLocks noChangeArrowheads="1"/>
                            </a:cNvSpPr>
                          </a:nvSpPr>
                          <a:spPr bwMode="auto">
                            <a:xfrm>
                              <a:off x="4032" y="2720"/>
                              <a:ext cx="876" cy="154"/>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spcBef>
                                    <a:spcPct val="50000"/>
                                  </a:spcBef>
                                </a:pPr>
                                <a:r>
                                  <a:rPr lang="en-US" sz="1000">
                                    <a:solidFill>
                                      <a:schemeClr val="tx1"/>
                                    </a:solidFill>
                                    <a:latin typeface="Arial" charset="0"/>
                                  </a:rPr>
                                  <a:t>Operations</a:t>
                                </a:r>
                              </a:p>
                            </a:txBody>
                            <a:useSpRect/>
                          </a:txSp>
                        </a:sp>
                        <a:sp>
                          <a:nvSpPr>
                            <a:cNvPr id="1918033" name="Text Box 81"/>
                            <a:cNvSpPr txBox="1">
                              <a:spLocks noChangeArrowheads="1"/>
                            </a:cNvSpPr>
                          </a:nvSpPr>
                          <a:spPr bwMode="auto">
                            <a:xfrm>
                              <a:off x="4838" y="1590"/>
                              <a:ext cx="1120" cy="289"/>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Investment Accounting</a:t>
                                </a:r>
                              </a:p>
                              <a:p>
                                <a:r>
                                  <a:rPr lang="en-US" sz="800">
                                    <a:solidFill>
                                      <a:schemeClr val="tx1"/>
                                    </a:solidFill>
                                    <a:latin typeface="Arial" charset="0"/>
                                  </a:rPr>
                                  <a:t>NAV &amp; fund accounting</a:t>
                                </a:r>
                              </a:p>
                              <a:p>
                                <a:r>
                                  <a:rPr lang="en-US" sz="800">
                                    <a:solidFill>
                                      <a:schemeClr val="tx1"/>
                                    </a:solidFill>
                                    <a:latin typeface="Arial" charset="0"/>
                                  </a:rPr>
                                  <a:t>Partnership Accounting</a:t>
                                </a:r>
                              </a:p>
                            </a:txBody>
                            <a:useSpRect/>
                          </a:txSp>
                        </a:sp>
                        <a:sp>
                          <a:nvSpPr>
                            <a:cNvPr id="1918034" name="Text Box 82"/>
                            <a:cNvSpPr txBox="1">
                              <a:spLocks noChangeArrowheads="1"/>
                            </a:cNvSpPr>
                          </a:nvSpPr>
                          <a:spPr bwMode="auto">
                            <a:xfrm>
                              <a:off x="4832" y="2088"/>
                              <a:ext cx="1120" cy="366"/>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Corporate Actions</a:t>
                                </a:r>
                              </a:p>
                              <a:p>
                                <a:r>
                                  <a:rPr lang="en-US" sz="800">
                                    <a:solidFill>
                                      <a:schemeClr val="tx1"/>
                                    </a:solidFill>
                                    <a:latin typeface="Arial" charset="0"/>
                                  </a:rPr>
                                  <a:t>Income processing</a:t>
                                </a:r>
                              </a:p>
                              <a:p>
                                <a:r>
                                  <a:rPr lang="en-US" sz="800">
                                    <a:solidFill>
                                      <a:schemeClr val="tx1"/>
                                    </a:solidFill>
                                    <a:latin typeface="Arial" charset="0"/>
                                  </a:rPr>
                                  <a:t>Dividend/income</a:t>
                                </a:r>
                              </a:p>
                              <a:p>
                                <a:r>
                                  <a:rPr lang="en-US" sz="800">
                                    <a:solidFill>
                                      <a:schemeClr val="tx1"/>
                                    </a:solidFill>
                                    <a:latin typeface="Arial" charset="0"/>
                                  </a:rPr>
                                  <a:t>reinvestment</a:t>
                                </a:r>
                              </a:p>
                            </a:txBody>
                            <a:useSpRect/>
                          </a:txSp>
                        </a:sp>
                        <a:sp>
                          <a:nvSpPr>
                            <a:cNvPr id="1918035" name="Text Box 83"/>
                            <a:cNvSpPr txBox="1">
                              <a:spLocks noChangeArrowheads="1"/>
                            </a:cNvSpPr>
                          </a:nvSpPr>
                          <a:spPr bwMode="auto">
                            <a:xfrm>
                              <a:off x="4818" y="2568"/>
                              <a:ext cx="1120" cy="520"/>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Client billing</a:t>
                                </a:r>
                              </a:p>
                              <a:p>
                                <a:r>
                                  <a:rPr lang="en-US" sz="800">
                                    <a:solidFill>
                                      <a:schemeClr val="tx1"/>
                                    </a:solidFill>
                                    <a:latin typeface="Arial" charset="0"/>
                                  </a:rPr>
                                  <a:t>Management</a:t>
                                </a:r>
                              </a:p>
                              <a:p>
                                <a:r>
                                  <a:rPr lang="en-US" sz="800">
                                    <a:solidFill>
                                      <a:schemeClr val="tx1"/>
                                    </a:solidFill>
                                    <a:latin typeface="Arial" charset="0"/>
                                  </a:rPr>
                                  <a:t>Cash management</a:t>
                                </a:r>
                              </a:p>
                              <a:p>
                                <a:r>
                                  <a:rPr lang="en-US" sz="800">
                                    <a:solidFill>
                                      <a:schemeClr val="tx1"/>
                                    </a:solidFill>
                                    <a:latin typeface="Arial" charset="0"/>
                                  </a:rPr>
                                  <a:t>Reconciliation &amp;</a:t>
                                </a:r>
                              </a:p>
                              <a:p>
                                <a:r>
                                  <a:rPr lang="en-US" sz="800">
                                    <a:solidFill>
                                      <a:schemeClr val="tx1"/>
                                    </a:solidFill>
                                    <a:latin typeface="Arial" charset="0"/>
                                  </a:rPr>
                                  <a:t>Settlements</a:t>
                                </a:r>
                              </a:p>
                              <a:p>
                                <a:r>
                                  <a:rPr lang="en-US" sz="800">
                                    <a:solidFill>
                                      <a:schemeClr val="tx1"/>
                                    </a:solidFill>
                                    <a:latin typeface="Arial" charset="0"/>
                                  </a:rPr>
                                  <a:t>Transfer agency</a:t>
                                </a:r>
                              </a:p>
                            </a:txBody>
                            <a:useSpRect/>
                          </a:txSp>
                        </a:sp>
                        <a:sp>
                          <a:nvSpPr>
                            <a:cNvPr id="1918036" name="Line 84"/>
                            <a:cNvSpPr>
                              <a:spLocks noChangeShapeType="1"/>
                            </a:cNvSpPr>
                          </a:nvSpPr>
                          <a:spPr bwMode="auto">
                            <a:xfrm>
                              <a:off x="4656" y="1758"/>
                              <a:ext cx="192" cy="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37" name="Line 85"/>
                            <a:cNvSpPr>
                              <a:spLocks noChangeShapeType="1"/>
                            </a:cNvSpPr>
                          </a:nvSpPr>
                          <a:spPr bwMode="auto">
                            <a:xfrm>
                              <a:off x="4656" y="2298"/>
                              <a:ext cx="192" cy="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38" name="Line 86"/>
                            <a:cNvSpPr>
                              <a:spLocks noChangeShapeType="1"/>
                            </a:cNvSpPr>
                          </a:nvSpPr>
                          <a:spPr bwMode="auto">
                            <a:xfrm>
                              <a:off x="4656" y="2814"/>
                              <a:ext cx="192" cy="0"/>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a:sp>
                      <a:nvSpPr>
                        <a:cNvPr id="1918039" name="Rectangle 87"/>
                        <a:cNvSpPr>
                          <a:spLocks noChangeArrowheads="1"/>
                        </a:cNvSpPr>
                      </a:nvSpPr>
                      <a:spPr bwMode="auto">
                        <a:xfrm>
                          <a:off x="2304" y="2112"/>
                          <a:ext cx="1392" cy="1008"/>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40" name="Rectangle 88"/>
                        <a:cNvSpPr>
                          <a:spLocks noChangeArrowheads="1"/>
                        </a:cNvSpPr>
                      </a:nvSpPr>
                      <a:spPr bwMode="auto">
                        <a:xfrm>
                          <a:off x="2442" y="2152"/>
                          <a:ext cx="1032" cy="272"/>
                        </a:xfrm>
                        <a:prstGeom prst="rect">
                          <a:avLst/>
                        </a:prstGeom>
                        <a:no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sp>
                      <a:nvSpPr>
                        <a:cNvPr id="1918041" name="Rectangle 89"/>
                        <a:cNvSpPr>
                          <a:spLocks noChangeArrowheads="1"/>
                        </a:cNvSpPr>
                      </a:nvSpPr>
                      <a:spPr bwMode="auto">
                        <a:xfrm>
                          <a:off x="2454" y="2577"/>
                          <a:ext cx="1008" cy="528"/>
                        </a:xfrm>
                        <a:prstGeom prst="rect">
                          <a:avLst/>
                        </a:prstGeom>
                        <a:gradFill rotWithShape="1">
                          <a:gsLst>
                            <a:gs pos="0">
                              <a:srgbClr val="6BB8E3">
                                <a:gamma/>
                                <a:shade val="46275"/>
                                <a:invGamma/>
                                <a:alpha val="0"/>
                              </a:srgbClr>
                            </a:gs>
                            <a:gs pos="100000">
                              <a:srgbClr val="6BB8E3">
                                <a:alpha val="39999"/>
                              </a:srgbClr>
                            </a:gs>
                          </a:gsLst>
                          <a:lin ang="5400000" scaled="1"/>
                        </a:gradFill>
                        <a:ln w="19050">
                          <a:solidFill>
                            <a:schemeClr val="tx1"/>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r>
                              <a:rPr lang="en-US" sz="1600" b="0">
                                <a:solidFill>
                                  <a:schemeClr val="tx1"/>
                                </a:solidFill>
                                <a:latin typeface="Arial" charset="0"/>
                              </a:rPr>
                              <a:t> </a:t>
                            </a:r>
                          </a:p>
                        </a:txBody>
                        <a:useSpRect/>
                      </a:txSp>
                    </a:sp>
                    <a:sp>
                      <a:nvSpPr>
                        <a:cNvPr id="1918042" name="Text Box 90"/>
                        <a:cNvSpPr txBox="1">
                          <a:spLocks noChangeArrowheads="1"/>
                        </a:cNvSpPr>
                      </a:nvSpPr>
                      <a:spPr bwMode="auto">
                        <a:xfrm>
                          <a:off x="2256" y="2160"/>
                          <a:ext cx="1392" cy="264"/>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pPr algn="ctr">
                              <a:spcBef>
                                <a:spcPct val="50000"/>
                              </a:spcBef>
                            </a:pPr>
                            <a:r>
                              <a:rPr lang="en-US" sz="1000">
                                <a:solidFill>
                                  <a:schemeClr val="tx1"/>
                                </a:solidFill>
                                <a:latin typeface="Arial" charset="0"/>
                              </a:rPr>
                              <a:t>Common</a:t>
                            </a:r>
                          </a:p>
                          <a:p>
                            <a:pPr algn="ctr">
                              <a:spcBef>
                                <a:spcPct val="15000"/>
                              </a:spcBef>
                            </a:pPr>
                            <a:r>
                              <a:rPr lang="en-US" sz="1000">
                                <a:solidFill>
                                  <a:schemeClr val="tx1"/>
                                </a:solidFill>
                                <a:latin typeface="Arial" charset="0"/>
                              </a:rPr>
                              <a:t>Technology &amp; Operations</a:t>
                            </a:r>
                          </a:p>
                        </a:txBody>
                        <a:useSpRect/>
                      </a:txSp>
                    </a:sp>
                    <a:sp>
                      <a:nvSpPr>
                        <a:cNvPr id="1918043" name="Text Box 91"/>
                        <a:cNvSpPr txBox="1">
                          <a:spLocks noChangeArrowheads="1"/>
                        </a:cNvSpPr>
                      </a:nvSpPr>
                      <a:spPr bwMode="auto">
                        <a:xfrm>
                          <a:off x="2436" y="2588"/>
                          <a:ext cx="1120" cy="520"/>
                        </a:xfrm>
                        <a:prstGeom prst="rect">
                          <a:avLst/>
                        </a:prstGeom>
                        <a:noFill/>
                        <a:ln w="12700">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800">
                                <a:solidFill>
                                  <a:schemeClr val="tx1"/>
                                </a:solidFill>
                                <a:latin typeface="Arial" charset="0"/>
                              </a:rPr>
                              <a:t>-Reference Data Management</a:t>
                            </a:r>
                          </a:p>
                          <a:p>
                            <a:r>
                              <a:rPr lang="en-US" sz="800">
                                <a:solidFill>
                                  <a:schemeClr val="tx1"/>
                                </a:solidFill>
                                <a:latin typeface="Arial" charset="0"/>
                              </a:rPr>
                              <a:t>-Messaging Middleware</a:t>
                            </a:r>
                          </a:p>
                          <a:p>
                            <a:r>
                              <a:rPr lang="en-US" sz="800">
                                <a:solidFill>
                                  <a:schemeClr val="tx1"/>
                                </a:solidFill>
                                <a:latin typeface="Arial" charset="0"/>
                              </a:rPr>
                              <a:t>-Reports Manager</a:t>
                            </a:r>
                          </a:p>
                          <a:p>
                            <a:r>
                              <a:rPr lang="en-US" sz="800">
                                <a:solidFill>
                                  <a:schemeClr val="tx1"/>
                                </a:solidFill>
                                <a:latin typeface="Arial" charset="0"/>
                              </a:rPr>
                              <a:t>-FIX Engine / SWIFT/...</a:t>
                            </a:r>
                          </a:p>
                          <a:p>
                            <a:r>
                              <a:rPr lang="en-US" sz="800">
                                <a:solidFill>
                                  <a:schemeClr val="tx1"/>
                                </a:solidFill>
                                <a:latin typeface="Arial" charset="0"/>
                              </a:rPr>
                              <a:t>-Data warehousing</a:t>
                            </a:r>
                          </a:p>
                          <a:p>
                            <a:r>
                              <a:rPr lang="en-US" sz="800">
                                <a:solidFill>
                                  <a:schemeClr val="tx1"/>
                                </a:solidFill>
                                <a:latin typeface="Arial" charset="0"/>
                              </a:rPr>
                              <a:t>-Alert &amp; Workflow Manager</a:t>
                            </a:r>
                          </a:p>
                        </a:txBody>
                        <a:useSpRect/>
                      </a:txSp>
                    </a:sp>
                    <a:sp>
                      <a:nvSpPr>
                        <a:cNvPr id="1918044" name="Line 92"/>
                        <a:cNvSpPr>
                          <a:spLocks noChangeShapeType="1"/>
                        </a:cNvSpPr>
                      </a:nvSpPr>
                      <a:spPr bwMode="auto">
                        <a:xfrm>
                          <a:off x="2952" y="2415"/>
                          <a:ext cx="0" cy="177"/>
                        </a:xfrm>
                        <a:prstGeom prst="line">
                          <a:avLst/>
                        </a:prstGeom>
                        <a:noFill/>
                        <a:ln w="19050">
                          <a:solidFill>
                            <a:schemeClr val="tx1"/>
                          </a:solidFill>
                          <a:round/>
                          <a:headEnd/>
                          <a:tailEnd/>
                        </a:ln>
                        <a:effectLst/>
                      </a:spPr>
                      <a:txSp>
                        <a:txBody>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nvGrpSpPr>
                        <a:cNvPr id="23" name="Group 93"/>
                        <a:cNvGrpSpPr>
                          <a:grpSpLocks/>
                        </a:cNvGrpSpPr>
                      </a:nvGrpSpPr>
                      <a:grpSpPr bwMode="auto">
                        <a:xfrm rot="-5400000">
                          <a:off x="1661" y="2515"/>
                          <a:ext cx="1008" cy="202"/>
                          <a:chOff x="3120" y="1152"/>
                          <a:chExt cx="960" cy="303"/>
                        </a:xfrm>
                      </a:grpSpPr>
                      <a:sp>
                        <a:nvSpPr>
                          <a:cNvPr id="1918046" name="Rectangle 94"/>
                          <a:cNvSpPr>
                            <a:spLocks noChangeArrowheads="1"/>
                          </a:cNvSpPr>
                        </a:nvSpPr>
                        <a:spPr bwMode="auto">
                          <a:xfrm>
                            <a:off x="3120" y="1152"/>
                            <a:ext cx="960" cy="303"/>
                          </a:xfrm>
                          <a:prstGeom prst="rect">
                            <a:avLst/>
                          </a:prstGeom>
                          <a:noFill/>
                          <a:ln w="9525">
                            <a:noFill/>
                            <a:miter lim="800000"/>
                            <a:headEnd/>
                            <a:tailEnd/>
                          </a:ln>
                          <a:effectLst/>
                        </a:spPr>
                        <a:txSp>
                          <a:txBody>
                            <a:bodyPr>
                              <a:spAutoFit/>
                            </a:bodyP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r>
                                <a:rPr lang="en-US" sz="1500">
                                  <a:solidFill>
                                    <a:srgbClr val="034093"/>
                                  </a:solidFill>
                                  <a:latin typeface="Arial" charset="0"/>
                                </a:rPr>
                                <a:t>   </a:t>
                              </a:r>
                              <a:r>
                                <a:rPr lang="en-US" sz="1200">
                                  <a:solidFill>
                                    <a:srgbClr val="034093"/>
                                  </a:solidFill>
                                  <a:latin typeface="Arial" charset="0"/>
                                </a:rPr>
                                <a:t>Middle Office</a:t>
                              </a:r>
                            </a:p>
                          </a:txBody>
                          <a:useSpRect/>
                        </a:txSp>
                      </a:sp>
                      <a:sp>
                        <a:nvSpPr>
                          <a:cNvPr id="1918047" name="Rectangle 95"/>
                          <a:cNvSpPr>
                            <a:spLocks noChangeArrowheads="1"/>
                          </a:cNvSpPr>
                        </a:nvSpPr>
                        <a:spPr bwMode="auto">
                          <a:xfrm>
                            <a:off x="3120" y="1200"/>
                            <a:ext cx="864" cy="240"/>
                          </a:xfrm>
                          <a:prstGeom prst="rect">
                            <a:avLst/>
                          </a:prstGeom>
                          <a:noFill/>
                          <a:ln w="25400">
                            <a:solidFill>
                              <a:srgbClr val="008080"/>
                            </a:solidFill>
                            <a:miter lim="800000"/>
                            <a:headEnd/>
                            <a:tailEnd/>
                          </a:ln>
                          <a:effectLst/>
                        </a:spPr>
                        <a:txSp>
                          <a:txBody>
                            <a:bodyPr wrap="none" anchor="ctr"/>
                            <a:lstStyle>
                              <a:defPPr>
                                <a:defRPr lang="en-US"/>
                              </a:defPPr>
                              <a:lvl1pPr algn="l" rtl="0" fontAlgn="base">
                                <a:spcBef>
                                  <a:spcPct val="0"/>
                                </a:spcBef>
                                <a:spcAft>
                                  <a:spcPct val="0"/>
                                </a:spcAft>
                                <a:defRPr sz="4400" b="1" kern="1200">
                                  <a:solidFill>
                                    <a:srgbClr val="006699"/>
                                  </a:solidFill>
                                  <a:latin typeface="Swis721 Cn BT" pitchFamily="34" charset="0"/>
                                  <a:ea typeface="+mn-ea"/>
                                  <a:cs typeface="+mn-cs"/>
                                </a:defRPr>
                              </a:lvl1pPr>
                              <a:lvl2pPr marL="457200" algn="l" rtl="0" fontAlgn="base">
                                <a:spcBef>
                                  <a:spcPct val="0"/>
                                </a:spcBef>
                                <a:spcAft>
                                  <a:spcPct val="0"/>
                                </a:spcAft>
                                <a:defRPr sz="4400" b="1" kern="1200">
                                  <a:solidFill>
                                    <a:srgbClr val="006699"/>
                                  </a:solidFill>
                                  <a:latin typeface="Swis721 Cn BT" pitchFamily="34" charset="0"/>
                                  <a:ea typeface="+mn-ea"/>
                                  <a:cs typeface="+mn-cs"/>
                                </a:defRPr>
                              </a:lvl2pPr>
                              <a:lvl3pPr marL="914400" algn="l" rtl="0" fontAlgn="base">
                                <a:spcBef>
                                  <a:spcPct val="0"/>
                                </a:spcBef>
                                <a:spcAft>
                                  <a:spcPct val="0"/>
                                </a:spcAft>
                                <a:defRPr sz="4400" b="1" kern="1200">
                                  <a:solidFill>
                                    <a:srgbClr val="006699"/>
                                  </a:solidFill>
                                  <a:latin typeface="Swis721 Cn BT" pitchFamily="34" charset="0"/>
                                  <a:ea typeface="+mn-ea"/>
                                  <a:cs typeface="+mn-cs"/>
                                </a:defRPr>
                              </a:lvl3pPr>
                              <a:lvl4pPr marL="1371600" algn="l" rtl="0" fontAlgn="base">
                                <a:spcBef>
                                  <a:spcPct val="0"/>
                                </a:spcBef>
                                <a:spcAft>
                                  <a:spcPct val="0"/>
                                </a:spcAft>
                                <a:defRPr sz="4400" b="1" kern="1200">
                                  <a:solidFill>
                                    <a:srgbClr val="006699"/>
                                  </a:solidFill>
                                  <a:latin typeface="Swis721 Cn BT" pitchFamily="34" charset="0"/>
                                  <a:ea typeface="+mn-ea"/>
                                  <a:cs typeface="+mn-cs"/>
                                </a:defRPr>
                              </a:lvl4pPr>
                              <a:lvl5pPr marL="1828800" algn="l" rtl="0" fontAlgn="base">
                                <a:spcBef>
                                  <a:spcPct val="0"/>
                                </a:spcBef>
                                <a:spcAft>
                                  <a:spcPct val="0"/>
                                </a:spcAft>
                                <a:defRPr sz="4400" b="1" kern="1200">
                                  <a:solidFill>
                                    <a:srgbClr val="006699"/>
                                  </a:solidFill>
                                  <a:latin typeface="Swis721 Cn BT" pitchFamily="34" charset="0"/>
                                  <a:ea typeface="+mn-ea"/>
                                  <a:cs typeface="+mn-cs"/>
                                </a:defRPr>
                              </a:lvl5pPr>
                              <a:lvl6pPr marL="2286000" algn="l" defTabSz="914400" rtl="0" eaLnBrk="1" latinLnBrk="0" hangingPunct="1">
                                <a:defRPr sz="4400" b="1" kern="1200">
                                  <a:solidFill>
                                    <a:srgbClr val="006699"/>
                                  </a:solidFill>
                                  <a:latin typeface="Swis721 Cn BT" pitchFamily="34" charset="0"/>
                                  <a:ea typeface="+mn-ea"/>
                                  <a:cs typeface="+mn-cs"/>
                                </a:defRPr>
                              </a:lvl6pPr>
                              <a:lvl7pPr marL="2743200" algn="l" defTabSz="914400" rtl="0" eaLnBrk="1" latinLnBrk="0" hangingPunct="1">
                                <a:defRPr sz="4400" b="1" kern="1200">
                                  <a:solidFill>
                                    <a:srgbClr val="006699"/>
                                  </a:solidFill>
                                  <a:latin typeface="Swis721 Cn BT" pitchFamily="34" charset="0"/>
                                  <a:ea typeface="+mn-ea"/>
                                  <a:cs typeface="+mn-cs"/>
                                </a:defRPr>
                              </a:lvl7pPr>
                              <a:lvl8pPr marL="3200400" algn="l" defTabSz="914400" rtl="0" eaLnBrk="1" latinLnBrk="0" hangingPunct="1">
                                <a:defRPr sz="4400" b="1" kern="1200">
                                  <a:solidFill>
                                    <a:srgbClr val="006699"/>
                                  </a:solidFill>
                                  <a:latin typeface="Swis721 Cn BT" pitchFamily="34" charset="0"/>
                                  <a:ea typeface="+mn-ea"/>
                                  <a:cs typeface="+mn-cs"/>
                                </a:defRPr>
                              </a:lvl8pPr>
                              <a:lvl9pPr marL="3657600" algn="l" defTabSz="914400" rtl="0" eaLnBrk="1" latinLnBrk="0" hangingPunct="1">
                                <a:defRPr sz="4400" b="1" kern="1200">
                                  <a:solidFill>
                                    <a:srgbClr val="006699"/>
                                  </a:solidFill>
                                  <a:latin typeface="Swis721 Cn BT" pitchFamily="34" charset="0"/>
                                  <a:ea typeface="+mn-ea"/>
                                  <a:cs typeface="+mn-cs"/>
                                </a:defRPr>
                              </a:lvl9pPr>
                            </a:lstStyle>
                            <a:p>
                              <a:endParaRPr lang="en-US"/>
                            </a:p>
                          </a:txBody>
                          <a:useSpRect/>
                        </a:txSp>
                      </a:sp>
                    </a:grpSp>
                  </a:grpSp>
                </lc:lockedCanvas>
              </a:graphicData>
            </a:graphic>
          </wp:inline>
        </w:drawing>
      </w:r>
    </w:p>
    <w:p w:rsidR="00814BEB" w:rsidRDefault="00814BEB">
      <w:pPr>
        <w:ind w:left="432"/>
        <w:jc w:val="both"/>
        <w:rPr>
          <w:sz w:val="20"/>
          <w:szCs w:val="20"/>
        </w:rPr>
      </w:pPr>
    </w:p>
    <w:p w:rsidR="00814BEB" w:rsidRDefault="003835AF">
      <w:pPr>
        <w:pStyle w:val="Heading3"/>
        <w:tabs>
          <w:tab w:val="clear" w:pos="6444"/>
        </w:tabs>
        <w:ind w:left="900"/>
      </w:pPr>
      <w:r>
        <w:br w:type="page"/>
      </w:r>
      <w:r w:rsidR="00E732DA" w:rsidRPr="00E732DA">
        <w:lastRenderedPageBreak/>
        <w:t>System View</w:t>
      </w:r>
    </w:p>
    <w:p w:rsidR="00814BEB" w:rsidRDefault="009E1424">
      <w:pPr>
        <w:jc w:val="both"/>
        <w:rPr>
          <w:sz w:val="20"/>
          <w:szCs w:val="20"/>
        </w:rPr>
      </w:pPr>
      <w:r>
        <w:rPr>
          <w:rFonts w:ascii="Arial" w:hAnsi="Arial" w:cs="Arial"/>
          <w:sz w:val="20"/>
          <w:szCs w:val="20"/>
        </w:rPr>
        <w:t>Following diagram depicts a syst</w:t>
      </w:r>
      <w:r w:rsidR="00146EEC">
        <w:rPr>
          <w:rFonts w:ascii="Arial" w:hAnsi="Arial" w:cs="Arial"/>
          <w:sz w:val="20"/>
          <w:szCs w:val="20"/>
        </w:rPr>
        <w:t>em view for typical investment management operations:</w:t>
      </w:r>
      <w:r>
        <w:rPr>
          <w:rFonts w:ascii="Arial" w:hAnsi="Arial" w:cs="Arial"/>
          <w:sz w:val="20"/>
          <w:szCs w:val="20"/>
        </w:rPr>
        <w:t xml:space="preserve"> </w:t>
      </w:r>
    </w:p>
    <w:p w:rsidR="00814BEB" w:rsidRDefault="00814BEB">
      <w:pPr>
        <w:jc w:val="both"/>
        <w:rPr>
          <w:sz w:val="20"/>
          <w:szCs w:val="20"/>
        </w:rPr>
      </w:pPr>
    </w:p>
    <w:p w:rsidR="00814BEB" w:rsidRDefault="008011A0">
      <w:pPr>
        <w:jc w:val="both"/>
        <w:rPr>
          <w:sz w:val="20"/>
          <w:szCs w:val="20"/>
        </w:rPr>
      </w:pPr>
      <w:r>
        <w:rPr>
          <w:noProof/>
          <w:szCs w:val="20"/>
        </w:rPr>
        <w:drawing>
          <wp:inline distT="0" distB="0" distL="0" distR="0">
            <wp:extent cx="5486400" cy="710565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4" cstate="print"/>
                    <a:srcRect/>
                    <a:stretch>
                      <a:fillRect/>
                    </a:stretch>
                  </pic:blipFill>
                  <pic:spPr bwMode="auto">
                    <a:xfrm>
                      <a:off x="0" y="0"/>
                      <a:ext cx="5486400" cy="7105650"/>
                    </a:xfrm>
                    <a:prstGeom prst="rect">
                      <a:avLst/>
                    </a:prstGeom>
                    <a:noFill/>
                    <a:ln w="9525">
                      <a:noFill/>
                      <a:miter lim="800000"/>
                      <a:headEnd/>
                      <a:tailEnd/>
                    </a:ln>
                  </pic:spPr>
                </pic:pic>
              </a:graphicData>
            </a:graphic>
          </wp:inline>
        </w:drawing>
      </w:r>
    </w:p>
    <w:p w:rsidR="00814BEB" w:rsidRDefault="00814BEB">
      <w:pPr>
        <w:jc w:val="both"/>
        <w:rPr>
          <w:sz w:val="20"/>
          <w:szCs w:val="20"/>
        </w:rPr>
      </w:pPr>
    </w:p>
    <w:p w:rsidR="00814BEB" w:rsidRDefault="00814BEB">
      <w:pPr>
        <w:jc w:val="both"/>
        <w:rPr>
          <w:sz w:val="20"/>
          <w:szCs w:val="20"/>
        </w:rPr>
      </w:pPr>
    </w:p>
    <w:p w:rsidR="00F0076C" w:rsidRPr="00E354B9" w:rsidRDefault="003D107B" w:rsidP="000D59D8">
      <w:pPr>
        <w:pStyle w:val="Heading2"/>
      </w:pPr>
      <w:bookmarkStart w:id="727" w:name="_Toc226530573"/>
      <w:r>
        <w:t xml:space="preserve">Emergence of </w:t>
      </w:r>
      <w:r w:rsidR="00F0076C" w:rsidRPr="00E354B9">
        <w:t>SOA in AWM</w:t>
      </w:r>
      <w:r>
        <w:t xml:space="preserve"> Technology</w:t>
      </w:r>
      <w:bookmarkEnd w:id="727"/>
    </w:p>
    <w:p w:rsidR="00F0076C" w:rsidRDefault="00F0076C" w:rsidP="00F0076C">
      <w:pPr>
        <w:jc w:val="both"/>
        <w:rPr>
          <w:rFonts w:ascii="Arial" w:hAnsi="Arial" w:cs="Arial"/>
          <w:sz w:val="20"/>
          <w:szCs w:val="20"/>
        </w:rPr>
      </w:pPr>
    </w:p>
    <w:p w:rsidR="00F0076C" w:rsidRDefault="00F0076C" w:rsidP="00F0076C">
      <w:pPr>
        <w:jc w:val="both"/>
        <w:rPr>
          <w:rFonts w:ascii="Arial" w:hAnsi="Arial" w:cs="Arial"/>
          <w:sz w:val="20"/>
          <w:szCs w:val="20"/>
        </w:rPr>
      </w:pPr>
    </w:p>
    <w:p w:rsidR="00F0076C" w:rsidRDefault="00F0076C" w:rsidP="00F0076C">
      <w:pPr>
        <w:jc w:val="both"/>
        <w:rPr>
          <w:rFonts w:ascii="Arial" w:hAnsi="Arial" w:cs="Arial"/>
          <w:sz w:val="20"/>
          <w:szCs w:val="20"/>
        </w:rPr>
      </w:pPr>
      <w:r w:rsidRPr="00141012">
        <w:rPr>
          <w:rFonts w:ascii="Arial" w:hAnsi="Arial" w:cs="Arial"/>
          <w:sz w:val="20"/>
          <w:szCs w:val="20"/>
        </w:rPr>
        <w:t>Service-Oriented Architecture is an IT strategy which organizes discrete functions contained in applications into interoperable, standards-based services that can be combined and reused. SOA is a higher level of application development that enables IT to focus on business processes, rather than the underlying IT infrastructure, to achieve competitive advantage. It is invaluable for financial service organizations as they struggle to minimize redundant infrastructure and create a common business interface across customer and employee systems. In simple terms, SOA transforms financial services organizations into liquid, service-driven enterprises. Companies providing Asset and Wealth Management Services cover a broad spectrum of businesses, products and services, yet the challenges across each area remain consistent. Each one is challenged with tackling similar issues: organic growth, operational cost reduction, and risk and regulatory compliance.</w:t>
      </w:r>
    </w:p>
    <w:p w:rsidR="00F0076C" w:rsidRDefault="00F0076C" w:rsidP="00F0076C">
      <w:pPr>
        <w:jc w:val="both"/>
        <w:rPr>
          <w:rFonts w:ascii="Arial" w:hAnsi="Arial" w:cs="Arial"/>
          <w:sz w:val="20"/>
          <w:szCs w:val="20"/>
        </w:rPr>
      </w:pPr>
    </w:p>
    <w:p w:rsidR="00F0076C" w:rsidRPr="002B31C1" w:rsidRDefault="00F0076C" w:rsidP="00F0076C">
      <w:pPr>
        <w:jc w:val="both"/>
        <w:rPr>
          <w:b/>
        </w:rPr>
      </w:pPr>
      <w:r>
        <w:rPr>
          <w:rFonts w:ascii="Arial" w:hAnsi="Arial" w:cs="Arial"/>
          <w:color w:val="111111"/>
          <w:sz w:val="20"/>
          <w:szCs w:val="20"/>
        </w:rPr>
        <w:t>Asset and Wealth Management</w:t>
      </w:r>
      <w:r w:rsidRPr="0062795A">
        <w:rPr>
          <w:rFonts w:ascii="Arial" w:hAnsi="Arial" w:cs="Arial"/>
          <w:color w:val="111111"/>
          <w:sz w:val="20"/>
          <w:szCs w:val="20"/>
        </w:rPr>
        <w:t xml:space="preserve"> organizations around the world see SOA as a top priority over the next 12 months. In a recent IDG survey, the number of respondents who said their company considers SOA a critical or high priority for the next 12 months increased to 52 percent, up 10 percent from a similar study conducted by IDG Research in May 2005. In addition, 79 percent of respondents said SOA would be a critical or high priority in the next five years, an 18 percent increase from the survey that was conducted nine months ago.</w:t>
      </w:r>
    </w:p>
    <w:p w:rsidR="00F0076C" w:rsidRPr="00141012" w:rsidRDefault="00F0076C" w:rsidP="00F0076C">
      <w:pPr>
        <w:jc w:val="both"/>
        <w:rPr>
          <w:rFonts w:ascii="Arial" w:hAnsi="Arial" w:cs="Arial"/>
          <w:sz w:val="20"/>
          <w:szCs w:val="20"/>
        </w:rPr>
      </w:pPr>
    </w:p>
    <w:p w:rsidR="00F0076C" w:rsidRDefault="00F0076C" w:rsidP="00F0076C">
      <w:pPr>
        <w:jc w:val="both"/>
        <w:rPr>
          <w:rFonts w:ascii="Arial" w:hAnsi="Arial" w:cs="Arial"/>
          <w:color w:val="111111"/>
          <w:sz w:val="20"/>
          <w:szCs w:val="20"/>
        </w:rPr>
      </w:pPr>
      <w:r w:rsidRPr="00141012">
        <w:rPr>
          <w:rFonts w:ascii="Arial" w:hAnsi="Arial" w:cs="Arial"/>
          <w:sz w:val="20"/>
          <w:szCs w:val="20"/>
        </w:rPr>
        <w:t>Let us consider the problems faced by a typical Asset and Wealth Management firm and how SOA can be leveraged to bring in more efficiency in this scenario.</w:t>
      </w:r>
      <w:r w:rsidRPr="00141012">
        <w:rPr>
          <w:rFonts w:ascii="Arial" w:hAnsi="Arial" w:cs="Arial"/>
          <w:color w:val="111111"/>
          <w:sz w:val="20"/>
          <w:szCs w:val="20"/>
        </w:rPr>
        <w:t xml:space="preserve"> If </w:t>
      </w:r>
      <w:r>
        <w:rPr>
          <w:rFonts w:ascii="Arial" w:hAnsi="Arial" w:cs="Arial"/>
          <w:color w:val="111111"/>
          <w:sz w:val="20"/>
          <w:szCs w:val="20"/>
        </w:rPr>
        <w:t>we</w:t>
      </w:r>
      <w:r w:rsidRPr="00141012">
        <w:rPr>
          <w:rFonts w:ascii="Arial" w:hAnsi="Arial" w:cs="Arial"/>
          <w:color w:val="111111"/>
          <w:sz w:val="20"/>
          <w:szCs w:val="20"/>
        </w:rPr>
        <w:t xml:space="preserve"> look at the </w:t>
      </w:r>
      <w:r>
        <w:rPr>
          <w:rFonts w:ascii="Arial" w:hAnsi="Arial" w:cs="Arial"/>
          <w:color w:val="111111"/>
          <w:sz w:val="20"/>
          <w:szCs w:val="20"/>
        </w:rPr>
        <w:t xml:space="preserve">asset and </w:t>
      </w:r>
      <w:r w:rsidRPr="00141012">
        <w:rPr>
          <w:rFonts w:ascii="Arial" w:hAnsi="Arial" w:cs="Arial"/>
          <w:color w:val="111111"/>
          <w:sz w:val="20"/>
          <w:szCs w:val="20"/>
        </w:rPr>
        <w:t xml:space="preserve">wealth management </w:t>
      </w:r>
      <w:r>
        <w:rPr>
          <w:rFonts w:ascii="Arial" w:hAnsi="Arial" w:cs="Arial"/>
          <w:color w:val="111111"/>
          <w:sz w:val="20"/>
          <w:szCs w:val="20"/>
        </w:rPr>
        <w:t>firm in consideration here</w:t>
      </w:r>
      <w:r w:rsidRPr="00141012">
        <w:rPr>
          <w:rFonts w:ascii="Arial" w:hAnsi="Arial" w:cs="Arial"/>
          <w:color w:val="111111"/>
          <w:sz w:val="20"/>
          <w:szCs w:val="20"/>
        </w:rPr>
        <w:t xml:space="preserve">, the </w:t>
      </w:r>
      <w:r>
        <w:rPr>
          <w:rFonts w:ascii="Arial" w:hAnsi="Arial" w:cs="Arial"/>
          <w:color w:val="111111"/>
          <w:sz w:val="20"/>
          <w:szCs w:val="20"/>
        </w:rPr>
        <w:t>challenge</w:t>
      </w:r>
      <w:r w:rsidRPr="00141012">
        <w:rPr>
          <w:rFonts w:ascii="Arial" w:hAnsi="Arial" w:cs="Arial"/>
          <w:color w:val="111111"/>
          <w:sz w:val="20"/>
          <w:szCs w:val="20"/>
        </w:rPr>
        <w:t xml:space="preserve"> is</w:t>
      </w:r>
      <w:r>
        <w:rPr>
          <w:rFonts w:ascii="Arial" w:hAnsi="Arial" w:cs="Arial"/>
          <w:color w:val="111111"/>
          <w:sz w:val="20"/>
          <w:szCs w:val="20"/>
        </w:rPr>
        <w:t xml:space="preserve"> in</w:t>
      </w:r>
      <w:r w:rsidRPr="00141012">
        <w:rPr>
          <w:rFonts w:ascii="Arial" w:hAnsi="Arial" w:cs="Arial"/>
          <w:color w:val="111111"/>
          <w:sz w:val="20"/>
          <w:szCs w:val="20"/>
        </w:rPr>
        <w:t xml:space="preserve"> consolidating data across multiple disparate applications and data silos. </w:t>
      </w:r>
      <w:r>
        <w:rPr>
          <w:rFonts w:ascii="Arial" w:hAnsi="Arial" w:cs="Arial"/>
          <w:color w:val="111111"/>
          <w:sz w:val="20"/>
          <w:szCs w:val="20"/>
        </w:rPr>
        <w:t>The firm in this example would</w:t>
      </w:r>
      <w:r w:rsidRPr="00141012">
        <w:rPr>
          <w:rFonts w:ascii="Arial" w:hAnsi="Arial" w:cs="Arial"/>
          <w:color w:val="111111"/>
          <w:sz w:val="20"/>
          <w:szCs w:val="20"/>
        </w:rPr>
        <w:t xml:space="preserve"> have one or more portfolio accounting systems, CRM systems and at least one security master – a list of all the securities held by those accounts.</w:t>
      </w:r>
      <w:r>
        <w:rPr>
          <w:rFonts w:ascii="Arial" w:hAnsi="Arial" w:cs="Arial"/>
          <w:color w:val="111111"/>
          <w:sz w:val="20"/>
          <w:szCs w:val="20"/>
        </w:rPr>
        <w:t xml:space="preserve"> The need here is to provide</w:t>
      </w:r>
      <w:r w:rsidRPr="00141012">
        <w:rPr>
          <w:rFonts w:ascii="Arial" w:hAnsi="Arial" w:cs="Arial"/>
          <w:color w:val="111111"/>
          <w:sz w:val="20"/>
          <w:szCs w:val="20"/>
        </w:rPr>
        <w:t xml:space="preserve"> views of the data that actually span all of those systems. I</w:t>
      </w:r>
      <w:r>
        <w:rPr>
          <w:rFonts w:ascii="Arial" w:hAnsi="Arial" w:cs="Arial"/>
          <w:color w:val="111111"/>
          <w:sz w:val="20"/>
          <w:szCs w:val="20"/>
        </w:rPr>
        <w:t xml:space="preserve">n this scenario, there are two options. Under the first option, </w:t>
      </w:r>
      <w:r w:rsidRPr="00141012">
        <w:rPr>
          <w:rFonts w:ascii="Arial" w:hAnsi="Arial" w:cs="Arial"/>
          <w:color w:val="111111"/>
          <w:sz w:val="20"/>
          <w:szCs w:val="20"/>
        </w:rPr>
        <w:t xml:space="preserve"> </w:t>
      </w:r>
      <w:r>
        <w:rPr>
          <w:rFonts w:ascii="Arial" w:hAnsi="Arial" w:cs="Arial"/>
          <w:color w:val="111111"/>
          <w:sz w:val="20"/>
          <w:szCs w:val="20"/>
        </w:rPr>
        <w:t>a</w:t>
      </w:r>
      <w:r w:rsidRPr="00141012">
        <w:rPr>
          <w:rFonts w:ascii="Arial" w:hAnsi="Arial" w:cs="Arial"/>
          <w:color w:val="111111"/>
          <w:sz w:val="20"/>
          <w:szCs w:val="20"/>
        </w:rPr>
        <w:t>ll of that data in a database</w:t>
      </w:r>
      <w:r>
        <w:rPr>
          <w:rFonts w:ascii="Arial" w:hAnsi="Arial" w:cs="Arial"/>
          <w:color w:val="111111"/>
          <w:sz w:val="20"/>
          <w:szCs w:val="20"/>
        </w:rPr>
        <w:t xml:space="preserve"> can be duplicated</w:t>
      </w:r>
      <w:r w:rsidRPr="00141012">
        <w:rPr>
          <w:rFonts w:ascii="Arial" w:hAnsi="Arial" w:cs="Arial"/>
          <w:color w:val="111111"/>
          <w:sz w:val="20"/>
          <w:szCs w:val="20"/>
        </w:rPr>
        <w:t xml:space="preserve">, which is the source of the data store for the advisory application, or </w:t>
      </w:r>
      <w:r>
        <w:rPr>
          <w:rFonts w:ascii="Arial" w:hAnsi="Arial" w:cs="Arial"/>
          <w:color w:val="111111"/>
          <w:sz w:val="20"/>
          <w:szCs w:val="20"/>
        </w:rPr>
        <w:t xml:space="preserve">under the second option </w:t>
      </w:r>
      <w:r w:rsidRPr="00141012">
        <w:rPr>
          <w:rFonts w:ascii="Arial" w:hAnsi="Arial" w:cs="Arial"/>
          <w:color w:val="111111"/>
          <w:sz w:val="20"/>
          <w:szCs w:val="20"/>
        </w:rPr>
        <w:t xml:space="preserve">build a service-oriented architecture to leverage those existing data stores directly. </w:t>
      </w:r>
      <w:r>
        <w:rPr>
          <w:rFonts w:ascii="Arial" w:hAnsi="Arial" w:cs="Arial"/>
          <w:color w:val="111111"/>
          <w:sz w:val="20"/>
          <w:szCs w:val="20"/>
        </w:rPr>
        <w:t>Under the second option b</w:t>
      </w:r>
      <w:r w:rsidRPr="00141012">
        <w:rPr>
          <w:rFonts w:ascii="Arial" w:hAnsi="Arial" w:cs="Arial"/>
          <w:color w:val="111111"/>
          <w:sz w:val="20"/>
          <w:szCs w:val="20"/>
        </w:rPr>
        <w:t xml:space="preserve">y using SOA, </w:t>
      </w:r>
      <w:r>
        <w:rPr>
          <w:rFonts w:ascii="Arial" w:hAnsi="Arial" w:cs="Arial"/>
          <w:color w:val="111111"/>
          <w:sz w:val="20"/>
          <w:szCs w:val="20"/>
        </w:rPr>
        <w:t>a</w:t>
      </w:r>
      <w:r w:rsidRPr="00141012">
        <w:rPr>
          <w:rFonts w:ascii="Arial" w:hAnsi="Arial" w:cs="Arial"/>
          <w:color w:val="111111"/>
          <w:sz w:val="20"/>
          <w:szCs w:val="20"/>
        </w:rPr>
        <w:t xml:space="preserve"> much a more flexible application architecture</w:t>
      </w:r>
      <w:r>
        <w:rPr>
          <w:rFonts w:ascii="Arial" w:hAnsi="Arial" w:cs="Arial"/>
          <w:color w:val="111111"/>
          <w:sz w:val="20"/>
          <w:szCs w:val="20"/>
        </w:rPr>
        <w:t xml:space="preserve"> can be built</w:t>
      </w:r>
      <w:r w:rsidRPr="00141012">
        <w:rPr>
          <w:rFonts w:ascii="Arial" w:hAnsi="Arial" w:cs="Arial"/>
          <w:color w:val="111111"/>
          <w:sz w:val="20"/>
          <w:szCs w:val="20"/>
        </w:rPr>
        <w:t xml:space="preserve"> and one which is considerably less brittle.</w:t>
      </w:r>
      <w:r>
        <w:rPr>
          <w:rFonts w:ascii="Arial" w:hAnsi="Arial" w:cs="Arial"/>
          <w:color w:val="111111"/>
          <w:sz w:val="20"/>
          <w:szCs w:val="20"/>
        </w:rPr>
        <w:t xml:space="preserve"> </w:t>
      </w:r>
    </w:p>
    <w:p w:rsidR="00F0076C" w:rsidRDefault="00F0076C" w:rsidP="00F0076C">
      <w:pPr>
        <w:jc w:val="both"/>
        <w:rPr>
          <w:rFonts w:ascii="Arial" w:hAnsi="Arial" w:cs="Arial"/>
          <w:color w:val="111111"/>
          <w:sz w:val="20"/>
          <w:szCs w:val="20"/>
        </w:rPr>
      </w:pPr>
    </w:p>
    <w:p w:rsidR="00F0076C" w:rsidRDefault="00F0076C" w:rsidP="00F0076C">
      <w:pPr>
        <w:jc w:val="both"/>
        <w:rPr>
          <w:rFonts w:ascii="Arial" w:hAnsi="Arial" w:cs="Arial"/>
          <w:color w:val="111111"/>
          <w:sz w:val="20"/>
          <w:szCs w:val="20"/>
        </w:rPr>
      </w:pPr>
      <w:r>
        <w:rPr>
          <w:rFonts w:ascii="Arial" w:hAnsi="Arial" w:cs="Arial"/>
          <w:color w:val="111111"/>
          <w:sz w:val="20"/>
          <w:szCs w:val="20"/>
        </w:rPr>
        <w:t>In another example, let us consider the case of the Financial Advisor.  At the end of the day, advisors really care about what’s on their desktop both in terms of utilities and systems. With a SOA architecture being in place, there is access to more immediate data. The problem of data reconciliation or data inconsistency is reduced to great extent. SOA directly eliminates the possibility of errors and provides the advisor with a solution that's going to be error-free and meet SEC and internal compliance requirements. Basically, it's one technology that drives two basic set of values, depending on the stakeholder.</w:t>
      </w:r>
    </w:p>
    <w:p w:rsidR="00F0076C" w:rsidRDefault="00F0076C" w:rsidP="00F0076C">
      <w:pPr>
        <w:jc w:val="both"/>
        <w:rPr>
          <w:rFonts w:ascii="Arial" w:hAnsi="Arial" w:cs="Arial"/>
          <w:color w:val="111111"/>
          <w:sz w:val="20"/>
          <w:szCs w:val="20"/>
        </w:rPr>
      </w:pPr>
      <w:r>
        <w:rPr>
          <w:rFonts w:ascii="Arial" w:hAnsi="Arial" w:cs="Arial"/>
          <w:color w:val="111111"/>
          <w:sz w:val="20"/>
          <w:szCs w:val="20"/>
        </w:rPr>
        <w:br/>
      </w:r>
      <w:r>
        <w:rPr>
          <w:rFonts w:ascii="Arial" w:hAnsi="Arial" w:cs="Arial"/>
          <w:color w:val="111111"/>
          <w:sz w:val="20"/>
          <w:szCs w:val="20"/>
        </w:rPr>
        <w:br/>
        <w:t>Another area in Asset and Wealth Management Industry where SOA is largely being leveraged is in building client hierarchy. Wealth management is a business oriented around relationships. It's mostly done around client profiling.  The profiling can be done based on the investment constraints, the investment goals, the target for the allocation for the portfolio, the investment targets for what's actually being invested. This provides a comprehensive and holistic view across all of the client's assets. SOA fits into that in that a portion of that information is logically stored in other data silos – such as a CRM system.</w:t>
      </w:r>
    </w:p>
    <w:p w:rsidR="00F0076C" w:rsidRDefault="00F0076C" w:rsidP="00F0076C">
      <w:pPr>
        <w:jc w:val="both"/>
        <w:rPr>
          <w:rFonts w:ascii="Arial" w:hAnsi="Arial" w:cs="Arial"/>
          <w:color w:val="111111"/>
          <w:sz w:val="20"/>
          <w:szCs w:val="20"/>
        </w:rPr>
      </w:pPr>
    </w:p>
    <w:p w:rsidR="00F0076C" w:rsidRPr="00B07A2B" w:rsidRDefault="00F0076C" w:rsidP="00B07A2B">
      <w:pPr>
        <w:pStyle w:val="Heading2"/>
      </w:pPr>
      <w:bookmarkStart w:id="728" w:name="_Toc226530574"/>
      <w:r w:rsidRPr="00B07A2B">
        <w:lastRenderedPageBreak/>
        <w:t>Technology Trends in AWM</w:t>
      </w:r>
      <w:bookmarkEnd w:id="728"/>
    </w:p>
    <w:p w:rsidR="00F0076C" w:rsidRDefault="00F0076C" w:rsidP="00F0076C">
      <w:pPr>
        <w:jc w:val="both"/>
        <w:rPr>
          <w:rFonts w:ascii="Arial" w:hAnsi="Arial" w:cs="Arial"/>
          <w:color w:val="111111"/>
          <w:sz w:val="20"/>
          <w:szCs w:val="20"/>
        </w:rPr>
      </w:pPr>
    </w:p>
    <w:p w:rsidR="00F0076C" w:rsidRPr="00E24CE0" w:rsidRDefault="00F0076C" w:rsidP="00F0076C">
      <w:pPr>
        <w:numPr>
          <w:ilvl w:val="0"/>
          <w:numId w:val="60"/>
        </w:numPr>
        <w:jc w:val="both"/>
        <w:rPr>
          <w:rFonts w:ascii="Arial" w:hAnsi="Arial" w:cs="Arial"/>
          <w:b/>
          <w:sz w:val="20"/>
          <w:szCs w:val="20"/>
        </w:rPr>
      </w:pPr>
      <w:r w:rsidRPr="00584114">
        <w:rPr>
          <w:rFonts w:ascii="Arial" w:hAnsi="Arial" w:cs="Arial"/>
          <w:bCs/>
          <w:i/>
          <w:sz w:val="20"/>
          <w:szCs w:val="20"/>
        </w:rPr>
        <w:t>Front and middle office technology becomes a competitive differentiator</w:t>
      </w:r>
      <w:r>
        <w:rPr>
          <w:rFonts w:ascii="Arial" w:hAnsi="Arial" w:cs="Arial"/>
          <w:sz w:val="20"/>
          <w:szCs w:val="20"/>
        </w:rPr>
        <w:t xml:space="preserve">: </w:t>
      </w:r>
      <w:r w:rsidRPr="00C53258">
        <w:rPr>
          <w:rFonts w:ascii="Arial" w:hAnsi="Arial" w:cs="Arial"/>
          <w:sz w:val="20"/>
          <w:szCs w:val="20"/>
        </w:rPr>
        <w:t xml:space="preserve">Effective front and middle office tools, such as portfolio management, financial planning and analytical customer relationship management systems (CRM), </w:t>
      </w:r>
      <w:proofErr w:type="gramStart"/>
      <w:r w:rsidRPr="00C53258">
        <w:rPr>
          <w:rFonts w:ascii="Arial" w:hAnsi="Arial" w:cs="Arial"/>
          <w:sz w:val="20"/>
          <w:szCs w:val="20"/>
        </w:rPr>
        <w:t>lie</w:t>
      </w:r>
      <w:proofErr w:type="gramEnd"/>
      <w:r w:rsidRPr="00C53258">
        <w:rPr>
          <w:rFonts w:ascii="Arial" w:hAnsi="Arial" w:cs="Arial"/>
          <w:sz w:val="20"/>
          <w:szCs w:val="20"/>
        </w:rPr>
        <w:t xml:space="preserve"> at the heart of wealth management operations. Clients, particularly the more active 'new money' segment, are demanding a more hands-on approach from their relationship managers. This creates a need for advisors and front office staff to have access to more agile, automated analytical tools and presence technologies that enable client interactions to be more effective from a cost and time perspective.</w:t>
      </w:r>
    </w:p>
    <w:p w:rsidR="00F0076C" w:rsidRDefault="00F0076C" w:rsidP="00F0076C">
      <w:pPr>
        <w:ind w:left="720" w:firstLine="360"/>
        <w:jc w:val="both"/>
        <w:rPr>
          <w:rFonts w:ascii="Arial" w:hAnsi="Arial" w:cs="Arial"/>
          <w:sz w:val="20"/>
          <w:szCs w:val="20"/>
        </w:rPr>
      </w:pPr>
      <w:r w:rsidRPr="00C53258">
        <w:rPr>
          <w:rFonts w:ascii="Arial" w:hAnsi="Arial" w:cs="Arial"/>
          <w:sz w:val="20"/>
          <w:szCs w:val="20"/>
        </w:rPr>
        <w:br/>
        <w:t xml:space="preserve">As wealth managers seek greater competitive differentiation, they will look to develop an "ideal" service model. </w:t>
      </w:r>
      <w:r>
        <w:rPr>
          <w:rFonts w:ascii="Arial" w:hAnsi="Arial" w:cs="Arial"/>
          <w:sz w:val="20"/>
          <w:szCs w:val="20"/>
        </w:rPr>
        <w:t>The Ultimate Offering,</w:t>
      </w:r>
      <w:r w:rsidRPr="00C53258">
        <w:rPr>
          <w:rFonts w:ascii="Arial" w:hAnsi="Arial" w:cs="Arial"/>
          <w:sz w:val="20"/>
          <w:szCs w:val="20"/>
        </w:rPr>
        <w:t xml:space="preserve"> an architecture comprised of seamlessly interconnected, service oriented (SOA) architecture-enabled components combined with underlying business intelligence (BI) and analytical CRM components, is emerging as the</w:t>
      </w:r>
      <w:r>
        <w:rPr>
          <w:rFonts w:ascii="Arial" w:hAnsi="Arial" w:cs="Arial"/>
          <w:sz w:val="20"/>
          <w:szCs w:val="20"/>
        </w:rPr>
        <w:t xml:space="preserve"> IT model in wealth management.</w:t>
      </w:r>
    </w:p>
    <w:p w:rsidR="00F0076C" w:rsidRPr="00D5194B" w:rsidRDefault="00F0076C" w:rsidP="00F0076C">
      <w:pPr>
        <w:ind w:left="720" w:firstLine="360"/>
        <w:jc w:val="both"/>
        <w:rPr>
          <w:rFonts w:ascii="Arial" w:hAnsi="Arial" w:cs="Arial"/>
          <w:b/>
          <w:sz w:val="20"/>
          <w:szCs w:val="20"/>
        </w:rPr>
      </w:pPr>
    </w:p>
    <w:p w:rsidR="00F0076C" w:rsidRPr="00BD3C25" w:rsidRDefault="00F0076C" w:rsidP="00F0076C">
      <w:pPr>
        <w:numPr>
          <w:ilvl w:val="0"/>
          <w:numId w:val="60"/>
        </w:numPr>
        <w:jc w:val="both"/>
        <w:rPr>
          <w:rFonts w:ascii="Arial" w:hAnsi="Arial" w:cs="Arial"/>
          <w:b/>
          <w:sz w:val="20"/>
          <w:szCs w:val="20"/>
        </w:rPr>
      </w:pPr>
      <w:r w:rsidRPr="00584114">
        <w:rPr>
          <w:rFonts w:ascii="Arial" w:hAnsi="Arial" w:cs="Arial"/>
          <w:bCs/>
          <w:i/>
          <w:sz w:val="20"/>
          <w:szCs w:val="20"/>
        </w:rPr>
        <w:t>Well developed multi-channel features lay a foundation for effective distribution</w:t>
      </w:r>
      <w:r>
        <w:rPr>
          <w:rFonts w:ascii="Arial" w:hAnsi="Arial" w:cs="Arial"/>
          <w:bCs/>
          <w:i/>
          <w:sz w:val="20"/>
          <w:szCs w:val="20"/>
        </w:rPr>
        <w:t xml:space="preserve">: </w:t>
      </w:r>
      <w:r w:rsidRPr="00C53258">
        <w:rPr>
          <w:rFonts w:ascii="Arial" w:hAnsi="Arial" w:cs="Arial"/>
          <w:sz w:val="20"/>
          <w:szCs w:val="20"/>
        </w:rPr>
        <w:t xml:space="preserve">A key priority within distribution channels will be continuous delivery of high-quality face-to-face advice while providing customers with Internet-based transactional capabilities in tandem. </w:t>
      </w:r>
    </w:p>
    <w:p w:rsidR="00F0076C" w:rsidRPr="00D5194B" w:rsidRDefault="00F0076C" w:rsidP="00F0076C">
      <w:pPr>
        <w:ind w:left="360"/>
        <w:jc w:val="both"/>
        <w:rPr>
          <w:rFonts w:ascii="Arial" w:hAnsi="Arial" w:cs="Arial"/>
          <w:b/>
          <w:sz w:val="20"/>
          <w:szCs w:val="20"/>
        </w:rPr>
      </w:pPr>
    </w:p>
    <w:p w:rsidR="00F0076C" w:rsidRPr="00F25BA1" w:rsidRDefault="00F0076C" w:rsidP="00F0076C">
      <w:pPr>
        <w:numPr>
          <w:ilvl w:val="0"/>
          <w:numId w:val="60"/>
        </w:numPr>
        <w:jc w:val="both"/>
        <w:rPr>
          <w:rFonts w:ascii="Arial" w:hAnsi="Arial" w:cs="Arial"/>
          <w:b/>
          <w:sz w:val="20"/>
          <w:szCs w:val="20"/>
        </w:rPr>
      </w:pPr>
      <w:r w:rsidRPr="00584114">
        <w:rPr>
          <w:rFonts w:ascii="Arial" w:hAnsi="Arial" w:cs="Arial"/>
          <w:bCs/>
          <w:i/>
          <w:sz w:val="20"/>
          <w:szCs w:val="20"/>
        </w:rPr>
        <w:t>Data management priorities are shifting to infrastructure and governance</w:t>
      </w:r>
      <w:r>
        <w:rPr>
          <w:rFonts w:ascii="Arial" w:hAnsi="Arial" w:cs="Arial"/>
          <w:bCs/>
          <w:i/>
          <w:sz w:val="20"/>
          <w:szCs w:val="20"/>
        </w:rPr>
        <w:t xml:space="preserve">: </w:t>
      </w:r>
      <w:r w:rsidRPr="00C53258">
        <w:rPr>
          <w:rFonts w:ascii="Arial" w:hAnsi="Arial" w:cs="Arial"/>
          <w:sz w:val="20"/>
          <w:szCs w:val="20"/>
        </w:rPr>
        <w:t>The presentation of data has always been amongst the top priorities of wealth managers, as data reporting often determines whether a client will stay with the company. However, increasing pressure to reduce cost is causing focus to shift to back-office improvements, such as infrastructure and governance. As such, the combination of increasing competition, growing technological sophistication and an expanding mass affluent market, is driving wealth managers to enhance their data management practices.</w:t>
      </w:r>
    </w:p>
    <w:p w:rsidR="00F0076C" w:rsidRDefault="00F0076C" w:rsidP="00F0076C">
      <w:pPr>
        <w:jc w:val="both"/>
        <w:rPr>
          <w:rFonts w:ascii="Arial" w:hAnsi="Arial" w:cs="Arial"/>
          <w:b/>
          <w:sz w:val="20"/>
          <w:szCs w:val="20"/>
        </w:rPr>
      </w:pPr>
    </w:p>
    <w:p w:rsidR="00F0076C" w:rsidRPr="00D5194B" w:rsidRDefault="00F0076C" w:rsidP="00F0076C">
      <w:pPr>
        <w:ind w:left="360"/>
        <w:jc w:val="both"/>
        <w:rPr>
          <w:rFonts w:ascii="Arial" w:hAnsi="Arial" w:cs="Arial"/>
          <w:b/>
          <w:sz w:val="20"/>
          <w:szCs w:val="20"/>
        </w:rPr>
      </w:pPr>
    </w:p>
    <w:p w:rsidR="00F0076C" w:rsidRDefault="00F0076C" w:rsidP="00F0076C">
      <w:pPr>
        <w:numPr>
          <w:ilvl w:val="0"/>
          <w:numId w:val="60"/>
        </w:numPr>
        <w:jc w:val="both"/>
        <w:rPr>
          <w:rFonts w:ascii="Arial" w:hAnsi="Arial" w:cs="Arial"/>
          <w:b/>
          <w:sz w:val="20"/>
          <w:szCs w:val="20"/>
        </w:rPr>
      </w:pPr>
      <w:r w:rsidRPr="00584114">
        <w:rPr>
          <w:rFonts w:ascii="Arial" w:hAnsi="Arial" w:cs="Arial"/>
          <w:bCs/>
          <w:i/>
          <w:sz w:val="20"/>
          <w:szCs w:val="20"/>
        </w:rPr>
        <w:t>Wealth managers shift towards packaged core systems</w:t>
      </w:r>
      <w:r>
        <w:rPr>
          <w:rFonts w:ascii="Arial" w:hAnsi="Arial" w:cs="Arial"/>
          <w:bCs/>
          <w:i/>
          <w:sz w:val="20"/>
          <w:szCs w:val="20"/>
        </w:rPr>
        <w:t xml:space="preserve">: </w:t>
      </w:r>
      <w:r w:rsidRPr="00C53258">
        <w:rPr>
          <w:rFonts w:ascii="Arial" w:hAnsi="Arial" w:cs="Arial"/>
          <w:sz w:val="20"/>
          <w:szCs w:val="20"/>
        </w:rPr>
        <w:t>Financial institutions are responding to the growing need for more automated and real-time back-office systems which are compliant with growing regulatory pressures. As a result, wealth mangers are turning to packaged core systems as a means of reaching these goals.</w:t>
      </w:r>
    </w:p>
    <w:p w:rsidR="00F0076C" w:rsidRDefault="00F0076C" w:rsidP="00F0076C">
      <w:pPr>
        <w:ind w:left="360"/>
        <w:jc w:val="both"/>
        <w:rPr>
          <w:rFonts w:ascii="Arial" w:hAnsi="Arial" w:cs="Arial"/>
          <w:bCs/>
          <w:sz w:val="20"/>
          <w:szCs w:val="20"/>
        </w:rPr>
      </w:pPr>
    </w:p>
    <w:p w:rsidR="00E24CF0" w:rsidRPr="00E24CF0" w:rsidRDefault="00E24CF0" w:rsidP="00F0076C">
      <w:pPr>
        <w:ind w:left="360"/>
        <w:jc w:val="both"/>
        <w:rPr>
          <w:rFonts w:ascii="Arial" w:hAnsi="Arial" w:cs="Arial"/>
          <w:bCs/>
          <w:sz w:val="20"/>
          <w:szCs w:val="20"/>
        </w:rPr>
      </w:pPr>
      <w:r>
        <w:rPr>
          <w:rFonts w:ascii="Arial" w:hAnsi="Arial" w:cs="Arial"/>
          <w:bCs/>
          <w:sz w:val="20"/>
          <w:szCs w:val="20"/>
        </w:rPr>
        <w:t xml:space="preserve">Fund / portfolio accounting systems, CRM, client and MIS reporting tools, messaging, data management, and order management are getting maximum attention and investment from the IT and operations budgets. </w:t>
      </w:r>
    </w:p>
    <w:p w:rsidR="00F0076C" w:rsidRDefault="00F0076C" w:rsidP="00F0076C">
      <w:pPr>
        <w:ind w:left="360"/>
        <w:jc w:val="both"/>
        <w:rPr>
          <w:rFonts w:ascii="Arial" w:hAnsi="Arial" w:cs="Arial"/>
          <w:bCs/>
          <w:i/>
          <w:sz w:val="20"/>
          <w:szCs w:val="20"/>
        </w:rPr>
      </w:pPr>
    </w:p>
    <w:p w:rsidR="00814BEB" w:rsidRDefault="00E732DA">
      <w:pPr>
        <w:pStyle w:val="Heading2"/>
      </w:pPr>
      <w:bookmarkStart w:id="729" w:name="_Toc226530575"/>
      <w:r w:rsidRPr="00E732DA">
        <w:t xml:space="preserve">Case Study: Business – IT Assessment of </w:t>
      </w:r>
      <w:r w:rsidR="00936E05">
        <w:t xml:space="preserve">an </w:t>
      </w:r>
      <w:r w:rsidRPr="00E732DA">
        <w:t>Investment Manager</w:t>
      </w:r>
      <w:bookmarkEnd w:id="729"/>
      <w:r w:rsidRPr="00E732DA">
        <w:t xml:space="preserve"> </w:t>
      </w:r>
    </w:p>
    <w:p w:rsidR="00EF38E8" w:rsidRDefault="00EF38E8" w:rsidP="00F0076C">
      <w:pPr>
        <w:autoSpaceDE w:val="0"/>
        <w:autoSpaceDN w:val="0"/>
        <w:adjustRightInd w:val="0"/>
        <w:jc w:val="both"/>
        <w:rPr>
          <w:rFonts w:ascii="Arial" w:hAnsi="Arial" w:cs="Arial"/>
          <w:sz w:val="20"/>
          <w:szCs w:val="20"/>
        </w:rPr>
      </w:pPr>
    </w:p>
    <w:p w:rsidR="00EF38E8" w:rsidRPr="00515815" w:rsidRDefault="00EF38E8" w:rsidP="00EF38E8">
      <w:pPr>
        <w:jc w:val="both"/>
        <w:rPr>
          <w:rFonts w:ascii="Arial" w:hAnsi="Arial" w:cs="Arial"/>
          <w:b/>
        </w:rPr>
      </w:pPr>
      <w:r w:rsidRPr="009740F5">
        <w:rPr>
          <w:rFonts w:ascii="Arial" w:hAnsi="Arial" w:cs="Arial"/>
          <w:b/>
        </w:rPr>
        <w:t>Introduction</w:t>
      </w:r>
    </w:p>
    <w:p w:rsidR="00EF38E8" w:rsidRDefault="00EF38E8" w:rsidP="00EF38E8">
      <w:pPr>
        <w:jc w:val="both"/>
        <w:rPr>
          <w:rFonts w:ascii="Arial" w:hAnsi="Arial" w:cs="Arial"/>
          <w:sz w:val="20"/>
          <w:szCs w:val="20"/>
        </w:rPr>
      </w:pPr>
    </w:p>
    <w:p w:rsidR="00EF38E8" w:rsidRPr="003A009D" w:rsidRDefault="00EF38E8" w:rsidP="00EF38E8">
      <w:pPr>
        <w:jc w:val="both"/>
        <w:rPr>
          <w:rFonts w:ascii="Arial" w:hAnsi="Arial" w:cs="Arial"/>
          <w:sz w:val="20"/>
          <w:szCs w:val="20"/>
        </w:rPr>
      </w:pPr>
      <w:r>
        <w:rPr>
          <w:rFonts w:ascii="Arial" w:hAnsi="Arial" w:cs="Arial"/>
          <w:sz w:val="20"/>
          <w:szCs w:val="20"/>
        </w:rPr>
        <w:t xml:space="preserve">The Client is </w:t>
      </w:r>
      <w:r w:rsidRPr="003A009D">
        <w:rPr>
          <w:rFonts w:ascii="Arial" w:hAnsi="Arial" w:cs="Arial"/>
          <w:sz w:val="20"/>
          <w:szCs w:val="20"/>
        </w:rPr>
        <w:t>an investm</w:t>
      </w:r>
      <w:r>
        <w:rPr>
          <w:rFonts w:ascii="Arial" w:hAnsi="Arial" w:cs="Arial"/>
          <w:sz w:val="20"/>
          <w:szCs w:val="20"/>
        </w:rPr>
        <w:t>ent management</w:t>
      </w:r>
      <w:r w:rsidRPr="003A009D">
        <w:rPr>
          <w:rFonts w:ascii="Arial" w:hAnsi="Arial" w:cs="Arial"/>
          <w:sz w:val="20"/>
          <w:szCs w:val="20"/>
        </w:rPr>
        <w:t xml:space="preserve"> firm with over a c</w:t>
      </w:r>
      <w:r>
        <w:rPr>
          <w:rFonts w:ascii="Arial" w:hAnsi="Arial" w:cs="Arial"/>
          <w:sz w:val="20"/>
          <w:szCs w:val="20"/>
        </w:rPr>
        <w:t>entury of experience, manages assets and offering advisory services to</w:t>
      </w:r>
      <w:r w:rsidRPr="003A009D">
        <w:rPr>
          <w:rFonts w:ascii="Arial" w:hAnsi="Arial" w:cs="Arial"/>
          <w:sz w:val="20"/>
          <w:szCs w:val="20"/>
        </w:rPr>
        <w:t xml:space="preserve"> large institutions, corporate trusts and high net worth in</w:t>
      </w:r>
      <w:r>
        <w:rPr>
          <w:rFonts w:ascii="Arial" w:hAnsi="Arial" w:cs="Arial"/>
          <w:sz w:val="20"/>
          <w:szCs w:val="20"/>
        </w:rPr>
        <w:t>dividuals. The Client</w:t>
      </w:r>
      <w:r w:rsidRPr="003A009D">
        <w:rPr>
          <w:rFonts w:ascii="Arial" w:hAnsi="Arial" w:cs="Arial"/>
          <w:sz w:val="20"/>
          <w:szCs w:val="20"/>
        </w:rPr>
        <w:t xml:space="preserve"> is a who</w:t>
      </w:r>
      <w:r>
        <w:rPr>
          <w:rFonts w:ascii="Arial" w:hAnsi="Arial" w:cs="Arial"/>
          <w:sz w:val="20"/>
          <w:szCs w:val="20"/>
        </w:rPr>
        <w:t xml:space="preserve">lly owned subsidiary of a Large Bank in the US mid-west, </w:t>
      </w:r>
      <w:r w:rsidRPr="003A009D">
        <w:rPr>
          <w:rFonts w:ascii="Arial" w:hAnsi="Arial" w:cs="Arial"/>
          <w:sz w:val="20"/>
          <w:szCs w:val="20"/>
        </w:rPr>
        <w:t>a Fortune 500 financial service fir</w:t>
      </w:r>
      <w:r>
        <w:rPr>
          <w:rFonts w:ascii="Arial" w:hAnsi="Arial" w:cs="Arial"/>
          <w:sz w:val="20"/>
          <w:szCs w:val="20"/>
        </w:rPr>
        <w:t xml:space="preserve">m. </w:t>
      </w:r>
    </w:p>
    <w:p w:rsidR="00EF38E8" w:rsidRDefault="00EF38E8" w:rsidP="00EF38E8">
      <w:pPr>
        <w:jc w:val="both"/>
        <w:rPr>
          <w:rFonts w:ascii="Arial" w:hAnsi="Arial" w:cs="Arial"/>
          <w:sz w:val="20"/>
          <w:szCs w:val="20"/>
        </w:rPr>
      </w:pPr>
    </w:p>
    <w:p w:rsidR="00EF38E8" w:rsidRDefault="00EF38E8" w:rsidP="00EF38E8">
      <w:pPr>
        <w:jc w:val="both"/>
        <w:rPr>
          <w:rFonts w:ascii="Arial" w:hAnsi="Arial" w:cs="Arial"/>
          <w:sz w:val="20"/>
          <w:szCs w:val="20"/>
        </w:rPr>
      </w:pPr>
      <w:r>
        <w:rPr>
          <w:rFonts w:ascii="Arial" w:hAnsi="Arial" w:cs="Arial"/>
          <w:sz w:val="20"/>
          <w:szCs w:val="20"/>
        </w:rPr>
        <w:t>The Client</w:t>
      </w:r>
      <w:r w:rsidRPr="003A009D">
        <w:rPr>
          <w:rFonts w:ascii="Arial" w:hAnsi="Arial" w:cs="Arial"/>
          <w:sz w:val="20"/>
          <w:szCs w:val="20"/>
        </w:rPr>
        <w:t xml:space="preserve"> </w:t>
      </w:r>
      <w:r w:rsidR="008E4CDF">
        <w:rPr>
          <w:rFonts w:ascii="Arial" w:hAnsi="Arial" w:cs="Arial"/>
          <w:sz w:val="20"/>
          <w:szCs w:val="20"/>
        </w:rPr>
        <w:t xml:space="preserve">manages </w:t>
      </w:r>
      <w:r w:rsidRPr="003A009D">
        <w:rPr>
          <w:rFonts w:ascii="Arial" w:hAnsi="Arial" w:cs="Arial"/>
          <w:sz w:val="20"/>
          <w:szCs w:val="20"/>
        </w:rPr>
        <w:t>assets of approximately $65 billion (AUM) that includes $27.5 billion in domestic and international equities and $36.8 billion in fixed income, of which $22 billion is in Securities Lending.</w:t>
      </w:r>
      <w:r>
        <w:rPr>
          <w:rFonts w:ascii="Arial" w:hAnsi="Arial" w:cs="Arial"/>
          <w:sz w:val="20"/>
          <w:szCs w:val="20"/>
        </w:rPr>
        <w:t xml:space="preserve"> </w:t>
      </w:r>
    </w:p>
    <w:p w:rsidR="00EF38E8" w:rsidRPr="00BA092D" w:rsidRDefault="00EF38E8" w:rsidP="00EF38E8">
      <w:pPr>
        <w:jc w:val="both"/>
        <w:rPr>
          <w:rFonts w:ascii="Arial" w:hAnsi="Arial" w:cs="Arial"/>
          <w:sz w:val="20"/>
          <w:szCs w:val="20"/>
        </w:rPr>
      </w:pPr>
    </w:p>
    <w:p w:rsidR="00EF38E8" w:rsidRPr="009740F5" w:rsidRDefault="00EF38E8" w:rsidP="00EF38E8">
      <w:pPr>
        <w:jc w:val="both"/>
        <w:rPr>
          <w:rFonts w:ascii="Arial" w:hAnsi="Arial" w:cs="Arial"/>
          <w:b/>
          <w:i/>
          <w:sz w:val="20"/>
          <w:szCs w:val="20"/>
        </w:rPr>
      </w:pPr>
      <w:r w:rsidRPr="009740F5">
        <w:rPr>
          <w:rFonts w:ascii="Arial" w:hAnsi="Arial" w:cs="Arial"/>
          <w:b/>
          <w:i/>
          <w:sz w:val="20"/>
          <w:szCs w:val="20"/>
        </w:rPr>
        <w:t>Current Scenario</w:t>
      </w:r>
    </w:p>
    <w:p w:rsidR="00EF38E8" w:rsidRPr="009740F5" w:rsidRDefault="00EF38E8" w:rsidP="00EF38E8">
      <w:pPr>
        <w:jc w:val="both"/>
        <w:rPr>
          <w:rFonts w:ascii="Arial" w:hAnsi="Arial" w:cs="Arial"/>
          <w:i/>
          <w:sz w:val="20"/>
          <w:szCs w:val="20"/>
        </w:rPr>
      </w:pPr>
    </w:p>
    <w:p w:rsidR="00EF38E8" w:rsidRPr="00BA092D" w:rsidRDefault="00EF38E8" w:rsidP="00EF38E8">
      <w:pPr>
        <w:jc w:val="both"/>
        <w:rPr>
          <w:rFonts w:ascii="Arial" w:hAnsi="Arial" w:cs="Arial"/>
          <w:sz w:val="20"/>
          <w:szCs w:val="20"/>
        </w:rPr>
      </w:pPr>
      <w:r w:rsidRPr="00BA092D">
        <w:rPr>
          <w:rFonts w:ascii="Arial" w:hAnsi="Arial" w:cs="Arial"/>
          <w:sz w:val="20"/>
          <w:szCs w:val="20"/>
        </w:rPr>
        <w:t>The Client employs a shared services model with</w:t>
      </w:r>
      <w:r>
        <w:rPr>
          <w:rFonts w:ascii="Arial" w:hAnsi="Arial" w:cs="Arial"/>
          <w:sz w:val="20"/>
          <w:szCs w:val="20"/>
        </w:rPr>
        <w:t xml:space="preserve"> the Back Office of the Large B</w:t>
      </w:r>
      <w:r w:rsidRPr="00BA092D">
        <w:rPr>
          <w:rFonts w:ascii="Arial" w:hAnsi="Arial" w:cs="Arial"/>
          <w:sz w:val="20"/>
          <w:szCs w:val="20"/>
        </w:rPr>
        <w:t xml:space="preserve">ank to assist many of its day-to-day operations. The IM operations of our Client are managed by their own Middle office with support from the Investment Operations team </w:t>
      </w:r>
      <w:r>
        <w:rPr>
          <w:rFonts w:ascii="Arial" w:hAnsi="Arial" w:cs="Arial"/>
          <w:sz w:val="20"/>
          <w:szCs w:val="20"/>
        </w:rPr>
        <w:t>(Back-Office teams of the Large B</w:t>
      </w:r>
      <w:r w:rsidRPr="00BA092D">
        <w:rPr>
          <w:rFonts w:ascii="Arial" w:hAnsi="Arial" w:cs="Arial"/>
          <w:sz w:val="20"/>
          <w:szCs w:val="20"/>
        </w:rPr>
        <w:t xml:space="preserve">ank) in the shared services model while its Custody operations are managed entirely by the Investment Operations team. </w:t>
      </w:r>
      <w:r>
        <w:rPr>
          <w:rFonts w:ascii="Arial" w:hAnsi="Arial" w:cs="Arial"/>
          <w:sz w:val="20"/>
          <w:szCs w:val="20"/>
        </w:rPr>
        <w:t xml:space="preserve">The Technology Services and Operations Group of the Large Bank, </w:t>
      </w:r>
      <w:r w:rsidRPr="003A009D">
        <w:rPr>
          <w:rFonts w:ascii="Arial" w:hAnsi="Arial" w:cs="Arial"/>
          <w:sz w:val="20"/>
          <w:szCs w:val="20"/>
        </w:rPr>
        <w:t>support</w:t>
      </w:r>
      <w:r>
        <w:rPr>
          <w:rFonts w:ascii="Arial" w:hAnsi="Arial" w:cs="Arial"/>
          <w:sz w:val="20"/>
          <w:szCs w:val="20"/>
        </w:rPr>
        <w:t>s the Technology needs of the Client</w:t>
      </w:r>
      <w:r w:rsidRPr="003A009D">
        <w:rPr>
          <w:rFonts w:ascii="Arial" w:hAnsi="Arial" w:cs="Arial"/>
          <w:sz w:val="20"/>
          <w:szCs w:val="20"/>
        </w:rPr>
        <w:t>.</w:t>
      </w:r>
    </w:p>
    <w:p w:rsidR="00EF38E8" w:rsidRPr="00BA092D" w:rsidRDefault="00EF38E8" w:rsidP="00EF38E8">
      <w:pPr>
        <w:jc w:val="both"/>
        <w:rPr>
          <w:rFonts w:ascii="Arial" w:hAnsi="Arial" w:cs="Arial"/>
          <w:sz w:val="20"/>
          <w:szCs w:val="20"/>
        </w:rPr>
      </w:pPr>
    </w:p>
    <w:p w:rsidR="00EF38E8" w:rsidRPr="00BA092D" w:rsidRDefault="00EF38E8" w:rsidP="00EF38E8">
      <w:pPr>
        <w:jc w:val="both"/>
        <w:rPr>
          <w:rFonts w:ascii="Arial" w:hAnsi="Arial" w:cs="Arial"/>
          <w:b/>
          <w:i/>
          <w:iCs/>
          <w:sz w:val="20"/>
          <w:szCs w:val="20"/>
        </w:rPr>
      </w:pPr>
      <w:r w:rsidRPr="00BA092D">
        <w:rPr>
          <w:rFonts w:ascii="Arial" w:hAnsi="Arial" w:cs="Arial"/>
          <w:b/>
          <w:i/>
          <w:iCs/>
          <w:sz w:val="20"/>
          <w:szCs w:val="20"/>
        </w:rPr>
        <w:t>Current Operating and Technology Environment</w:t>
      </w:r>
    </w:p>
    <w:p w:rsidR="00EF38E8" w:rsidRPr="00BA092D" w:rsidRDefault="00EF38E8" w:rsidP="00EF38E8">
      <w:pPr>
        <w:jc w:val="both"/>
        <w:rPr>
          <w:rFonts w:ascii="Arial" w:hAnsi="Arial" w:cs="Arial"/>
          <w:b/>
          <w:sz w:val="20"/>
          <w:szCs w:val="20"/>
        </w:rPr>
      </w:pPr>
    </w:p>
    <w:p w:rsidR="00EF38E8" w:rsidRPr="00BA092D" w:rsidRDefault="008011A0" w:rsidP="00EF38E8">
      <w:pPr>
        <w:jc w:val="center"/>
        <w:rPr>
          <w:rFonts w:ascii="Arial" w:hAnsi="Arial" w:cs="Arial"/>
          <w:sz w:val="20"/>
          <w:szCs w:val="20"/>
        </w:rPr>
      </w:pPr>
      <w:r>
        <w:rPr>
          <w:rFonts w:ascii="Arial" w:hAnsi="Arial" w:cs="Arial"/>
          <w:noProof/>
          <w:sz w:val="20"/>
          <w:szCs w:val="20"/>
        </w:rPr>
        <w:drawing>
          <wp:inline distT="0" distB="0" distL="0" distR="0">
            <wp:extent cx="3629025" cy="2133600"/>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5" cstate="print"/>
                    <a:srcRect/>
                    <a:stretch>
                      <a:fillRect/>
                    </a:stretch>
                  </pic:blipFill>
                  <pic:spPr bwMode="auto">
                    <a:xfrm>
                      <a:off x="0" y="0"/>
                      <a:ext cx="3629025" cy="2133600"/>
                    </a:xfrm>
                    <a:prstGeom prst="rect">
                      <a:avLst/>
                    </a:prstGeom>
                    <a:noFill/>
                    <a:ln w="9525">
                      <a:noFill/>
                      <a:miter lim="800000"/>
                      <a:headEnd/>
                      <a:tailEnd/>
                    </a:ln>
                  </pic:spPr>
                </pic:pic>
              </a:graphicData>
            </a:graphic>
          </wp:inline>
        </w:drawing>
      </w:r>
    </w:p>
    <w:p w:rsidR="00EF38E8" w:rsidRDefault="00EF38E8" w:rsidP="00EF38E8">
      <w:pPr>
        <w:jc w:val="both"/>
        <w:rPr>
          <w:rFonts w:ascii="Arial" w:hAnsi="Arial" w:cs="Arial"/>
          <w:i/>
          <w:sz w:val="20"/>
          <w:szCs w:val="20"/>
        </w:rPr>
      </w:pPr>
    </w:p>
    <w:p w:rsidR="00EF38E8" w:rsidRDefault="00EF38E8" w:rsidP="00EF38E8">
      <w:pPr>
        <w:jc w:val="both"/>
        <w:rPr>
          <w:rFonts w:ascii="Arial" w:hAnsi="Arial" w:cs="Arial"/>
          <w:i/>
          <w:sz w:val="20"/>
          <w:szCs w:val="20"/>
        </w:rPr>
      </w:pPr>
    </w:p>
    <w:p w:rsidR="00EF38E8" w:rsidRPr="00BA092D" w:rsidRDefault="00EF38E8" w:rsidP="00EF38E8">
      <w:pPr>
        <w:jc w:val="both"/>
        <w:rPr>
          <w:rFonts w:ascii="Arial" w:hAnsi="Arial" w:cs="Arial"/>
          <w:i/>
          <w:sz w:val="20"/>
          <w:szCs w:val="20"/>
        </w:rPr>
      </w:pPr>
      <w:r>
        <w:rPr>
          <w:rFonts w:ascii="Arial" w:hAnsi="Arial" w:cs="Arial"/>
          <w:i/>
          <w:sz w:val="20"/>
          <w:szCs w:val="20"/>
        </w:rPr>
        <w:t xml:space="preserve">Note: </w:t>
      </w:r>
      <w:r w:rsidRPr="00BA092D">
        <w:rPr>
          <w:rFonts w:ascii="Arial" w:hAnsi="Arial" w:cs="Arial"/>
          <w:i/>
          <w:sz w:val="20"/>
          <w:szCs w:val="20"/>
        </w:rPr>
        <w:t>Technology Services and Back-Office Oper</w:t>
      </w:r>
      <w:r>
        <w:rPr>
          <w:rFonts w:ascii="Arial" w:hAnsi="Arial" w:cs="Arial"/>
          <w:i/>
          <w:sz w:val="20"/>
          <w:szCs w:val="20"/>
        </w:rPr>
        <w:t>ations are managed by the Large</w:t>
      </w:r>
      <w:r w:rsidRPr="00BA092D">
        <w:rPr>
          <w:rFonts w:ascii="Arial" w:hAnsi="Arial" w:cs="Arial"/>
          <w:i/>
          <w:sz w:val="20"/>
          <w:szCs w:val="20"/>
        </w:rPr>
        <w:t xml:space="preserve"> Bank while the Middle-Office Operations are managed by the Client</w:t>
      </w:r>
      <w:r>
        <w:rPr>
          <w:rFonts w:ascii="Arial" w:hAnsi="Arial" w:cs="Arial"/>
          <w:i/>
          <w:sz w:val="20"/>
          <w:szCs w:val="20"/>
        </w:rPr>
        <w:t>’s</w:t>
      </w:r>
      <w:r w:rsidRPr="00BA092D">
        <w:rPr>
          <w:rFonts w:ascii="Arial" w:hAnsi="Arial" w:cs="Arial"/>
          <w:i/>
          <w:sz w:val="20"/>
          <w:szCs w:val="20"/>
        </w:rPr>
        <w:t xml:space="preserve"> own in-house teams.</w:t>
      </w:r>
    </w:p>
    <w:p w:rsidR="00EF38E8" w:rsidRDefault="00EF38E8" w:rsidP="00EF38E8">
      <w:pPr>
        <w:jc w:val="both"/>
        <w:rPr>
          <w:rFonts w:ascii="Arial" w:hAnsi="Arial" w:cs="Arial"/>
          <w:b/>
          <w:bCs/>
          <w:i/>
          <w:sz w:val="20"/>
          <w:szCs w:val="20"/>
        </w:rPr>
      </w:pPr>
    </w:p>
    <w:p w:rsidR="00EF38E8" w:rsidRPr="00992A75" w:rsidRDefault="00EF38E8" w:rsidP="00EF38E8">
      <w:pPr>
        <w:jc w:val="both"/>
        <w:rPr>
          <w:rFonts w:ascii="Arial" w:hAnsi="Arial" w:cs="Arial"/>
          <w:b/>
          <w:bCs/>
          <w:i/>
          <w:sz w:val="20"/>
          <w:szCs w:val="20"/>
        </w:rPr>
      </w:pPr>
      <w:r w:rsidRPr="00992A75">
        <w:rPr>
          <w:rFonts w:ascii="Arial" w:hAnsi="Arial" w:cs="Arial"/>
          <w:b/>
          <w:bCs/>
          <w:i/>
          <w:sz w:val="20"/>
          <w:szCs w:val="20"/>
        </w:rPr>
        <w:t>Problem Definition</w:t>
      </w:r>
    </w:p>
    <w:p w:rsidR="00EF38E8" w:rsidRDefault="00EF38E8" w:rsidP="00EF38E8">
      <w:pPr>
        <w:jc w:val="both"/>
        <w:rPr>
          <w:rFonts w:ascii="Arial" w:hAnsi="Arial" w:cs="Arial"/>
          <w:sz w:val="20"/>
          <w:szCs w:val="20"/>
        </w:rPr>
      </w:pPr>
    </w:p>
    <w:p w:rsidR="00EF38E8" w:rsidRPr="00BA092D" w:rsidRDefault="00EF38E8" w:rsidP="00EF38E8">
      <w:pPr>
        <w:jc w:val="both"/>
        <w:rPr>
          <w:rFonts w:ascii="Arial" w:hAnsi="Arial" w:cs="Arial"/>
          <w:sz w:val="20"/>
          <w:szCs w:val="20"/>
        </w:rPr>
      </w:pPr>
      <w:r w:rsidRPr="00BA092D">
        <w:rPr>
          <w:rFonts w:ascii="Arial" w:hAnsi="Arial" w:cs="Arial"/>
          <w:sz w:val="20"/>
          <w:szCs w:val="20"/>
        </w:rPr>
        <w:t xml:space="preserve">The Client is faced with growing concerns due to the short comings in their existing IT infrastructure and shared services model to support these growth plans. The Client has not made any strategic investments in IT for the past few years but has identified the importance </w:t>
      </w:r>
      <w:r>
        <w:rPr>
          <w:rFonts w:ascii="Arial" w:hAnsi="Arial" w:cs="Arial"/>
          <w:sz w:val="20"/>
          <w:szCs w:val="20"/>
        </w:rPr>
        <w:t xml:space="preserve">to </w:t>
      </w:r>
      <w:r w:rsidRPr="00BA092D">
        <w:rPr>
          <w:rFonts w:ascii="Arial" w:hAnsi="Arial" w:cs="Arial"/>
          <w:sz w:val="20"/>
          <w:szCs w:val="20"/>
        </w:rPr>
        <w:t>revam</w:t>
      </w:r>
      <w:r>
        <w:rPr>
          <w:rFonts w:ascii="Arial" w:hAnsi="Arial" w:cs="Arial"/>
          <w:sz w:val="20"/>
          <w:szCs w:val="20"/>
        </w:rPr>
        <w:t>p</w:t>
      </w:r>
      <w:r w:rsidRPr="00BA092D">
        <w:rPr>
          <w:rFonts w:ascii="Arial" w:hAnsi="Arial" w:cs="Arial"/>
          <w:sz w:val="20"/>
          <w:szCs w:val="20"/>
        </w:rPr>
        <w:t xml:space="preserve"> their existing IT and operations landscape to address these issues, compliment their new business goals and stay abreast with industry standards.</w:t>
      </w:r>
    </w:p>
    <w:p w:rsidR="00EF38E8" w:rsidRDefault="00EF38E8" w:rsidP="00EF38E8">
      <w:pPr>
        <w:jc w:val="both"/>
        <w:rPr>
          <w:rFonts w:ascii="Arial" w:hAnsi="Arial" w:cs="Arial"/>
          <w:b/>
          <w:bCs/>
          <w:i/>
          <w:sz w:val="20"/>
          <w:szCs w:val="20"/>
        </w:rPr>
      </w:pPr>
    </w:p>
    <w:p w:rsidR="00EF38E8" w:rsidRDefault="00EF38E8" w:rsidP="00EF38E8">
      <w:pPr>
        <w:jc w:val="both"/>
        <w:rPr>
          <w:rFonts w:ascii="Arial" w:hAnsi="Arial" w:cs="Arial"/>
          <w:b/>
          <w:bCs/>
          <w:i/>
          <w:iCs/>
          <w:sz w:val="20"/>
          <w:szCs w:val="20"/>
        </w:rPr>
      </w:pPr>
    </w:p>
    <w:p w:rsidR="00EF38E8" w:rsidRDefault="00EF38E8" w:rsidP="00EF38E8">
      <w:pPr>
        <w:jc w:val="both"/>
        <w:rPr>
          <w:rFonts w:ascii="Arial" w:hAnsi="Arial" w:cs="Arial"/>
          <w:b/>
          <w:bCs/>
          <w:i/>
          <w:iCs/>
          <w:sz w:val="20"/>
          <w:szCs w:val="20"/>
        </w:rPr>
      </w:pPr>
      <w:r>
        <w:rPr>
          <w:rFonts w:ascii="Arial" w:hAnsi="Arial" w:cs="Arial"/>
          <w:b/>
          <w:bCs/>
          <w:i/>
          <w:iCs/>
          <w:sz w:val="20"/>
          <w:szCs w:val="20"/>
        </w:rPr>
        <w:t>Detailed Analysis and Findings</w:t>
      </w:r>
    </w:p>
    <w:p w:rsidR="00EF38E8" w:rsidRDefault="00EF38E8" w:rsidP="00EF38E8">
      <w:pPr>
        <w:jc w:val="both"/>
        <w:rPr>
          <w:rFonts w:ascii="Arial" w:hAnsi="Arial" w:cs="Arial"/>
          <w:b/>
          <w:bCs/>
          <w:i/>
          <w:iCs/>
          <w:sz w:val="20"/>
          <w:szCs w:val="20"/>
        </w:rPr>
      </w:pPr>
    </w:p>
    <w:p w:rsidR="00EF38E8" w:rsidRDefault="00EF38E8" w:rsidP="00EF38E8">
      <w:pPr>
        <w:jc w:val="both"/>
        <w:rPr>
          <w:rFonts w:ascii="Arial" w:hAnsi="Arial" w:cs="Arial"/>
          <w:bCs/>
          <w:iCs/>
          <w:sz w:val="20"/>
          <w:szCs w:val="20"/>
        </w:rPr>
      </w:pPr>
      <w:r>
        <w:rPr>
          <w:rFonts w:ascii="Arial" w:hAnsi="Arial" w:cs="Arial"/>
          <w:bCs/>
          <w:iCs/>
          <w:sz w:val="20"/>
          <w:szCs w:val="20"/>
        </w:rPr>
        <w:t>The summary of finding</w:t>
      </w:r>
      <w:r w:rsidR="008E4CDF">
        <w:rPr>
          <w:rFonts w:ascii="Arial" w:hAnsi="Arial" w:cs="Arial"/>
          <w:bCs/>
          <w:iCs/>
          <w:sz w:val="20"/>
          <w:szCs w:val="20"/>
        </w:rPr>
        <w:t>s</w:t>
      </w:r>
      <w:r>
        <w:rPr>
          <w:rFonts w:ascii="Arial" w:hAnsi="Arial" w:cs="Arial"/>
          <w:bCs/>
          <w:iCs/>
          <w:sz w:val="20"/>
          <w:szCs w:val="20"/>
        </w:rPr>
        <w:t xml:space="preserve"> in the IM </w:t>
      </w:r>
      <w:proofErr w:type="spellStart"/>
      <w:r>
        <w:rPr>
          <w:rFonts w:ascii="Arial" w:hAnsi="Arial" w:cs="Arial"/>
          <w:bCs/>
          <w:iCs/>
          <w:sz w:val="20"/>
          <w:szCs w:val="20"/>
        </w:rPr>
        <w:t>LoB</w:t>
      </w:r>
      <w:proofErr w:type="spellEnd"/>
      <w:r>
        <w:rPr>
          <w:rFonts w:ascii="Arial" w:hAnsi="Arial" w:cs="Arial"/>
          <w:bCs/>
          <w:iCs/>
          <w:sz w:val="20"/>
          <w:szCs w:val="20"/>
        </w:rPr>
        <w:t xml:space="preserve"> is as follows:</w:t>
      </w:r>
    </w:p>
    <w:p w:rsidR="00EF38E8" w:rsidRDefault="00EF38E8" w:rsidP="00EF38E8">
      <w:pPr>
        <w:jc w:val="both"/>
        <w:rPr>
          <w:rFonts w:ascii="Arial" w:hAnsi="Arial" w:cs="Arial"/>
          <w:bCs/>
          <w:iCs/>
          <w:sz w:val="20"/>
          <w:szCs w:val="20"/>
        </w:rPr>
      </w:pPr>
    </w:p>
    <w:p w:rsidR="00EF38E8" w:rsidRPr="00B931A1" w:rsidRDefault="00EF38E8" w:rsidP="00EF38E8">
      <w:pPr>
        <w:jc w:val="both"/>
        <w:rPr>
          <w:rFonts w:ascii="Arial" w:hAnsi="Arial" w:cs="Arial"/>
          <w:bCs/>
          <w:i/>
          <w:iCs/>
          <w:sz w:val="20"/>
          <w:szCs w:val="20"/>
          <w:u w:val="single"/>
        </w:rPr>
      </w:pPr>
      <w:r w:rsidRPr="00B931A1">
        <w:rPr>
          <w:rFonts w:ascii="Arial" w:hAnsi="Arial" w:cs="Arial"/>
          <w:bCs/>
          <w:i/>
          <w:iCs/>
          <w:sz w:val="20"/>
          <w:szCs w:val="20"/>
          <w:u w:val="single"/>
        </w:rPr>
        <w:t>Infrastructure and system inefficiencies</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Acc</w:t>
      </w:r>
      <w:r>
        <w:rPr>
          <w:rFonts w:ascii="Arial" w:hAnsi="Arial" w:cs="Arial"/>
          <w:bCs/>
          <w:iCs/>
          <w:sz w:val="20"/>
          <w:szCs w:val="20"/>
        </w:rPr>
        <w:t>ount coding, dependent on old Investment Accounting platform, does not offer flexibility</w:t>
      </w:r>
      <w:r w:rsidRPr="00B931A1">
        <w:rPr>
          <w:rFonts w:ascii="Arial" w:hAnsi="Arial" w:cs="Arial"/>
          <w:bCs/>
          <w:iCs/>
          <w:sz w:val="20"/>
          <w:szCs w:val="20"/>
        </w:rPr>
        <w:t xml:space="preserve"> – e.g. single account number for deposit customers</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Customer -&gt;Account -&gt; Product relationship not well defined</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Absence of a centralized repository for Security and Pricing</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Point to point interfaces resulting in tight coupling</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Settlement dated accounting system resulting in delayed and inaccurate Performance and analytics data</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Inefficient client reporting process due to lack of proper client reporting system</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Legacy billing platform shared by LOB’s</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lastRenderedPageBreak/>
        <w:t xml:space="preserve">Batch oriented architecture </w:t>
      </w:r>
    </w:p>
    <w:p w:rsidR="00EF38E8" w:rsidRPr="00B931A1" w:rsidRDefault="00EF38E8" w:rsidP="00EF38E8">
      <w:pPr>
        <w:jc w:val="both"/>
        <w:rPr>
          <w:rFonts w:ascii="Arial" w:hAnsi="Arial" w:cs="Arial"/>
          <w:bCs/>
          <w:i/>
          <w:iCs/>
          <w:sz w:val="20"/>
          <w:szCs w:val="20"/>
          <w:u w:val="single"/>
        </w:rPr>
      </w:pPr>
    </w:p>
    <w:p w:rsidR="00EF38E8" w:rsidRPr="00B931A1" w:rsidRDefault="00EF38E8" w:rsidP="00EF38E8">
      <w:pPr>
        <w:jc w:val="both"/>
        <w:rPr>
          <w:rFonts w:ascii="Arial" w:hAnsi="Arial" w:cs="Arial"/>
          <w:bCs/>
          <w:i/>
          <w:iCs/>
          <w:sz w:val="20"/>
          <w:szCs w:val="20"/>
          <w:u w:val="single"/>
        </w:rPr>
      </w:pPr>
      <w:r w:rsidRPr="00B931A1">
        <w:rPr>
          <w:rFonts w:ascii="Arial" w:hAnsi="Arial" w:cs="Arial"/>
          <w:bCs/>
          <w:i/>
          <w:iCs/>
          <w:sz w:val="20"/>
          <w:szCs w:val="20"/>
          <w:u w:val="single"/>
        </w:rPr>
        <w:t>Process improvements</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Sub-optimum utilization of Trad</w:t>
      </w:r>
      <w:r>
        <w:rPr>
          <w:rFonts w:ascii="Arial" w:hAnsi="Arial" w:cs="Arial"/>
          <w:bCs/>
          <w:iCs/>
          <w:sz w:val="20"/>
          <w:szCs w:val="20"/>
        </w:rPr>
        <w:t>e Matching facility</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Manual pre-account opening process</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Manual and paper intensive custodial exception management process</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Non-integrated fixed income order management process</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Current CRM system not geared for IM business</w:t>
      </w:r>
    </w:p>
    <w:p w:rsidR="00EF38E8" w:rsidRPr="00B931A1" w:rsidRDefault="00EF38E8" w:rsidP="00EF38E8">
      <w:pPr>
        <w:numPr>
          <w:ilvl w:val="0"/>
          <w:numId w:val="125"/>
        </w:numPr>
        <w:jc w:val="both"/>
        <w:rPr>
          <w:rFonts w:ascii="Arial" w:hAnsi="Arial" w:cs="Arial"/>
          <w:bCs/>
          <w:iCs/>
          <w:sz w:val="20"/>
          <w:szCs w:val="20"/>
        </w:rPr>
      </w:pPr>
      <w:r w:rsidRPr="00B931A1">
        <w:rPr>
          <w:rFonts w:ascii="Arial" w:hAnsi="Arial" w:cs="Arial"/>
          <w:bCs/>
          <w:iCs/>
          <w:sz w:val="20"/>
          <w:szCs w:val="20"/>
        </w:rPr>
        <w:t>Fee calculation process improvement</w:t>
      </w:r>
    </w:p>
    <w:p w:rsidR="00EF38E8" w:rsidRPr="00946673" w:rsidRDefault="00EF38E8" w:rsidP="00EF38E8">
      <w:pPr>
        <w:jc w:val="both"/>
        <w:rPr>
          <w:rFonts w:ascii="Arial" w:hAnsi="Arial" w:cs="Arial"/>
          <w:bCs/>
          <w:iCs/>
          <w:sz w:val="20"/>
          <w:szCs w:val="20"/>
        </w:rPr>
      </w:pPr>
    </w:p>
    <w:p w:rsidR="00EF38E8" w:rsidRDefault="00EF38E8" w:rsidP="00EF38E8">
      <w:pPr>
        <w:jc w:val="both"/>
        <w:rPr>
          <w:rFonts w:ascii="Arial" w:hAnsi="Arial" w:cs="Arial"/>
          <w:bCs/>
          <w:iCs/>
          <w:sz w:val="20"/>
          <w:szCs w:val="20"/>
        </w:rPr>
      </w:pPr>
      <w:r>
        <w:rPr>
          <w:rFonts w:ascii="Arial" w:hAnsi="Arial" w:cs="Arial"/>
          <w:bCs/>
          <w:iCs/>
          <w:sz w:val="20"/>
          <w:szCs w:val="20"/>
        </w:rPr>
        <w:t xml:space="preserve">The summary of finding in the Custody and Securities Lending </w:t>
      </w:r>
      <w:proofErr w:type="spellStart"/>
      <w:r>
        <w:rPr>
          <w:rFonts w:ascii="Arial" w:hAnsi="Arial" w:cs="Arial"/>
          <w:bCs/>
          <w:iCs/>
          <w:sz w:val="20"/>
          <w:szCs w:val="20"/>
        </w:rPr>
        <w:t>LoB</w:t>
      </w:r>
      <w:proofErr w:type="spellEnd"/>
      <w:r>
        <w:rPr>
          <w:rFonts w:ascii="Arial" w:hAnsi="Arial" w:cs="Arial"/>
          <w:bCs/>
          <w:iCs/>
          <w:sz w:val="20"/>
          <w:szCs w:val="20"/>
        </w:rPr>
        <w:t xml:space="preserve"> is as follows:</w:t>
      </w:r>
    </w:p>
    <w:p w:rsidR="00EF38E8" w:rsidRDefault="00EF38E8" w:rsidP="00EF38E8">
      <w:pPr>
        <w:jc w:val="both"/>
        <w:rPr>
          <w:rFonts w:ascii="Arial" w:hAnsi="Arial" w:cs="Arial"/>
          <w:bCs/>
          <w:iCs/>
          <w:sz w:val="20"/>
          <w:szCs w:val="20"/>
        </w:rPr>
      </w:pPr>
    </w:p>
    <w:p w:rsidR="00EF38E8" w:rsidRPr="00B931A1" w:rsidRDefault="00EF38E8" w:rsidP="00EF38E8">
      <w:pPr>
        <w:jc w:val="both"/>
        <w:rPr>
          <w:rFonts w:ascii="Arial" w:hAnsi="Arial" w:cs="Arial"/>
          <w:bCs/>
          <w:i/>
          <w:iCs/>
          <w:sz w:val="20"/>
          <w:szCs w:val="20"/>
          <w:u w:val="single"/>
        </w:rPr>
      </w:pPr>
      <w:r w:rsidRPr="00B931A1">
        <w:rPr>
          <w:rFonts w:ascii="Arial" w:hAnsi="Arial" w:cs="Arial"/>
          <w:bCs/>
          <w:i/>
          <w:iCs/>
          <w:sz w:val="20"/>
          <w:szCs w:val="20"/>
          <w:u w:val="single"/>
        </w:rPr>
        <w:t>Securities Lending</w:t>
      </w:r>
    </w:p>
    <w:p w:rsidR="00EF38E8" w:rsidRPr="00B931A1" w:rsidRDefault="00EF38E8" w:rsidP="00EF38E8">
      <w:pPr>
        <w:numPr>
          <w:ilvl w:val="0"/>
          <w:numId w:val="126"/>
        </w:numPr>
        <w:jc w:val="both"/>
        <w:rPr>
          <w:rFonts w:ascii="Arial" w:hAnsi="Arial" w:cs="Arial"/>
          <w:bCs/>
          <w:iCs/>
          <w:sz w:val="20"/>
          <w:szCs w:val="20"/>
        </w:rPr>
      </w:pPr>
      <w:r w:rsidRPr="00B931A1">
        <w:rPr>
          <w:rFonts w:ascii="Arial" w:hAnsi="Arial" w:cs="Arial"/>
          <w:bCs/>
          <w:iCs/>
          <w:sz w:val="20"/>
          <w:szCs w:val="20"/>
        </w:rPr>
        <w:t xml:space="preserve">Front, middle and back office processes not segregated </w:t>
      </w:r>
    </w:p>
    <w:p w:rsidR="00EF38E8" w:rsidRPr="00B931A1" w:rsidRDefault="00EF38E8" w:rsidP="00EF38E8">
      <w:pPr>
        <w:numPr>
          <w:ilvl w:val="0"/>
          <w:numId w:val="126"/>
        </w:numPr>
        <w:jc w:val="both"/>
        <w:rPr>
          <w:rFonts w:ascii="Arial" w:hAnsi="Arial" w:cs="Arial"/>
          <w:bCs/>
          <w:iCs/>
          <w:sz w:val="20"/>
          <w:szCs w:val="20"/>
        </w:rPr>
      </w:pPr>
      <w:r w:rsidRPr="00B931A1">
        <w:rPr>
          <w:rFonts w:ascii="Arial" w:hAnsi="Arial" w:cs="Arial"/>
          <w:bCs/>
          <w:iCs/>
          <w:sz w:val="20"/>
          <w:szCs w:val="20"/>
        </w:rPr>
        <w:t>Cash collateral management process is Excel driven and prone to operational risk</w:t>
      </w:r>
    </w:p>
    <w:p w:rsidR="00EF38E8" w:rsidRPr="00B931A1" w:rsidRDefault="00EF38E8" w:rsidP="00EF38E8">
      <w:pPr>
        <w:numPr>
          <w:ilvl w:val="0"/>
          <w:numId w:val="126"/>
        </w:numPr>
        <w:jc w:val="both"/>
        <w:rPr>
          <w:rFonts w:ascii="Arial" w:hAnsi="Arial" w:cs="Arial"/>
          <w:bCs/>
          <w:iCs/>
          <w:sz w:val="20"/>
          <w:szCs w:val="20"/>
        </w:rPr>
      </w:pPr>
      <w:r w:rsidRPr="00B931A1">
        <w:rPr>
          <w:rFonts w:ascii="Arial" w:hAnsi="Arial" w:cs="Arial"/>
          <w:bCs/>
          <w:iCs/>
          <w:sz w:val="20"/>
          <w:szCs w:val="20"/>
        </w:rPr>
        <w:t>Manual trade input process leading to delay and prone to error</w:t>
      </w:r>
    </w:p>
    <w:p w:rsidR="00EF38E8" w:rsidRPr="00B931A1" w:rsidRDefault="00EF38E8" w:rsidP="00EF38E8">
      <w:pPr>
        <w:numPr>
          <w:ilvl w:val="0"/>
          <w:numId w:val="126"/>
        </w:numPr>
        <w:jc w:val="both"/>
        <w:rPr>
          <w:rFonts w:ascii="Arial" w:hAnsi="Arial" w:cs="Arial"/>
          <w:bCs/>
          <w:iCs/>
          <w:sz w:val="20"/>
          <w:szCs w:val="20"/>
        </w:rPr>
      </w:pPr>
      <w:r w:rsidRPr="00B931A1">
        <w:rPr>
          <w:rFonts w:ascii="Arial" w:hAnsi="Arial" w:cs="Arial"/>
          <w:bCs/>
          <w:iCs/>
          <w:sz w:val="20"/>
          <w:szCs w:val="20"/>
        </w:rPr>
        <w:t>Lack of proper alignment of systems / infrastructure with the business processes resulting in possible opportunity loss</w:t>
      </w:r>
    </w:p>
    <w:p w:rsidR="00EF38E8" w:rsidRDefault="00EF38E8" w:rsidP="00EF38E8">
      <w:pPr>
        <w:jc w:val="both"/>
        <w:rPr>
          <w:rFonts w:ascii="Arial" w:hAnsi="Arial" w:cs="Arial"/>
          <w:bCs/>
          <w:iCs/>
          <w:sz w:val="20"/>
          <w:szCs w:val="20"/>
        </w:rPr>
      </w:pPr>
    </w:p>
    <w:p w:rsidR="00EF38E8" w:rsidRPr="00260943" w:rsidRDefault="00EF38E8" w:rsidP="00EF38E8">
      <w:pPr>
        <w:jc w:val="both"/>
        <w:rPr>
          <w:rFonts w:ascii="Arial" w:hAnsi="Arial" w:cs="Arial"/>
          <w:bCs/>
          <w:i/>
          <w:iCs/>
          <w:sz w:val="20"/>
          <w:szCs w:val="20"/>
          <w:u w:val="single"/>
        </w:rPr>
      </w:pPr>
      <w:r w:rsidRPr="00260943">
        <w:rPr>
          <w:rFonts w:ascii="Arial" w:hAnsi="Arial" w:cs="Arial"/>
          <w:bCs/>
          <w:i/>
          <w:iCs/>
          <w:sz w:val="20"/>
          <w:szCs w:val="20"/>
          <w:u w:val="single"/>
        </w:rPr>
        <w:t>Custody</w:t>
      </w:r>
    </w:p>
    <w:p w:rsidR="00EF38E8" w:rsidRPr="00B931A1" w:rsidRDefault="00EF38E8" w:rsidP="00EF38E8">
      <w:pPr>
        <w:numPr>
          <w:ilvl w:val="0"/>
          <w:numId w:val="127"/>
        </w:numPr>
        <w:jc w:val="both"/>
        <w:rPr>
          <w:rFonts w:ascii="Arial" w:hAnsi="Arial" w:cs="Arial"/>
          <w:bCs/>
          <w:iCs/>
          <w:sz w:val="20"/>
          <w:szCs w:val="20"/>
        </w:rPr>
      </w:pPr>
      <w:r w:rsidRPr="00B931A1">
        <w:rPr>
          <w:rFonts w:ascii="Arial" w:hAnsi="Arial" w:cs="Arial"/>
          <w:bCs/>
          <w:iCs/>
          <w:sz w:val="20"/>
          <w:szCs w:val="20"/>
        </w:rPr>
        <w:t>No strategic IT investments made / planned</w:t>
      </w:r>
    </w:p>
    <w:p w:rsidR="00EF38E8" w:rsidRPr="00B931A1" w:rsidRDefault="00EF38E8" w:rsidP="00EF38E8">
      <w:pPr>
        <w:numPr>
          <w:ilvl w:val="0"/>
          <w:numId w:val="127"/>
        </w:numPr>
        <w:jc w:val="both"/>
        <w:rPr>
          <w:rFonts w:ascii="Arial" w:hAnsi="Arial" w:cs="Arial"/>
          <w:bCs/>
          <w:iCs/>
          <w:sz w:val="20"/>
          <w:szCs w:val="20"/>
        </w:rPr>
      </w:pPr>
      <w:r w:rsidRPr="00B931A1">
        <w:rPr>
          <w:rFonts w:ascii="Arial" w:hAnsi="Arial" w:cs="Arial"/>
          <w:bCs/>
          <w:iCs/>
          <w:sz w:val="20"/>
          <w:szCs w:val="20"/>
        </w:rPr>
        <w:t>Critic</w:t>
      </w:r>
      <w:r>
        <w:rPr>
          <w:rFonts w:ascii="Arial" w:hAnsi="Arial" w:cs="Arial"/>
          <w:bCs/>
          <w:iCs/>
          <w:sz w:val="20"/>
          <w:szCs w:val="20"/>
        </w:rPr>
        <w:t>al coding maintenance in the existing Investment Accounting platform</w:t>
      </w:r>
      <w:r w:rsidRPr="00B931A1">
        <w:rPr>
          <w:rFonts w:ascii="Arial" w:hAnsi="Arial" w:cs="Arial"/>
          <w:bCs/>
          <w:iCs/>
          <w:sz w:val="20"/>
          <w:szCs w:val="20"/>
        </w:rPr>
        <w:t xml:space="preserve"> is a highly manual process</w:t>
      </w:r>
    </w:p>
    <w:p w:rsidR="00EF38E8" w:rsidRPr="00B931A1" w:rsidRDefault="00EF38E8" w:rsidP="00EF38E8">
      <w:pPr>
        <w:numPr>
          <w:ilvl w:val="0"/>
          <w:numId w:val="127"/>
        </w:numPr>
        <w:jc w:val="both"/>
        <w:rPr>
          <w:rFonts w:ascii="Arial" w:hAnsi="Arial" w:cs="Arial"/>
          <w:bCs/>
          <w:iCs/>
          <w:sz w:val="20"/>
          <w:szCs w:val="20"/>
        </w:rPr>
      </w:pPr>
      <w:r w:rsidRPr="00B931A1">
        <w:rPr>
          <w:rFonts w:ascii="Arial" w:hAnsi="Arial" w:cs="Arial"/>
          <w:bCs/>
          <w:iCs/>
          <w:sz w:val="20"/>
          <w:szCs w:val="20"/>
        </w:rPr>
        <w:t>Cash movement is manually intensive</w:t>
      </w:r>
    </w:p>
    <w:p w:rsidR="00EF38E8" w:rsidRPr="00B931A1" w:rsidRDefault="00EF38E8" w:rsidP="00EF38E8">
      <w:pPr>
        <w:numPr>
          <w:ilvl w:val="0"/>
          <w:numId w:val="127"/>
        </w:numPr>
        <w:jc w:val="both"/>
        <w:rPr>
          <w:rFonts w:ascii="Arial" w:hAnsi="Arial" w:cs="Arial"/>
          <w:bCs/>
          <w:iCs/>
          <w:sz w:val="20"/>
          <w:szCs w:val="20"/>
        </w:rPr>
      </w:pPr>
      <w:r w:rsidRPr="00B931A1">
        <w:rPr>
          <w:rFonts w:ascii="Arial" w:hAnsi="Arial" w:cs="Arial"/>
          <w:bCs/>
          <w:iCs/>
          <w:sz w:val="20"/>
          <w:szCs w:val="20"/>
        </w:rPr>
        <w:t>Lack of online functionality for Benefit payment processing</w:t>
      </w:r>
    </w:p>
    <w:p w:rsidR="00EF38E8" w:rsidRPr="00B931A1" w:rsidRDefault="00EF38E8" w:rsidP="00EF38E8">
      <w:pPr>
        <w:numPr>
          <w:ilvl w:val="0"/>
          <w:numId w:val="127"/>
        </w:numPr>
        <w:jc w:val="both"/>
        <w:rPr>
          <w:rFonts w:ascii="Arial" w:hAnsi="Arial" w:cs="Arial"/>
          <w:bCs/>
          <w:iCs/>
          <w:sz w:val="20"/>
          <w:szCs w:val="20"/>
        </w:rPr>
      </w:pPr>
      <w:r w:rsidRPr="00B931A1">
        <w:rPr>
          <w:rFonts w:ascii="Arial" w:hAnsi="Arial" w:cs="Arial"/>
          <w:bCs/>
          <w:iCs/>
          <w:sz w:val="20"/>
          <w:szCs w:val="20"/>
        </w:rPr>
        <w:t xml:space="preserve">Client reporting and data access for custodial customers very basic </w:t>
      </w:r>
    </w:p>
    <w:p w:rsidR="00EF38E8" w:rsidRPr="00B931A1" w:rsidRDefault="00EF38E8" w:rsidP="00EF38E8">
      <w:pPr>
        <w:numPr>
          <w:ilvl w:val="0"/>
          <w:numId w:val="127"/>
        </w:numPr>
        <w:jc w:val="both"/>
        <w:rPr>
          <w:rFonts w:ascii="Arial" w:hAnsi="Arial" w:cs="Arial"/>
          <w:bCs/>
          <w:iCs/>
          <w:sz w:val="20"/>
          <w:szCs w:val="20"/>
        </w:rPr>
      </w:pPr>
      <w:r>
        <w:rPr>
          <w:rFonts w:ascii="Arial" w:hAnsi="Arial" w:cs="Arial"/>
          <w:bCs/>
          <w:iCs/>
          <w:sz w:val="20"/>
          <w:szCs w:val="20"/>
        </w:rPr>
        <w:t>Process flows in the t</w:t>
      </w:r>
      <w:r w:rsidRPr="00B931A1">
        <w:rPr>
          <w:rFonts w:ascii="Arial" w:hAnsi="Arial" w:cs="Arial"/>
          <w:bCs/>
          <w:iCs/>
          <w:sz w:val="20"/>
          <w:szCs w:val="20"/>
        </w:rPr>
        <w:t xml:space="preserve">hird </w:t>
      </w:r>
      <w:r>
        <w:rPr>
          <w:rFonts w:ascii="Arial" w:hAnsi="Arial" w:cs="Arial"/>
          <w:bCs/>
          <w:iCs/>
          <w:sz w:val="20"/>
          <w:szCs w:val="20"/>
        </w:rPr>
        <w:t>party global custody area</w:t>
      </w:r>
      <w:r w:rsidRPr="00B931A1">
        <w:rPr>
          <w:rFonts w:ascii="Arial" w:hAnsi="Arial" w:cs="Arial"/>
          <w:bCs/>
          <w:iCs/>
          <w:sz w:val="20"/>
          <w:szCs w:val="20"/>
        </w:rPr>
        <w:t xml:space="preserve"> is manually intensive </w:t>
      </w:r>
    </w:p>
    <w:p w:rsidR="00EF38E8" w:rsidRDefault="00EF38E8" w:rsidP="00EF38E8">
      <w:pPr>
        <w:jc w:val="both"/>
        <w:rPr>
          <w:rFonts w:ascii="Arial" w:hAnsi="Arial" w:cs="Arial"/>
          <w:b/>
          <w:bCs/>
          <w:i/>
          <w:iCs/>
          <w:sz w:val="20"/>
          <w:szCs w:val="20"/>
        </w:rPr>
      </w:pPr>
    </w:p>
    <w:p w:rsidR="00EF38E8" w:rsidRPr="00BA092D" w:rsidRDefault="00EF38E8" w:rsidP="00EF38E8">
      <w:pPr>
        <w:jc w:val="both"/>
        <w:rPr>
          <w:rFonts w:ascii="Arial" w:hAnsi="Arial" w:cs="Arial"/>
          <w:b/>
          <w:bCs/>
          <w:i/>
          <w:iCs/>
          <w:sz w:val="20"/>
          <w:szCs w:val="20"/>
        </w:rPr>
      </w:pPr>
    </w:p>
    <w:p w:rsidR="00EF38E8" w:rsidRDefault="00EF38E8" w:rsidP="00EF38E8">
      <w:pPr>
        <w:jc w:val="both"/>
        <w:rPr>
          <w:rFonts w:ascii="Arial" w:hAnsi="Arial" w:cs="Arial"/>
          <w:b/>
          <w:bCs/>
          <w:i/>
          <w:iCs/>
          <w:sz w:val="20"/>
          <w:szCs w:val="20"/>
        </w:rPr>
      </w:pPr>
    </w:p>
    <w:p w:rsidR="00EF38E8" w:rsidRDefault="00EF38E8" w:rsidP="00EF38E8">
      <w:pPr>
        <w:rPr>
          <w:b/>
          <w:i/>
        </w:rPr>
      </w:pPr>
      <w:r w:rsidRPr="0097509E">
        <w:rPr>
          <w:b/>
          <w:i/>
        </w:rPr>
        <w:t xml:space="preserve">Proposed End-State Architecture </w:t>
      </w:r>
    </w:p>
    <w:p w:rsidR="00EF38E8" w:rsidRDefault="00EF38E8" w:rsidP="00EF38E8">
      <w:pPr>
        <w:rPr>
          <w:b/>
          <w:i/>
        </w:rPr>
      </w:pPr>
    </w:p>
    <w:p w:rsidR="00EF38E8" w:rsidRDefault="00EF38E8" w:rsidP="00EF38E8">
      <w:pPr>
        <w:jc w:val="both"/>
        <w:rPr>
          <w:rFonts w:ascii="Arial" w:hAnsi="Arial" w:cs="Arial"/>
          <w:bCs/>
          <w:sz w:val="20"/>
          <w:szCs w:val="20"/>
        </w:rPr>
      </w:pPr>
      <w:r>
        <w:rPr>
          <w:rFonts w:ascii="Arial" w:hAnsi="Arial" w:cs="Arial"/>
          <w:bCs/>
          <w:sz w:val="20"/>
          <w:szCs w:val="20"/>
        </w:rPr>
        <w:t>The major building blocks of the Proposed End-State technology architecture, based on the hub and spoke model, are described below.</w:t>
      </w:r>
    </w:p>
    <w:p w:rsidR="00EF38E8" w:rsidRDefault="00EF38E8" w:rsidP="00EF38E8">
      <w:pPr>
        <w:jc w:val="both"/>
        <w:rPr>
          <w:rFonts w:ascii="Arial" w:hAnsi="Arial" w:cs="Arial"/>
          <w:bCs/>
          <w:sz w:val="20"/>
          <w:szCs w:val="20"/>
        </w:rPr>
      </w:pPr>
    </w:p>
    <w:p w:rsidR="00EF38E8" w:rsidRDefault="00EF38E8" w:rsidP="00EF38E8">
      <w:pPr>
        <w:jc w:val="both"/>
        <w:rPr>
          <w:rFonts w:ascii="Arial" w:hAnsi="Arial" w:cs="Arial"/>
          <w:bCs/>
          <w:sz w:val="20"/>
          <w:szCs w:val="20"/>
        </w:rPr>
      </w:pPr>
    </w:p>
    <w:tbl>
      <w:tblPr>
        <w:tblpPr w:leftFromText="180" w:rightFromText="180" w:vertAnchor="text" w:horzAnchor="margin" w:tblpY="-35"/>
        <w:tblW w:w="9167" w:type="dxa"/>
        <w:tblCellMar>
          <w:left w:w="0" w:type="dxa"/>
          <w:right w:w="0" w:type="dxa"/>
        </w:tblCellMar>
        <w:tblLook w:val="04A0"/>
      </w:tblPr>
      <w:tblGrid>
        <w:gridCol w:w="3639"/>
        <w:gridCol w:w="5528"/>
      </w:tblGrid>
      <w:tr w:rsidR="00EF38E8" w:rsidRPr="003652CF" w:rsidTr="006A2CF9">
        <w:trPr>
          <w:trHeight w:val="536"/>
        </w:trPr>
        <w:tc>
          <w:tcPr>
            <w:tcW w:w="3639" w:type="dxa"/>
            <w:tcBorders>
              <w:top w:val="single" w:sz="8" w:space="0" w:color="000000"/>
              <w:left w:val="single" w:sz="8" w:space="0" w:color="000000"/>
              <w:bottom w:val="single" w:sz="8" w:space="0" w:color="000000"/>
              <w:right w:val="single" w:sz="8" w:space="0" w:color="000000"/>
            </w:tcBorders>
            <w:shd w:val="clear" w:color="auto" w:fill="808080"/>
            <w:tcMar>
              <w:top w:w="72" w:type="dxa"/>
              <w:left w:w="144" w:type="dxa"/>
              <w:bottom w:w="72" w:type="dxa"/>
              <w:right w:w="144" w:type="dxa"/>
            </w:tcMar>
          </w:tcPr>
          <w:p w:rsidR="00EF38E8" w:rsidRPr="003652CF" w:rsidRDefault="00EF38E8" w:rsidP="006A2CF9">
            <w:pPr>
              <w:jc w:val="both"/>
              <w:rPr>
                <w:rFonts w:ascii="Arial" w:hAnsi="Arial" w:cs="Arial"/>
                <w:sz w:val="20"/>
                <w:szCs w:val="20"/>
              </w:rPr>
            </w:pPr>
            <w:r w:rsidRPr="003652CF">
              <w:rPr>
                <w:rFonts w:ascii="Arial" w:hAnsi="Arial" w:cs="Arial"/>
                <w:b/>
                <w:bCs/>
                <w:sz w:val="20"/>
                <w:szCs w:val="20"/>
              </w:rPr>
              <w:t>Building Blocks</w:t>
            </w:r>
          </w:p>
        </w:tc>
        <w:tc>
          <w:tcPr>
            <w:tcW w:w="5528" w:type="dxa"/>
            <w:tcBorders>
              <w:top w:val="single" w:sz="8" w:space="0" w:color="000000"/>
              <w:left w:val="single" w:sz="8" w:space="0" w:color="000000"/>
              <w:bottom w:val="single" w:sz="8" w:space="0" w:color="000000"/>
              <w:right w:val="single" w:sz="8" w:space="0" w:color="000000"/>
            </w:tcBorders>
            <w:shd w:val="clear" w:color="auto" w:fill="808080"/>
            <w:tcMar>
              <w:top w:w="72" w:type="dxa"/>
              <w:left w:w="144" w:type="dxa"/>
              <w:bottom w:w="72" w:type="dxa"/>
              <w:right w:w="144" w:type="dxa"/>
            </w:tcMar>
          </w:tcPr>
          <w:p w:rsidR="00EF38E8" w:rsidRPr="003652CF" w:rsidRDefault="00EF38E8" w:rsidP="006A2CF9">
            <w:pPr>
              <w:jc w:val="both"/>
              <w:rPr>
                <w:rFonts w:ascii="Arial" w:hAnsi="Arial" w:cs="Arial"/>
                <w:sz w:val="20"/>
                <w:szCs w:val="20"/>
              </w:rPr>
            </w:pPr>
            <w:r w:rsidRPr="003652CF">
              <w:rPr>
                <w:rFonts w:ascii="Arial" w:hAnsi="Arial" w:cs="Arial"/>
                <w:b/>
                <w:bCs/>
                <w:sz w:val="20"/>
                <w:szCs w:val="20"/>
              </w:rPr>
              <w:t>Function</w:t>
            </w:r>
          </w:p>
        </w:tc>
      </w:tr>
      <w:tr w:rsidR="00EF38E8" w:rsidRPr="003652CF" w:rsidTr="006A2CF9">
        <w:trPr>
          <w:trHeight w:val="1080"/>
        </w:trPr>
        <w:tc>
          <w:tcPr>
            <w:tcW w:w="36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6A2CF9">
            <w:pPr>
              <w:jc w:val="both"/>
              <w:rPr>
                <w:rFonts w:ascii="Arial" w:hAnsi="Arial" w:cs="Arial"/>
                <w:sz w:val="20"/>
                <w:szCs w:val="20"/>
              </w:rPr>
            </w:pPr>
            <w:r w:rsidRPr="003652CF">
              <w:rPr>
                <w:rFonts w:ascii="Arial" w:hAnsi="Arial" w:cs="Arial"/>
                <w:sz w:val="20"/>
                <w:szCs w:val="20"/>
              </w:rPr>
              <w:t xml:space="preserve">Investment Accounting </w:t>
            </w:r>
          </w:p>
        </w:tc>
        <w:tc>
          <w:tcPr>
            <w:tcW w:w="55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EF38E8">
            <w:pPr>
              <w:numPr>
                <w:ilvl w:val="0"/>
                <w:numId w:val="128"/>
              </w:numPr>
              <w:jc w:val="both"/>
              <w:rPr>
                <w:rFonts w:ascii="Arial" w:hAnsi="Arial" w:cs="Arial"/>
                <w:sz w:val="20"/>
                <w:szCs w:val="20"/>
              </w:rPr>
            </w:pPr>
            <w:r w:rsidRPr="003652CF">
              <w:rPr>
                <w:rFonts w:ascii="Arial" w:hAnsi="Arial" w:cs="Arial"/>
                <w:sz w:val="20"/>
                <w:szCs w:val="20"/>
              </w:rPr>
              <w:t>Investment Accounting system for IM</w:t>
            </w:r>
          </w:p>
          <w:p w:rsidR="00EF38E8" w:rsidRPr="003652CF" w:rsidRDefault="00EF38E8" w:rsidP="00EF38E8">
            <w:pPr>
              <w:numPr>
                <w:ilvl w:val="0"/>
                <w:numId w:val="128"/>
              </w:numPr>
              <w:jc w:val="both"/>
              <w:rPr>
                <w:rFonts w:ascii="Arial" w:hAnsi="Arial" w:cs="Arial"/>
                <w:sz w:val="20"/>
                <w:szCs w:val="20"/>
              </w:rPr>
            </w:pPr>
            <w:r w:rsidRPr="003652CF">
              <w:rPr>
                <w:rFonts w:ascii="Arial" w:hAnsi="Arial" w:cs="Arial"/>
                <w:sz w:val="20"/>
                <w:szCs w:val="20"/>
              </w:rPr>
              <w:t>Support for Domestic and International Equities, Fixed Income, CDS, TBAs and Derivatives</w:t>
            </w:r>
          </w:p>
          <w:p w:rsidR="00EF38E8" w:rsidRPr="003652CF" w:rsidRDefault="00EF38E8" w:rsidP="00EF38E8">
            <w:pPr>
              <w:numPr>
                <w:ilvl w:val="0"/>
                <w:numId w:val="128"/>
              </w:numPr>
              <w:jc w:val="both"/>
              <w:rPr>
                <w:rFonts w:ascii="Arial" w:hAnsi="Arial" w:cs="Arial"/>
                <w:sz w:val="20"/>
                <w:szCs w:val="20"/>
              </w:rPr>
            </w:pPr>
            <w:r w:rsidRPr="003652CF">
              <w:rPr>
                <w:rFonts w:ascii="Arial" w:hAnsi="Arial" w:cs="Arial"/>
                <w:sz w:val="20"/>
                <w:szCs w:val="20"/>
              </w:rPr>
              <w:t>Functions include Accounting, Position &amp; Portfolio Maintenance, Valuations, NAV calculation and Production of internal reports</w:t>
            </w:r>
          </w:p>
        </w:tc>
      </w:tr>
      <w:tr w:rsidR="00EF38E8" w:rsidRPr="003652CF" w:rsidTr="006A2CF9">
        <w:trPr>
          <w:trHeight w:val="889"/>
        </w:trPr>
        <w:tc>
          <w:tcPr>
            <w:tcW w:w="36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6A2CF9">
            <w:pPr>
              <w:jc w:val="both"/>
              <w:rPr>
                <w:rFonts w:ascii="Arial" w:hAnsi="Arial" w:cs="Arial"/>
                <w:sz w:val="20"/>
                <w:szCs w:val="20"/>
              </w:rPr>
            </w:pPr>
            <w:r w:rsidRPr="003652CF">
              <w:rPr>
                <w:rFonts w:ascii="Arial" w:hAnsi="Arial" w:cs="Arial"/>
                <w:sz w:val="20"/>
                <w:szCs w:val="20"/>
              </w:rPr>
              <w:t xml:space="preserve">Account Reference Master (ARM) </w:t>
            </w:r>
          </w:p>
        </w:tc>
        <w:tc>
          <w:tcPr>
            <w:tcW w:w="55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EF38E8">
            <w:pPr>
              <w:numPr>
                <w:ilvl w:val="0"/>
                <w:numId w:val="129"/>
              </w:numPr>
              <w:jc w:val="both"/>
              <w:rPr>
                <w:rFonts w:ascii="Arial" w:hAnsi="Arial" w:cs="Arial"/>
                <w:sz w:val="20"/>
                <w:szCs w:val="20"/>
              </w:rPr>
            </w:pPr>
            <w:r w:rsidRPr="003652CF">
              <w:rPr>
                <w:rFonts w:ascii="Arial" w:hAnsi="Arial" w:cs="Arial"/>
                <w:sz w:val="20"/>
                <w:szCs w:val="20"/>
              </w:rPr>
              <w:t>Contains Customers, Account and Product data and relationship between the same</w:t>
            </w:r>
          </w:p>
          <w:p w:rsidR="00EF38E8" w:rsidRPr="003652CF" w:rsidRDefault="00EF38E8" w:rsidP="00EF38E8">
            <w:pPr>
              <w:numPr>
                <w:ilvl w:val="0"/>
                <w:numId w:val="129"/>
              </w:numPr>
              <w:jc w:val="both"/>
              <w:rPr>
                <w:rFonts w:ascii="Arial" w:hAnsi="Arial" w:cs="Arial"/>
                <w:sz w:val="20"/>
                <w:szCs w:val="20"/>
              </w:rPr>
            </w:pPr>
            <w:r w:rsidRPr="003652CF">
              <w:rPr>
                <w:rFonts w:ascii="Arial" w:hAnsi="Arial" w:cs="Arial"/>
                <w:sz w:val="20"/>
                <w:szCs w:val="20"/>
              </w:rPr>
              <w:t>Serve as a golden copy of customer data that will feed all other applications</w:t>
            </w:r>
          </w:p>
          <w:p w:rsidR="00EF38E8" w:rsidRPr="003652CF" w:rsidRDefault="00EF38E8" w:rsidP="00EF38E8">
            <w:pPr>
              <w:numPr>
                <w:ilvl w:val="0"/>
                <w:numId w:val="129"/>
              </w:numPr>
              <w:jc w:val="both"/>
              <w:rPr>
                <w:rFonts w:ascii="Arial" w:hAnsi="Arial" w:cs="Arial"/>
                <w:sz w:val="20"/>
                <w:szCs w:val="20"/>
              </w:rPr>
            </w:pPr>
            <w:r w:rsidRPr="003652CF">
              <w:rPr>
                <w:rFonts w:ascii="Arial" w:hAnsi="Arial" w:cs="Arial"/>
                <w:sz w:val="20"/>
                <w:szCs w:val="20"/>
              </w:rPr>
              <w:t xml:space="preserve">Golden copy will feed in to </w:t>
            </w:r>
            <w:smartTag w:uri="urn:schemas-microsoft-com:office:smarttags" w:element="City">
              <w:smartTag w:uri="urn:schemas-microsoft-com:office:smarttags" w:element="place">
                <w:r w:rsidRPr="003652CF">
                  <w:rPr>
                    <w:rFonts w:ascii="Arial" w:hAnsi="Arial" w:cs="Arial"/>
                    <w:sz w:val="20"/>
                    <w:szCs w:val="20"/>
                  </w:rPr>
                  <w:t>Enterprise</w:t>
                </w:r>
              </w:smartTag>
            </w:smartTag>
            <w:r w:rsidRPr="003652CF">
              <w:rPr>
                <w:rFonts w:ascii="Arial" w:hAnsi="Arial" w:cs="Arial"/>
                <w:sz w:val="20"/>
                <w:szCs w:val="20"/>
              </w:rPr>
              <w:t xml:space="preserve"> data environment</w:t>
            </w:r>
          </w:p>
        </w:tc>
      </w:tr>
      <w:tr w:rsidR="00EF38E8" w:rsidRPr="003652CF" w:rsidTr="006A2CF9">
        <w:trPr>
          <w:trHeight w:val="836"/>
        </w:trPr>
        <w:tc>
          <w:tcPr>
            <w:tcW w:w="36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6A2CF9">
            <w:pPr>
              <w:jc w:val="both"/>
              <w:rPr>
                <w:rFonts w:ascii="Arial" w:hAnsi="Arial" w:cs="Arial"/>
                <w:sz w:val="20"/>
                <w:szCs w:val="20"/>
              </w:rPr>
            </w:pPr>
            <w:r w:rsidRPr="003652CF">
              <w:rPr>
                <w:rFonts w:ascii="Arial" w:hAnsi="Arial" w:cs="Arial"/>
                <w:sz w:val="20"/>
                <w:szCs w:val="20"/>
              </w:rPr>
              <w:lastRenderedPageBreak/>
              <w:t xml:space="preserve">Security Reference Master (SRM) </w:t>
            </w:r>
          </w:p>
        </w:tc>
        <w:tc>
          <w:tcPr>
            <w:tcW w:w="55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EF38E8">
            <w:pPr>
              <w:numPr>
                <w:ilvl w:val="0"/>
                <w:numId w:val="130"/>
              </w:numPr>
              <w:jc w:val="both"/>
              <w:rPr>
                <w:rFonts w:ascii="Arial" w:hAnsi="Arial" w:cs="Arial"/>
                <w:sz w:val="20"/>
                <w:szCs w:val="20"/>
              </w:rPr>
            </w:pPr>
            <w:r w:rsidRPr="003652CF">
              <w:rPr>
                <w:rFonts w:ascii="Arial" w:hAnsi="Arial" w:cs="Arial"/>
                <w:sz w:val="20"/>
                <w:szCs w:val="20"/>
              </w:rPr>
              <w:t>Contains Securities and Pricing data</w:t>
            </w:r>
          </w:p>
          <w:p w:rsidR="00EF38E8" w:rsidRPr="003652CF" w:rsidRDefault="00EF38E8" w:rsidP="00EF38E8">
            <w:pPr>
              <w:numPr>
                <w:ilvl w:val="0"/>
                <w:numId w:val="130"/>
              </w:numPr>
              <w:jc w:val="both"/>
              <w:rPr>
                <w:rFonts w:ascii="Arial" w:hAnsi="Arial" w:cs="Arial"/>
                <w:sz w:val="20"/>
                <w:szCs w:val="20"/>
              </w:rPr>
            </w:pPr>
            <w:r w:rsidRPr="003652CF">
              <w:rPr>
                <w:rFonts w:ascii="Arial" w:hAnsi="Arial" w:cs="Arial"/>
                <w:sz w:val="20"/>
                <w:szCs w:val="20"/>
              </w:rPr>
              <w:t>Will be the golden copy of security related information that will feed all other applications</w:t>
            </w:r>
          </w:p>
          <w:p w:rsidR="00EF38E8" w:rsidRPr="003652CF" w:rsidRDefault="00EF38E8" w:rsidP="00EF38E8">
            <w:pPr>
              <w:numPr>
                <w:ilvl w:val="0"/>
                <w:numId w:val="130"/>
              </w:numPr>
              <w:jc w:val="both"/>
              <w:rPr>
                <w:rFonts w:ascii="Arial" w:hAnsi="Arial" w:cs="Arial"/>
                <w:sz w:val="20"/>
                <w:szCs w:val="20"/>
              </w:rPr>
            </w:pPr>
            <w:r w:rsidRPr="003652CF">
              <w:rPr>
                <w:rFonts w:ascii="Arial" w:hAnsi="Arial" w:cs="Arial"/>
                <w:sz w:val="20"/>
                <w:szCs w:val="20"/>
              </w:rPr>
              <w:t>Price data validations engine</w:t>
            </w:r>
          </w:p>
        </w:tc>
      </w:tr>
      <w:tr w:rsidR="00EF38E8" w:rsidRPr="003652CF" w:rsidTr="006A2CF9">
        <w:trPr>
          <w:trHeight w:val="1075"/>
        </w:trPr>
        <w:tc>
          <w:tcPr>
            <w:tcW w:w="36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6A2CF9">
            <w:pPr>
              <w:jc w:val="both"/>
              <w:rPr>
                <w:rFonts w:ascii="Arial" w:hAnsi="Arial" w:cs="Arial"/>
                <w:sz w:val="20"/>
                <w:szCs w:val="20"/>
              </w:rPr>
            </w:pPr>
            <w:r w:rsidRPr="003652CF">
              <w:rPr>
                <w:rFonts w:ascii="Arial" w:hAnsi="Arial" w:cs="Arial"/>
                <w:sz w:val="20"/>
                <w:szCs w:val="20"/>
              </w:rPr>
              <w:t>Operational Data Store (ODS)</w:t>
            </w:r>
          </w:p>
        </w:tc>
        <w:tc>
          <w:tcPr>
            <w:tcW w:w="55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EF38E8">
            <w:pPr>
              <w:numPr>
                <w:ilvl w:val="0"/>
                <w:numId w:val="131"/>
              </w:numPr>
              <w:jc w:val="both"/>
              <w:rPr>
                <w:rFonts w:ascii="Arial" w:hAnsi="Arial" w:cs="Arial"/>
                <w:sz w:val="20"/>
                <w:szCs w:val="20"/>
              </w:rPr>
            </w:pPr>
            <w:r w:rsidRPr="003652CF">
              <w:rPr>
                <w:rFonts w:ascii="Arial" w:hAnsi="Arial" w:cs="Arial"/>
                <w:sz w:val="20"/>
                <w:szCs w:val="20"/>
              </w:rPr>
              <w:t>Contains Transaction, Holdings and Performance Returns</w:t>
            </w:r>
          </w:p>
          <w:p w:rsidR="00EF38E8" w:rsidRPr="003652CF" w:rsidRDefault="00EF38E8" w:rsidP="00EF38E8">
            <w:pPr>
              <w:numPr>
                <w:ilvl w:val="0"/>
                <w:numId w:val="131"/>
              </w:numPr>
              <w:jc w:val="both"/>
              <w:rPr>
                <w:rFonts w:ascii="Arial" w:hAnsi="Arial" w:cs="Arial"/>
                <w:sz w:val="20"/>
                <w:szCs w:val="20"/>
              </w:rPr>
            </w:pPr>
            <w:r w:rsidRPr="003652CF">
              <w:rPr>
                <w:rFonts w:ascii="Arial" w:hAnsi="Arial" w:cs="Arial"/>
                <w:sz w:val="20"/>
                <w:szCs w:val="20"/>
              </w:rPr>
              <w:t>Helps manage the customer base, profitability and sales commissions based on the total value of relationship specifically at that product line level</w:t>
            </w:r>
          </w:p>
          <w:p w:rsidR="00EF38E8" w:rsidRPr="003652CF" w:rsidRDefault="00EF38E8" w:rsidP="00EF38E8">
            <w:pPr>
              <w:numPr>
                <w:ilvl w:val="0"/>
                <w:numId w:val="131"/>
              </w:numPr>
              <w:jc w:val="both"/>
              <w:rPr>
                <w:rFonts w:ascii="Arial" w:hAnsi="Arial" w:cs="Arial"/>
                <w:sz w:val="20"/>
                <w:szCs w:val="20"/>
              </w:rPr>
            </w:pPr>
            <w:r w:rsidRPr="003652CF">
              <w:rPr>
                <w:rFonts w:ascii="Arial" w:hAnsi="Arial" w:cs="Arial"/>
                <w:sz w:val="20"/>
                <w:szCs w:val="20"/>
              </w:rPr>
              <w:t xml:space="preserve">Data source for Billing, Client Reporting and Data Warehousing </w:t>
            </w:r>
          </w:p>
        </w:tc>
      </w:tr>
      <w:tr w:rsidR="00EF38E8" w:rsidRPr="003652CF" w:rsidTr="006A2CF9">
        <w:trPr>
          <w:trHeight w:val="1134"/>
        </w:trPr>
        <w:tc>
          <w:tcPr>
            <w:tcW w:w="363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6A2CF9">
            <w:pPr>
              <w:jc w:val="both"/>
              <w:rPr>
                <w:rFonts w:ascii="Arial" w:hAnsi="Arial" w:cs="Arial"/>
                <w:sz w:val="20"/>
                <w:szCs w:val="20"/>
              </w:rPr>
            </w:pPr>
            <w:r w:rsidRPr="003652CF">
              <w:rPr>
                <w:rFonts w:ascii="Arial" w:hAnsi="Arial" w:cs="Arial"/>
                <w:sz w:val="20"/>
                <w:szCs w:val="20"/>
              </w:rPr>
              <w:t>Communication Hub</w:t>
            </w:r>
          </w:p>
        </w:tc>
        <w:tc>
          <w:tcPr>
            <w:tcW w:w="552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rsidR="00EF38E8" w:rsidRPr="003652CF" w:rsidRDefault="00EF38E8" w:rsidP="00EF38E8">
            <w:pPr>
              <w:numPr>
                <w:ilvl w:val="0"/>
                <w:numId w:val="132"/>
              </w:numPr>
              <w:jc w:val="both"/>
              <w:rPr>
                <w:rFonts w:ascii="Arial" w:hAnsi="Arial" w:cs="Arial"/>
                <w:sz w:val="20"/>
                <w:szCs w:val="20"/>
              </w:rPr>
            </w:pPr>
            <w:r w:rsidRPr="003652CF">
              <w:rPr>
                <w:rFonts w:ascii="Arial" w:hAnsi="Arial" w:cs="Arial"/>
                <w:sz w:val="20"/>
                <w:szCs w:val="20"/>
              </w:rPr>
              <w:t xml:space="preserve">New system to be built using in-house product stack </w:t>
            </w:r>
          </w:p>
          <w:p w:rsidR="00EF38E8" w:rsidRPr="003652CF" w:rsidRDefault="00EF38E8" w:rsidP="00EF38E8">
            <w:pPr>
              <w:numPr>
                <w:ilvl w:val="0"/>
                <w:numId w:val="132"/>
              </w:numPr>
              <w:jc w:val="both"/>
              <w:rPr>
                <w:rFonts w:ascii="Arial" w:hAnsi="Arial" w:cs="Arial"/>
                <w:sz w:val="20"/>
                <w:szCs w:val="20"/>
              </w:rPr>
            </w:pPr>
            <w:r w:rsidRPr="003652CF">
              <w:rPr>
                <w:rFonts w:ascii="Arial" w:hAnsi="Arial" w:cs="Arial"/>
                <w:sz w:val="20"/>
                <w:szCs w:val="20"/>
              </w:rPr>
              <w:t>Will support real-time reconciliation</w:t>
            </w:r>
          </w:p>
          <w:p w:rsidR="00EF38E8" w:rsidRPr="003652CF" w:rsidRDefault="00EF38E8" w:rsidP="00EF38E8">
            <w:pPr>
              <w:numPr>
                <w:ilvl w:val="0"/>
                <w:numId w:val="132"/>
              </w:numPr>
              <w:jc w:val="both"/>
              <w:rPr>
                <w:rFonts w:ascii="Arial" w:hAnsi="Arial" w:cs="Arial"/>
                <w:sz w:val="20"/>
                <w:szCs w:val="20"/>
              </w:rPr>
            </w:pPr>
            <w:r w:rsidRPr="003652CF">
              <w:rPr>
                <w:rFonts w:ascii="Arial" w:hAnsi="Arial" w:cs="Arial"/>
                <w:sz w:val="20"/>
                <w:szCs w:val="20"/>
              </w:rPr>
              <w:t xml:space="preserve">Supports Rule-based Data Transformation, Rule-based Data Routing, Data Enrichment, Exception Management &amp; Reporting, Real-time &amp; Batch Interfaces, FIX &amp; SWIFT Adapters </w:t>
            </w:r>
          </w:p>
        </w:tc>
      </w:tr>
    </w:tbl>
    <w:p w:rsidR="00EF38E8" w:rsidRPr="003652CF" w:rsidRDefault="00EF38E8" w:rsidP="00EF38E8">
      <w:pPr>
        <w:jc w:val="both"/>
        <w:rPr>
          <w:rFonts w:ascii="Arial" w:hAnsi="Arial" w:cs="Arial"/>
          <w:bCs/>
          <w:i/>
          <w:sz w:val="20"/>
          <w:szCs w:val="20"/>
        </w:rPr>
      </w:pPr>
      <w:r>
        <w:rPr>
          <w:rFonts w:ascii="Arial" w:hAnsi="Arial" w:cs="Arial"/>
          <w:bCs/>
          <w:i/>
          <w:sz w:val="20"/>
          <w:szCs w:val="20"/>
        </w:rPr>
        <w:t>Note: The ARM, SRM and ODS together forms the Data Management piece.</w:t>
      </w:r>
    </w:p>
    <w:p w:rsidR="00EF38E8" w:rsidRDefault="00EF38E8" w:rsidP="00EF38E8">
      <w:pPr>
        <w:rPr>
          <w:rFonts w:ascii="Arial" w:hAnsi="Arial" w:cs="Arial"/>
          <w:b/>
          <w:bCs/>
          <w:i/>
          <w:iCs/>
          <w:sz w:val="20"/>
          <w:szCs w:val="20"/>
        </w:rPr>
      </w:pPr>
    </w:p>
    <w:p w:rsidR="00EF38E8" w:rsidRDefault="00EF38E8" w:rsidP="00EF38E8">
      <w:pPr>
        <w:rPr>
          <w:rFonts w:ascii="Arial" w:hAnsi="Arial" w:cs="Arial"/>
          <w:b/>
          <w:bCs/>
          <w:i/>
          <w:iCs/>
          <w:sz w:val="20"/>
          <w:szCs w:val="20"/>
        </w:rPr>
      </w:pPr>
    </w:p>
    <w:p w:rsidR="00EF38E8" w:rsidRDefault="00EF38E8" w:rsidP="00EF38E8">
      <w:pPr>
        <w:rPr>
          <w:rFonts w:ascii="Arial" w:hAnsi="Arial" w:cs="Arial"/>
          <w:bCs/>
          <w:iCs/>
          <w:sz w:val="20"/>
          <w:szCs w:val="20"/>
        </w:rPr>
      </w:pPr>
      <w:r>
        <w:rPr>
          <w:rFonts w:ascii="Arial" w:hAnsi="Arial" w:cs="Arial"/>
          <w:bCs/>
          <w:iCs/>
          <w:sz w:val="20"/>
          <w:szCs w:val="20"/>
        </w:rPr>
        <w:t xml:space="preserve">The Target Functional and Systems views are as follows: </w:t>
      </w:r>
    </w:p>
    <w:p w:rsidR="00EF38E8" w:rsidRDefault="00EF38E8" w:rsidP="00EF38E8">
      <w:pPr>
        <w:rPr>
          <w:rFonts w:ascii="Arial" w:hAnsi="Arial" w:cs="Arial"/>
          <w:bCs/>
          <w:i/>
          <w:iCs/>
          <w:sz w:val="20"/>
          <w:szCs w:val="20"/>
          <w:u w:val="single"/>
        </w:rPr>
      </w:pPr>
    </w:p>
    <w:p w:rsidR="00EF38E8" w:rsidRDefault="00EF38E8" w:rsidP="00EF38E8">
      <w:pPr>
        <w:rPr>
          <w:rFonts w:ascii="Arial" w:hAnsi="Arial" w:cs="Arial"/>
          <w:bCs/>
          <w:i/>
          <w:iCs/>
          <w:sz w:val="20"/>
          <w:szCs w:val="20"/>
          <w:u w:val="single"/>
        </w:rPr>
      </w:pPr>
      <w:r>
        <w:rPr>
          <w:rFonts w:ascii="Arial" w:hAnsi="Arial" w:cs="Arial"/>
          <w:bCs/>
          <w:i/>
          <w:iCs/>
          <w:sz w:val="20"/>
          <w:szCs w:val="20"/>
          <w:u w:val="single"/>
        </w:rPr>
        <w:t>Target Functional View</w:t>
      </w:r>
    </w:p>
    <w:p w:rsidR="00EF38E8" w:rsidRPr="00C61641" w:rsidRDefault="008011A0" w:rsidP="00EF38E8">
      <w:pPr>
        <w:jc w:val="center"/>
        <w:rPr>
          <w:rFonts w:ascii="Arial" w:hAnsi="Arial" w:cs="Arial"/>
          <w:bCs/>
          <w:i/>
          <w:iCs/>
          <w:sz w:val="20"/>
          <w:szCs w:val="20"/>
        </w:rPr>
      </w:pPr>
      <w:r>
        <w:rPr>
          <w:rFonts w:ascii="Arial" w:hAnsi="Arial" w:cs="Arial"/>
          <w:bCs/>
          <w:i/>
          <w:iCs/>
          <w:noProof/>
          <w:sz w:val="20"/>
          <w:szCs w:val="20"/>
        </w:rPr>
        <w:drawing>
          <wp:inline distT="0" distB="0" distL="0" distR="0">
            <wp:extent cx="5581650" cy="3543300"/>
            <wp:effectExtent l="19050" t="0" r="0" b="0"/>
            <wp:docPr id="26" name="Picture 8" descr="Proces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cess View"/>
                    <pic:cNvPicPr>
                      <a:picLocks noChangeAspect="1" noChangeArrowheads="1"/>
                    </pic:cNvPicPr>
                  </pic:nvPicPr>
                  <pic:blipFill>
                    <a:blip r:embed="rId126" cstate="print"/>
                    <a:srcRect/>
                    <a:stretch>
                      <a:fillRect/>
                    </a:stretch>
                  </pic:blipFill>
                  <pic:spPr bwMode="auto">
                    <a:xfrm>
                      <a:off x="0" y="0"/>
                      <a:ext cx="5581650" cy="3543300"/>
                    </a:xfrm>
                    <a:prstGeom prst="rect">
                      <a:avLst/>
                    </a:prstGeom>
                    <a:noFill/>
                    <a:ln w="9525">
                      <a:noFill/>
                      <a:miter lim="800000"/>
                      <a:headEnd/>
                      <a:tailEnd/>
                    </a:ln>
                  </pic:spPr>
                </pic:pic>
              </a:graphicData>
            </a:graphic>
          </wp:inline>
        </w:drawing>
      </w:r>
    </w:p>
    <w:p w:rsidR="00EF38E8" w:rsidRDefault="00EF38E8" w:rsidP="00EF38E8">
      <w:pPr>
        <w:rPr>
          <w:rFonts w:ascii="Arial" w:hAnsi="Arial" w:cs="Arial"/>
          <w:bCs/>
          <w:i/>
          <w:iCs/>
          <w:sz w:val="20"/>
          <w:szCs w:val="20"/>
          <w:u w:val="single"/>
        </w:rPr>
      </w:pPr>
    </w:p>
    <w:p w:rsidR="00EF38E8" w:rsidRPr="00A37573" w:rsidRDefault="00EF38E8" w:rsidP="00EF38E8">
      <w:pPr>
        <w:rPr>
          <w:rFonts w:ascii="Arial" w:hAnsi="Arial" w:cs="Arial"/>
          <w:bCs/>
          <w:i/>
          <w:iCs/>
          <w:sz w:val="20"/>
          <w:szCs w:val="20"/>
          <w:u w:val="single"/>
        </w:rPr>
      </w:pPr>
      <w:r>
        <w:rPr>
          <w:rFonts w:ascii="Arial" w:hAnsi="Arial" w:cs="Arial"/>
          <w:bCs/>
          <w:i/>
          <w:iCs/>
          <w:sz w:val="20"/>
          <w:szCs w:val="20"/>
          <w:u w:val="single"/>
        </w:rPr>
        <w:t>Target System view</w:t>
      </w:r>
    </w:p>
    <w:p w:rsidR="00EF38E8" w:rsidRDefault="00EF38E8" w:rsidP="00EF38E8">
      <w:pPr>
        <w:rPr>
          <w:rFonts w:ascii="Arial" w:hAnsi="Arial" w:cs="Arial"/>
          <w:b/>
          <w:bCs/>
          <w:i/>
          <w:iCs/>
          <w:sz w:val="20"/>
          <w:szCs w:val="20"/>
        </w:rPr>
      </w:pPr>
    </w:p>
    <w:p w:rsidR="00EF38E8" w:rsidRPr="00C61641" w:rsidRDefault="00EF38E8" w:rsidP="00EF38E8">
      <w:pPr>
        <w:rPr>
          <w:b/>
          <w:u w:val="single"/>
        </w:rPr>
      </w:pPr>
      <w:r>
        <w:object w:dxaOrig="22575" w:dyaOrig="19424">
          <v:shape id="_x0000_i1040" type="#_x0000_t75" style="width:431.15pt;height:307.7pt" o:ole="">
            <v:imagedata r:id="rId127" o:title=""/>
          </v:shape>
          <o:OLEObject Type="Embed" ProgID="Visio.Drawing.11" ShapeID="_x0000_i1040" DrawAspect="Content" ObjectID="_1324125803" r:id="rId128"/>
        </w:object>
      </w:r>
    </w:p>
    <w:p w:rsidR="00EF38E8" w:rsidRDefault="00EF38E8" w:rsidP="00EF38E8">
      <w:pPr>
        <w:rPr>
          <w:rFonts w:ascii="Arial" w:hAnsi="Arial" w:cs="Arial"/>
          <w:b/>
          <w:i/>
          <w:sz w:val="20"/>
          <w:szCs w:val="20"/>
        </w:rPr>
      </w:pPr>
    </w:p>
    <w:p w:rsidR="00EF38E8" w:rsidRDefault="00EF38E8" w:rsidP="00EF38E8">
      <w:pPr>
        <w:rPr>
          <w:rFonts w:ascii="Arial" w:hAnsi="Arial" w:cs="Arial"/>
          <w:b/>
          <w:i/>
          <w:sz w:val="20"/>
          <w:szCs w:val="20"/>
        </w:rPr>
      </w:pPr>
    </w:p>
    <w:p w:rsidR="00EF38E8" w:rsidRPr="00976843" w:rsidRDefault="00EF38E8" w:rsidP="00EF38E8">
      <w:pPr>
        <w:jc w:val="both"/>
        <w:rPr>
          <w:rFonts w:ascii="Arial" w:hAnsi="Arial" w:cs="Arial"/>
          <w:b/>
          <w:szCs w:val="20"/>
        </w:rPr>
      </w:pPr>
      <w:r w:rsidRPr="00976843">
        <w:rPr>
          <w:rFonts w:ascii="Arial" w:hAnsi="Arial" w:cs="Arial"/>
          <w:b/>
          <w:szCs w:val="20"/>
        </w:rPr>
        <w:t>Benefits</w:t>
      </w:r>
    </w:p>
    <w:p w:rsidR="00EF38E8" w:rsidRPr="001E15D7" w:rsidRDefault="00EF38E8" w:rsidP="00EF38E8">
      <w:pPr>
        <w:jc w:val="both"/>
        <w:rPr>
          <w:rFonts w:ascii="Arial" w:hAnsi="Arial" w:cs="Arial"/>
          <w:sz w:val="20"/>
          <w:szCs w:val="20"/>
        </w:rPr>
      </w:pPr>
    </w:p>
    <w:p w:rsidR="00EF38E8" w:rsidRPr="001E15D7" w:rsidRDefault="00EF38E8" w:rsidP="00EF38E8">
      <w:pPr>
        <w:numPr>
          <w:ilvl w:val="0"/>
          <w:numId w:val="124"/>
        </w:numPr>
        <w:jc w:val="both"/>
        <w:rPr>
          <w:rFonts w:ascii="Arial" w:hAnsi="Arial" w:cs="Arial"/>
          <w:sz w:val="20"/>
          <w:szCs w:val="20"/>
        </w:rPr>
      </w:pPr>
      <w:r>
        <w:rPr>
          <w:rFonts w:ascii="Arial" w:hAnsi="Arial" w:cs="Arial"/>
          <w:sz w:val="20"/>
          <w:szCs w:val="20"/>
        </w:rPr>
        <w:t>Technology and Operations landscape aligned with Industry best practices that can enhance growth by supporting</w:t>
      </w:r>
      <w:r w:rsidRPr="001E15D7">
        <w:rPr>
          <w:rFonts w:ascii="Arial" w:hAnsi="Arial" w:cs="Arial"/>
          <w:sz w:val="20"/>
          <w:szCs w:val="20"/>
        </w:rPr>
        <w:t xml:space="preserve"> new products, clients, geographies, and asset classe</w:t>
      </w:r>
      <w:r>
        <w:rPr>
          <w:rFonts w:ascii="Arial" w:hAnsi="Arial" w:cs="Arial"/>
          <w:sz w:val="20"/>
          <w:szCs w:val="20"/>
        </w:rPr>
        <w:t>s.</w:t>
      </w:r>
    </w:p>
    <w:p w:rsidR="00EF38E8" w:rsidRPr="001E15D7" w:rsidRDefault="00EF38E8" w:rsidP="00EF38E8">
      <w:pPr>
        <w:numPr>
          <w:ilvl w:val="0"/>
          <w:numId w:val="124"/>
        </w:numPr>
        <w:jc w:val="both"/>
        <w:rPr>
          <w:rFonts w:ascii="Arial" w:hAnsi="Arial" w:cs="Arial"/>
          <w:sz w:val="20"/>
          <w:szCs w:val="20"/>
        </w:rPr>
      </w:pPr>
      <w:r w:rsidRPr="001E15D7">
        <w:rPr>
          <w:rFonts w:ascii="Arial" w:hAnsi="Arial" w:cs="Arial"/>
          <w:sz w:val="20"/>
          <w:szCs w:val="20"/>
        </w:rPr>
        <w:t>Flexibility</w:t>
      </w:r>
    </w:p>
    <w:p w:rsidR="00EF38E8" w:rsidRPr="001E15D7" w:rsidRDefault="00EF38E8" w:rsidP="00EF38E8">
      <w:pPr>
        <w:numPr>
          <w:ilvl w:val="1"/>
          <w:numId w:val="124"/>
        </w:numPr>
        <w:jc w:val="both"/>
        <w:rPr>
          <w:rFonts w:ascii="Arial" w:hAnsi="Arial" w:cs="Arial"/>
          <w:sz w:val="20"/>
          <w:szCs w:val="20"/>
        </w:rPr>
      </w:pPr>
      <w:r w:rsidRPr="001E15D7">
        <w:rPr>
          <w:rFonts w:ascii="Arial" w:hAnsi="Arial" w:cs="Arial"/>
          <w:sz w:val="20"/>
          <w:szCs w:val="20"/>
        </w:rPr>
        <w:t>Industry standards and best of breed systems allow for quicker transitions</w:t>
      </w:r>
    </w:p>
    <w:p w:rsidR="00EF38E8" w:rsidRPr="001E15D7" w:rsidRDefault="00EF38E8" w:rsidP="00EF38E8">
      <w:pPr>
        <w:numPr>
          <w:ilvl w:val="1"/>
          <w:numId w:val="124"/>
        </w:numPr>
        <w:jc w:val="both"/>
        <w:rPr>
          <w:rFonts w:ascii="Arial" w:hAnsi="Arial" w:cs="Arial"/>
          <w:sz w:val="20"/>
          <w:szCs w:val="20"/>
        </w:rPr>
      </w:pPr>
      <w:r w:rsidRPr="001E15D7">
        <w:rPr>
          <w:rFonts w:ascii="Arial" w:hAnsi="Arial" w:cs="Arial"/>
          <w:sz w:val="20"/>
          <w:szCs w:val="20"/>
        </w:rPr>
        <w:t>Choice between stand-alone operations and sharing across other LOBs</w:t>
      </w:r>
    </w:p>
    <w:p w:rsidR="00177108" w:rsidRDefault="00EF38E8" w:rsidP="00EF38E8">
      <w:pPr>
        <w:numPr>
          <w:ilvl w:val="1"/>
          <w:numId w:val="124"/>
        </w:numPr>
        <w:jc w:val="both"/>
        <w:rPr>
          <w:rFonts w:ascii="Arial" w:hAnsi="Arial" w:cs="Arial"/>
          <w:sz w:val="20"/>
          <w:szCs w:val="20"/>
        </w:rPr>
      </w:pPr>
      <w:r w:rsidRPr="001E15D7">
        <w:rPr>
          <w:rFonts w:ascii="Arial" w:hAnsi="Arial" w:cs="Arial"/>
          <w:sz w:val="20"/>
          <w:szCs w:val="20"/>
        </w:rPr>
        <w:t xml:space="preserve">Reduced operational risk </w:t>
      </w:r>
    </w:p>
    <w:p w:rsidR="00EF38E8" w:rsidRPr="001E15D7" w:rsidRDefault="00177108" w:rsidP="00EF38E8">
      <w:pPr>
        <w:numPr>
          <w:ilvl w:val="1"/>
          <w:numId w:val="124"/>
        </w:numPr>
        <w:jc w:val="both"/>
        <w:rPr>
          <w:rFonts w:ascii="Arial" w:hAnsi="Arial" w:cs="Arial"/>
          <w:sz w:val="20"/>
          <w:szCs w:val="20"/>
        </w:rPr>
      </w:pPr>
      <w:r>
        <w:rPr>
          <w:rFonts w:ascii="Arial" w:hAnsi="Arial" w:cs="Arial"/>
          <w:sz w:val="20"/>
          <w:szCs w:val="20"/>
        </w:rPr>
        <w:t>E</w:t>
      </w:r>
      <w:r w:rsidR="00EF38E8" w:rsidRPr="001E15D7">
        <w:rPr>
          <w:rFonts w:ascii="Arial" w:hAnsi="Arial" w:cs="Arial"/>
          <w:sz w:val="20"/>
          <w:szCs w:val="20"/>
        </w:rPr>
        <w:t>asier integration of future acquisitions</w:t>
      </w:r>
    </w:p>
    <w:p w:rsidR="00814BEB" w:rsidRDefault="00EF38E8">
      <w:pPr>
        <w:numPr>
          <w:ilvl w:val="0"/>
          <w:numId w:val="124"/>
        </w:numPr>
        <w:jc w:val="both"/>
        <w:rPr>
          <w:rFonts w:ascii="Arial" w:hAnsi="Arial" w:cs="Arial"/>
          <w:sz w:val="20"/>
          <w:szCs w:val="20"/>
        </w:rPr>
      </w:pPr>
      <w:r w:rsidRPr="00177108">
        <w:rPr>
          <w:rFonts w:ascii="Arial" w:hAnsi="Arial" w:cs="Arial"/>
          <w:sz w:val="20"/>
          <w:szCs w:val="20"/>
        </w:rPr>
        <w:t>Optimum total cost of ownership across technology and operations</w:t>
      </w:r>
      <w:r w:rsidR="00177108">
        <w:rPr>
          <w:rFonts w:ascii="Arial" w:hAnsi="Arial" w:cs="Arial"/>
          <w:sz w:val="20"/>
          <w:szCs w:val="20"/>
        </w:rPr>
        <w:t xml:space="preserve"> b</w:t>
      </w:r>
      <w:r w:rsidRPr="00177108">
        <w:rPr>
          <w:rFonts w:ascii="Arial" w:hAnsi="Arial" w:cs="Arial"/>
          <w:sz w:val="20"/>
          <w:szCs w:val="20"/>
        </w:rPr>
        <w:t>y business capability on comparable metric such as percentage of AUM</w:t>
      </w:r>
    </w:p>
    <w:p w:rsidR="00EF38E8" w:rsidRPr="00D51D51" w:rsidRDefault="00EF38E8" w:rsidP="00EF38E8">
      <w:pPr>
        <w:numPr>
          <w:ilvl w:val="0"/>
          <w:numId w:val="124"/>
        </w:numPr>
        <w:jc w:val="both"/>
        <w:rPr>
          <w:rFonts w:ascii="Arial" w:hAnsi="Arial" w:cs="Arial"/>
          <w:sz w:val="20"/>
          <w:szCs w:val="20"/>
        </w:rPr>
      </w:pPr>
      <w:r w:rsidRPr="001E15D7">
        <w:rPr>
          <w:rFonts w:ascii="Arial" w:hAnsi="Arial" w:cs="Arial"/>
          <w:sz w:val="20"/>
          <w:szCs w:val="20"/>
        </w:rPr>
        <w:t>Infrastructure as a managed</w:t>
      </w:r>
      <w:r>
        <w:rPr>
          <w:rFonts w:ascii="Arial" w:hAnsi="Arial" w:cs="Arial"/>
          <w:sz w:val="20"/>
          <w:szCs w:val="20"/>
        </w:rPr>
        <w:t xml:space="preserve"> asset, leveraging beyond the Client’s existing operating capabilities.</w:t>
      </w:r>
    </w:p>
    <w:p w:rsidR="00343133" w:rsidRDefault="00343133" w:rsidP="008E2231"/>
    <w:p w:rsidR="008E2231" w:rsidRPr="004B3BDF" w:rsidRDefault="00E24CF0" w:rsidP="008E2231">
      <w:pPr>
        <w:pStyle w:val="Heading1"/>
        <w:keepNext w:val="0"/>
        <w:pageBreakBefore w:val="0"/>
        <w:spacing w:before="120" w:after="120" w:line="240" w:lineRule="atLeast"/>
        <w:ind w:left="0" w:firstLine="0"/>
        <w:jc w:val="both"/>
      </w:pPr>
      <w:r>
        <w:br w:type="page"/>
      </w:r>
      <w:bookmarkStart w:id="730" w:name="_Toc226530576"/>
      <w:r w:rsidR="008E2231" w:rsidRPr="004B3BDF">
        <w:lastRenderedPageBreak/>
        <w:t xml:space="preserve">Glossary </w:t>
      </w:r>
      <w:r w:rsidR="00346F9B">
        <w:t>and Reference</w:t>
      </w:r>
      <w:r>
        <w:t>s</w:t>
      </w:r>
      <w:bookmarkEnd w:id="730"/>
    </w:p>
    <w:p w:rsidR="00346F9B" w:rsidRPr="00346F9B" w:rsidRDefault="00346F9B" w:rsidP="00346F9B">
      <w:pPr>
        <w:pStyle w:val="Heading2"/>
      </w:pPr>
      <w:bookmarkStart w:id="731" w:name="_Toc226530577"/>
      <w:r w:rsidRPr="00346F9B">
        <w:t>Glossary</w:t>
      </w:r>
      <w:bookmarkEnd w:id="731"/>
    </w:p>
    <w:p w:rsidR="008E2231" w:rsidRPr="004B3BDF" w:rsidRDefault="008E2231" w:rsidP="008E2231">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Arbitrage: The trading of securities (stocks, bonds, derivatives, currencies, and other securities) to profit from a temporary difference between the price of security in one market and the price in another (also called "risk-free arbitrage"). This temporary difference is often </w:t>
      </w:r>
      <w:r w:rsidR="00411A68" w:rsidRPr="004B3BDF">
        <w:rPr>
          <w:rFonts w:ascii="Arial" w:hAnsi="Arial" w:cs="Arial"/>
          <w:sz w:val="20"/>
          <w:szCs w:val="20"/>
        </w:rPr>
        <w:t>called “market</w:t>
      </w:r>
      <w:r w:rsidRPr="004B3BDF">
        <w:rPr>
          <w:rFonts w:ascii="Arial" w:hAnsi="Arial" w:cs="Arial"/>
          <w:sz w:val="20"/>
          <w:szCs w:val="20"/>
        </w:rPr>
        <w:t xml:space="preserve">" inefficiency. Distinguish from "risk arbitrage". </w:t>
      </w:r>
    </w:p>
    <w:p w:rsidR="008E2231" w:rsidRPr="004B3BDF" w:rsidRDefault="008E2231" w:rsidP="008E2231">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After-Hours Trading: stock trading when the major stock exchanges are closed. </w:t>
      </w:r>
    </w:p>
    <w:p w:rsidR="008E2231" w:rsidRPr="004B3BDF" w:rsidRDefault="008E2231" w:rsidP="008E2231">
      <w:pPr>
        <w:pStyle w:val="body"/>
        <w:spacing w:before="120" w:after="120" w:line="240" w:lineRule="auto"/>
        <w:jc w:val="both"/>
        <w:rPr>
          <w:rFonts w:ascii="Arial" w:hAnsi="Arial" w:cs="Arial"/>
          <w:sz w:val="20"/>
          <w:szCs w:val="20"/>
        </w:rPr>
      </w:pPr>
      <w:r w:rsidRPr="004B3BDF">
        <w:rPr>
          <w:rFonts w:ascii="Arial" w:hAnsi="Arial" w:cs="Arial"/>
          <w:sz w:val="20"/>
          <w:szCs w:val="20"/>
        </w:rPr>
        <w:t>Aftermarket: public trading of a company’s shares after its IPO.</w:t>
      </w:r>
    </w:p>
    <w:p w:rsidR="008E2231" w:rsidRPr="004B3BDF" w:rsidRDefault="008E2231" w:rsidP="008E2231">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Alpha: a statistical concoction that’s supposed to measure the excess performance of a mutual fund compared to the performance expected for its Beta. Higher is better. </w:t>
      </w:r>
    </w:p>
    <w:p w:rsidR="008E2231" w:rsidRPr="004B3BDF" w:rsidRDefault="008E2231" w:rsidP="008E2231">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Abandonment option: The option of terminating an investment earlier than originally planned. </w:t>
      </w:r>
    </w:p>
    <w:p w:rsidR="008E2231" w:rsidRPr="004B3BDF" w:rsidRDefault="008E2231" w:rsidP="008E2231">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Absolute priority: Rule in bankruptcy proceedings whereby senior creditors are required to be paid in full before junior creditors receive any payment. </w:t>
      </w:r>
    </w:p>
    <w:p w:rsidR="008E2231" w:rsidRPr="004B3BDF" w:rsidRDefault="008E2231" w:rsidP="008E2231">
      <w:pPr>
        <w:pStyle w:val="body"/>
        <w:spacing w:before="120" w:after="120" w:line="240" w:lineRule="auto"/>
        <w:jc w:val="both"/>
        <w:rPr>
          <w:rFonts w:ascii="Arial" w:hAnsi="Arial" w:cs="Arial"/>
          <w:sz w:val="20"/>
          <w:szCs w:val="20"/>
        </w:rPr>
      </w:pPr>
      <w:r w:rsidRPr="004B3BDF">
        <w:rPr>
          <w:rFonts w:ascii="Arial" w:hAnsi="Arial" w:cs="Arial"/>
          <w:sz w:val="20"/>
          <w:szCs w:val="20"/>
        </w:rPr>
        <w:t xml:space="preserve">Acid-test ratio: Also called the quick ratio, the ratio of current assets minus inventories, accruals, and prepaid items to current liabilities.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Active: A market in which there is much trading.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AIBD: Association of International Bond Dealers.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All equity </w:t>
      </w:r>
      <w:proofErr w:type="gramStart"/>
      <w:r w:rsidRPr="00301435">
        <w:rPr>
          <w:rFonts w:ascii="Arial" w:hAnsi="Arial" w:cs="Arial"/>
          <w:sz w:val="20"/>
          <w:szCs w:val="20"/>
        </w:rPr>
        <w:t>rate</w:t>
      </w:r>
      <w:proofErr w:type="gramEnd"/>
      <w:r w:rsidRPr="00301435">
        <w:rPr>
          <w:rFonts w:ascii="Arial" w:hAnsi="Arial" w:cs="Arial"/>
          <w:sz w:val="20"/>
          <w:szCs w:val="20"/>
        </w:rPr>
        <w:t xml:space="preserve">: The discount rate that reflects only the business risks of a project and abstracts from the effects of financing.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All-in cost: Total costs, explicit and implicit.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All or none: Requirement that none of an order be executed unless all of it can be executed at the specified price.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American option: An option that may be exercised at any time up to and including the expiration date. Related: European option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Angels: Individuals providing venture capital.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Announcement date: Date on which particular news concerning a given company is announced to the public. Used in event studies by researchers to evaluate the economic impact of events of interest.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Annualized gain : If stock X appreciates 1.5% in one month, the annualized gain for that sock over a twelve month period is 12*1.5% = 18%. Compounded over the twelve month period, the gain is (1.015) ^12 = 19.6%.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Asian option: Option based on the average price of the asset during the life of the option.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Away: A trade, quote, or market that does not originate with the dealer in question, e.g., ``the bid is 98-10 away from me.''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Beauty contest: When investment banks want to land a deal, they usually have to make a pitch. Some of their selling points when competing with other investment banks for a deal: "Look how strong our research department is in this industry. Our analyst in the industry is a real market mover, so if you go public with us, you'll be sure to get a lot of attention from her." Or: "We are the top-ranking firm in this type of issuance, as you will see by these league tables."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Bloomberg: Computer terminals providing real time quotes, news, and analytical tools, often used by traders and investment bankers.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Bond spreads: The difference between the yield of a corporate bond and a U.S. Treasury security of similar time to maturity.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Bulge bracket: The top 10 firms on Wall Street (including Goldman Sachs, Morgan Stanley Dean Witter, Merrill Lynch, Salomon Smith Barney, Lehman Brothers, and Credit Suisse First Boston).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Buy-side: The clients of investment banks (mutual funds, pension funds) that buy the stocks, bonds and securities sold by the investment banks. (The investment banks that sell these products to investors are known as the "sell-side.")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Back-End Load: sales charge paid when selling a mutual fund (a.k.a. deferred load).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Back testing: determining the results of using particular screening criteria, as if the screen had been run at some point back in time, and the selected stocks or funds were held for a predetermined time period and then sold.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Bear Market: a period when most stocks are declining in value.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Big Board: the </w:t>
      </w:r>
      <w:smartTag w:uri="urn:schemas-microsoft-com:office:smarttags" w:element="place">
        <w:smartTag w:uri="urn:schemas-microsoft-com:office:smarttags" w:element="State">
          <w:r w:rsidRPr="00301435">
            <w:rPr>
              <w:rFonts w:ascii="Arial" w:hAnsi="Arial" w:cs="Arial"/>
              <w:sz w:val="20"/>
              <w:szCs w:val="20"/>
            </w:rPr>
            <w:t>New York</w:t>
          </w:r>
        </w:smartTag>
      </w:smartTag>
      <w:r w:rsidRPr="00301435">
        <w:rPr>
          <w:rFonts w:ascii="Arial" w:hAnsi="Arial" w:cs="Arial"/>
          <w:sz w:val="20"/>
          <w:szCs w:val="20"/>
        </w:rPr>
        <w:t xml:space="preserve"> Stock Exchange (NYSE).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Block Trade: a single purchase or sale of a stock involving 10,000 or more shares.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Blue Chips: large, stabile companies.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Boiler Room: a high-pressure, often fraudulent, telephone sales operation.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Bottom Line: after-tax earnings/ profit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Breakout: a charting (technical analysis) term meaning a stock price has moved above or below a previous trading range.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Bulletin Board System: stocks that don’t qualify for NASDAQ listing are traded here or by Pink Sheets. Stay away!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Bull Market: a period when most stocks are increasing in value.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Back-up: (1) When bond yields and prices fall, the market is said to back-up. (2) When an investor swaps out of one security into another of shorter current maturity he is said to back up.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Balloon maturity: Any large principal payment due at maturity for a bond or loan with or without a sinking fund requirement.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BAN (Bank anticipation notes): Notes issued by states and municipalities to obtain interim financing for projects that will eventually be funded long term through the sale of a bond issue.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Bank line: Line of credit granted by a bank to a customer.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Bank wire: A computer message system linking major banks. It is used not for effecting payments, but as a mechanism to advise the receiving bank of some action that has occurred, e.g. the payment by a customer of funds into that bank's account.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Bar: Slang for one million dollars.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Barbell strategy: A strategy in which the maturities of the securities included in the portfolio are concentrated at two extremes.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Basket options: Packages that involve the exchange of more than two currencies against a base currency at expiration. The basket option buyer purchases the right, but not the obligation, to receive designated currencies in exchange for a base currency, either at the prevailing spot market rate or at a prearranged rate of exchange. A basket option is generally used by multinational corporations with multicurrency cash flows since it is generally cheaper to buy an option on a basket of currencies than to buy individual options on each of the currencies that make up the basket.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Beggar-thy-neighbor: An international trade policy of competitive devaluations and increased protective barriers where one country seeks to gain at the expense of its trading partners.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Big Bang: The term applied to the liberalization in 1986 of the </w:t>
      </w:r>
      <w:smartTag w:uri="urn:schemas-microsoft-com:office:smarttags" w:element="place">
        <w:smartTag w:uri="urn:schemas-microsoft-com:office:smarttags" w:element="City">
          <w:r w:rsidRPr="00301435">
            <w:rPr>
              <w:rFonts w:ascii="Arial" w:hAnsi="Arial" w:cs="Arial"/>
              <w:sz w:val="20"/>
              <w:szCs w:val="20"/>
            </w:rPr>
            <w:t>London</w:t>
          </w:r>
        </w:smartTag>
      </w:smartTag>
      <w:r w:rsidRPr="00301435">
        <w:rPr>
          <w:rFonts w:ascii="Arial" w:hAnsi="Arial" w:cs="Arial"/>
          <w:sz w:val="20"/>
          <w:szCs w:val="20"/>
        </w:rPr>
        <w:t xml:space="preserve"> Stock Exchange in which trading was automated with the use of computers.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Bill of lading: A contract between the exporter and a transportation company in which the latter agrees to transport the goods under specified conditions which limit its liability. It is the exporter's receipt for the goods as well as proof that goods have been or will be received.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Black market: An illegal market</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Blow-off top: A steep and rapid increase in price followed by a steep and rapid drop. This is an indicator seen in charts and used in technical analysis of stock price and market trends.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Blue-sky laws: State laws covering the issue and trading of securities.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Bogey: The return an investment manager is compared to for performance evaluation.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Boning: Charging a lot more for an asset than it's worth.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Bootstrapping: </w:t>
      </w:r>
      <w:r w:rsidR="00411A68">
        <w:rPr>
          <w:rFonts w:ascii="Arial" w:hAnsi="Arial" w:cs="Arial"/>
          <w:sz w:val="20"/>
          <w:szCs w:val="20"/>
        </w:rPr>
        <w:t>It is a</w:t>
      </w:r>
      <w:r w:rsidRPr="00301435">
        <w:rPr>
          <w:rFonts w:ascii="Arial" w:hAnsi="Arial" w:cs="Arial"/>
          <w:sz w:val="20"/>
          <w:szCs w:val="20"/>
        </w:rPr>
        <w:t xml:space="preserve"> process </w:t>
      </w:r>
      <w:r w:rsidR="00411A68" w:rsidRPr="00301435">
        <w:rPr>
          <w:rFonts w:ascii="Arial" w:hAnsi="Arial" w:cs="Arial"/>
          <w:sz w:val="20"/>
          <w:szCs w:val="20"/>
        </w:rPr>
        <w:t xml:space="preserve">of </w:t>
      </w:r>
      <w:r w:rsidR="00411A68">
        <w:rPr>
          <w:rFonts w:ascii="Arial" w:hAnsi="Arial" w:cs="Arial"/>
          <w:sz w:val="20"/>
          <w:szCs w:val="20"/>
        </w:rPr>
        <w:t>creating</w:t>
      </w:r>
      <w:r w:rsidRPr="00301435">
        <w:rPr>
          <w:rFonts w:ascii="Arial" w:hAnsi="Arial" w:cs="Arial"/>
          <w:sz w:val="20"/>
          <w:szCs w:val="20"/>
        </w:rPr>
        <w:t xml:space="preserve"> a theoretical spot rate curve, using one yield projection as the basis for the yield of the next maturity. </w:t>
      </w:r>
    </w:p>
    <w:p w:rsidR="008E2231" w:rsidRPr="00301435" w:rsidRDefault="008E2231" w:rsidP="008E2231">
      <w:pPr>
        <w:pStyle w:val="body"/>
        <w:spacing w:before="120" w:after="120" w:line="240" w:lineRule="auto"/>
        <w:jc w:val="both"/>
        <w:rPr>
          <w:rFonts w:ascii="Arial" w:hAnsi="Arial" w:cs="Arial"/>
          <w:sz w:val="20"/>
          <w:szCs w:val="20"/>
        </w:rPr>
      </w:pPr>
      <w:proofErr w:type="gramStart"/>
      <w:r w:rsidRPr="00301435">
        <w:rPr>
          <w:rFonts w:ascii="Arial" w:hAnsi="Arial" w:cs="Arial"/>
          <w:sz w:val="20"/>
          <w:szCs w:val="20"/>
        </w:rPr>
        <w:lastRenderedPageBreak/>
        <w:t xml:space="preserve">Bought deal: </w:t>
      </w:r>
      <w:r w:rsidR="00411A68">
        <w:rPr>
          <w:rFonts w:ascii="Arial" w:hAnsi="Arial" w:cs="Arial"/>
          <w:sz w:val="20"/>
          <w:szCs w:val="20"/>
        </w:rPr>
        <w:t>Refers to s</w:t>
      </w:r>
      <w:r w:rsidRPr="00301435">
        <w:rPr>
          <w:rFonts w:ascii="Arial" w:hAnsi="Arial" w:cs="Arial"/>
          <w:sz w:val="20"/>
          <w:szCs w:val="20"/>
        </w:rPr>
        <w:t>ecurity issue where one or two underwriters buy the entire issue.</w:t>
      </w:r>
      <w:proofErr w:type="gramEnd"/>
      <w:r w:rsidRPr="00301435">
        <w:rPr>
          <w:rFonts w:ascii="Arial" w:hAnsi="Arial" w:cs="Arial"/>
          <w:sz w:val="20"/>
          <w:szCs w:val="20"/>
        </w:rPr>
        <w:t xml:space="prese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Bourse: A term of French origin used to refer to stock markets.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Breakout: A rise in a security's price above a resistance level (commonly its previous high price) or drop below a level of support (commonly the former lowest price.) A breakout is taken to signify a continuing move in the same direction. Can be used by technical analysts as a buy or sell indicator.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Bridge financing: Interim financing of one sort or another used to solidify a position until more permanent financing is arranged.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Bubble theory: Security prices sometimes move wildly above their true values.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Buck: Slang for one million dollars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Bullet loan: A bank term loan that calls for no amortization.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Bullet strategy: A strategy in which a portfolio is constructed so that the maturities of its securities are highly concentrated at one point on the yield curve.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Butterfly shift: A non-parallel shift in the yield curve involving the height of the curve.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Buyout: Purchase of a controlling interest (or percent of shares) of a company's stock. A leveraged buy-out is done with borrowed money.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Capitalization Weighted Index: largest companies have most influence on index price action.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Carry Trade: profiting on interest rate differentials. For instance, borrowing money at a relatively low short-term rate and lending it out a higher long-term rates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Cash &amp; Cash Equivalents: cash in bank and all securities that can readily be converted to cash within three months or less.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Cash Flow: After tax income minus preferred dividends and general partner distributions plus depreciation, depletion, and amortization (Market Guide definition). See Operating Cash Flow and Free Cash Flow.</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Charting: making buy and sell decisions based entirely on stock price and volume history (same as technical analysis).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Chat Room: a real-time message area usually dedicated to a particular topic.</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Closed-End Fund: investors buy shares from other share holders, and sell shares to other investors. Share price is determined by supply and demand for fund shares (as opposed to Net Asset Value for open-end Funds).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Commission: fees paid to a broker to execute a stock or mutual fund trade.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Common Stock: shares of a publicly held corporation, usually includes voting rights. Common stock has lower priority in event of liquidation than preferred shares.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Conference Call: a multi-party telephone call hosted by a company, primarily for analysts, shortly after making an earnings announcement.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Confirmation: notice from a stock broker giving details of a stock or mutual fund purchase or sale.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Consensus Estimate or Rating: The averages of analyst’s individual earnings forecasts or buy/sell ratings.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Consolidation: a charting term meaning a stock price is in a trading range, not moving significantly up or down.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Contrarian: similar to value investor. Looks for stocks with prices beaten down out of proportion to fundamentals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Convertible Bond: a bond that can be exchanged for shares of stock.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Cost of Sales: cost of materials and labor required to produce products or services. Gross profit is sales minus cost of sales.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Coupon Rate: the interest rate on a bond.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Current Ratio: current assets (cash, inventories, and accounts receivables) divided by liabilities due within one-year.</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Capital flight: The transfer of capital abroad in response to fears of political risk.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Cash and carry: Purchase of a security and simultaneous sale of a future, with the balance being financed with a loan or repo.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Characteristic line: The market model applied to a single security. The slope of the line is a security's beta.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Cheapest to deliver issue: The acceptable Treasury security with the highest implied repo rate; the rate that a seller of a futures contract can earn by buying an issue and then delivering it at the settlement date.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Chinese wall: Communication barrier between financiers (investment bankers) and traders. This barrier is erected to prevent the sharing of inside information that bankers are likely to have. </w:t>
      </w:r>
    </w:p>
    <w:p w:rsidR="008E2231" w:rsidRPr="00301435" w:rsidRDefault="008E2231" w:rsidP="008E2231">
      <w:pPr>
        <w:pStyle w:val="body"/>
        <w:spacing w:before="120" w:after="120" w:line="240" w:lineRule="auto"/>
        <w:jc w:val="both"/>
        <w:rPr>
          <w:rFonts w:ascii="Arial" w:hAnsi="Arial" w:cs="Arial"/>
          <w:sz w:val="20"/>
          <w:szCs w:val="20"/>
        </w:rPr>
      </w:pPr>
      <w:proofErr w:type="gramStart"/>
      <w:r w:rsidRPr="00301435">
        <w:rPr>
          <w:rFonts w:ascii="Arial" w:hAnsi="Arial" w:cs="Arial"/>
          <w:sz w:val="20"/>
          <w:szCs w:val="20"/>
        </w:rPr>
        <w:t>Churning: Excessive trading of a client’s account in order to increase the broker's commissions.</w:t>
      </w:r>
      <w:proofErr w:type="gramEnd"/>
      <w:r w:rsidRPr="00301435">
        <w:rPr>
          <w:rFonts w:ascii="Arial" w:hAnsi="Arial" w:cs="Arial"/>
          <w:sz w:val="20"/>
          <w:szCs w:val="20"/>
        </w:rPr>
        <w:t xml:space="prese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Circle: Underwriters, actual or potential, often seek out and ``circle'' investor interest in a new issue before final pricing. The customer circled basically made a commitment to purchase the issue if it comes at an agreed-upon price. In the latter case, if the price is other than that stipulated, the customer supposedly has first offer at the actual price.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Circus swap: A fixed rate currency swap against floating U.S. dollar LIBOR payments.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Claimant: A party to an explicit or implicit contract.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Clean price: Bond price excluding accrued interest.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Clear: A trade is carried out by the seller delivering securities and the buyer delivering funds in proper form. A trade that does not clear is said to fail.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Clearing House Automated Payments System (CHAPS): A computerized clearing system for sterling funds that began operations in 1984. It includes 14 member banks, nearly 450 participating banks, and is one of the clearing companies within the structure of the Association for Payment Clearing Services (APACS).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Clearing House Interbank Payments System (CHIPS): An international wire transfer system for high-value payments operated by a group of major banks.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Clientele effect: The grouping of investors who have a preference that the firm follows a particular Collective wisdom. The combination of all of the individual opinions about a stock's or security's value</w:t>
      </w:r>
    </w:p>
    <w:p w:rsidR="008E2231" w:rsidRPr="00301435" w:rsidRDefault="008E2231" w:rsidP="008E2231">
      <w:pPr>
        <w:pStyle w:val="body"/>
        <w:spacing w:before="120" w:after="120" w:line="240" w:lineRule="auto"/>
        <w:jc w:val="both"/>
        <w:rPr>
          <w:rFonts w:ascii="Arial" w:hAnsi="Arial" w:cs="Arial"/>
          <w:sz w:val="20"/>
          <w:szCs w:val="20"/>
        </w:rPr>
      </w:pPr>
      <w:proofErr w:type="spellStart"/>
      <w:r w:rsidRPr="00301435">
        <w:rPr>
          <w:rFonts w:ascii="Arial" w:hAnsi="Arial" w:cs="Arial"/>
          <w:sz w:val="20"/>
          <w:szCs w:val="20"/>
        </w:rPr>
        <w:t>Comanger</w:t>
      </w:r>
      <w:proofErr w:type="spellEnd"/>
      <w:r w:rsidRPr="00301435">
        <w:rPr>
          <w:rFonts w:ascii="Arial" w:hAnsi="Arial" w:cs="Arial"/>
          <w:sz w:val="20"/>
          <w:szCs w:val="20"/>
        </w:rPr>
        <w:t xml:space="preserve">: A bank that ranks just below a lead manager in a syndicated </w:t>
      </w:r>
      <w:proofErr w:type="spellStart"/>
      <w:r w:rsidRPr="00301435">
        <w:rPr>
          <w:rFonts w:ascii="Arial" w:hAnsi="Arial" w:cs="Arial"/>
          <w:sz w:val="20"/>
          <w:szCs w:val="20"/>
        </w:rPr>
        <w:t>Eurocredit</w:t>
      </w:r>
      <w:proofErr w:type="spellEnd"/>
      <w:r w:rsidRPr="00301435">
        <w:rPr>
          <w:rFonts w:ascii="Arial" w:hAnsi="Arial" w:cs="Arial"/>
          <w:sz w:val="20"/>
          <w:szCs w:val="20"/>
        </w:rPr>
        <w:t xml:space="preserve"> or international bond issue. </w:t>
      </w:r>
      <w:r w:rsidR="00411A68" w:rsidRPr="00301435">
        <w:rPr>
          <w:rFonts w:ascii="Arial" w:hAnsi="Arial" w:cs="Arial"/>
          <w:sz w:val="20"/>
          <w:szCs w:val="20"/>
        </w:rPr>
        <w:t>Co managers</w:t>
      </w:r>
      <w:r w:rsidRPr="00301435">
        <w:rPr>
          <w:rFonts w:ascii="Arial" w:hAnsi="Arial" w:cs="Arial"/>
          <w:sz w:val="20"/>
          <w:szCs w:val="20"/>
        </w:rPr>
        <w:t xml:space="preserve"> may assist the lead manger bank in the pricing and issue of the instrument</w:t>
      </w:r>
      <w:r>
        <w:rPr>
          <w:rFonts w:ascii="Arial" w:hAnsi="Arial" w:cs="Arial"/>
          <w:sz w:val="20"/>
          <w:szCs w:val="20"/>
        </w:rPr>
        <w:t xml:space="preserve"> </w:t>
      </w:r>
      <w:r w:rsidRPr="00301435">
        <w:rPr>
          <w:rFonts w:ascii="Arial" w:hAnsi="Arial" w:cs="Arial"/>
          <w:sz w:val="20"/>
          <w:szCs w:val="20"/>
        </w:rPr>
        <w:t xml:space="preserve">financing policy, such as the amount of leverage it uses.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Commission broker: A broker on the floor of an exchange acts as agent for a particular brokerage house and who buys and sells stocks for the brokerage house on a commission basis.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Complete portfolio: The entire portfolio, including risky and risk-free assets.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Concentration account: A single centralized account into which funds collected at regional locations </w:t>
      </w:r>
    </w:p>
    <w:p w:rsidR="008E2231" w:rsidRPr="00301435" w:rsidRDefault="008E2231" w:rsidP="008E2231">
      <w:pPr>
        <w:pStyle w:val="body"/>
        <w:spacing w:before="120" w:after="120" w:line="240" w:lineRule="auto"/>
        <w:jc w:val="both"/>
        <w:rPr>
          <w:rFonts w:ascii="Arial" w:hAnsi="Arial" w:cs="Arial"/>
          <w:sz w:val="20"/>
          <w:szCs w:val="20"/>
        </w:rPr>
      </w:pPr>
      <w:proofErr w:type="spellStart"/>
      <w:proofErr w:type="gramStart"/>
      <w:r w:rsidRPr="00301435">
        <w:rPr>
          <w:rFonts w:ascii="Arial" w:hAnsi="Arial" w:cs="Arial"/>
          <w:sz w:val="20"/>
          <w:szCs w:val="20"/>
        </w:rPr>
        <w:t>Contango</w:t>
      </w:r>
      <w:proofErr w:type="spellEnd"/>
      <w:r w:rsidRPr="00301435">
        <w:rPr>
          <w:rFonts w:ascii="Arial" w:hAnsi="Arial" w:cs="Arial"/>
          <w:sz w:val="20"/>
          <w:szCs w:val="20"/>
        </w:rPr>
        <w:t xml:space="preserve"> :</w:t>
      </w:r>
      <w:proofErr w:type="gramEnd"/>
      <w:r w:rsidRPr="00301435">
        <w:rPr>
          <w:rFonts w:ascii="Arial" w:hAnsi="Arial" w:cs="Arial"/>
          <w:sz w:val="20"/>
          <w:szCs w:val="20"/>
        </w:rPr>
        <w:t xml:space="preserve"> A market condition in which futures prices are higher in the distant delivery months.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Corner a Market: To purchase enough of the available supply of a commodity or stock in order to manipulate its price.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Counterparty: Party on the other side of a trade or transaction.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Custodial fees: Fees charged by an institution that holds securities in safekeeping for an investor.</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Commercial paper: Short-term corporate debt, typically maturing in nine months or less.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Comparable company analysis ("Comps"): The primary tool of the corporate finance analyst. Comps include a list of financial data, valuation data and ratio data on a set of companies in an industry. Comps are used to value private companies or better understand a how the market values and industry or particular player in the industry.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Derivatives: An asset whose value is derived from the price of another asset. Examples include call options, put options, futures, and interest-rate "swaps."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Discount rate: A widely followed short-term interest rate set by the Federal Reserve to cause market interest rates to rise or fall, thereby causing the </w:t>
      </w:r>
      <w:smartTag w:uri="urn:schemas-microsoft-com:office:smarttags" w:element="place">
        <w:smartTag w:uri="urn:schemas-microsoft-com:office:smarttags" w:element="country-region">
          <w:r w:rsidRPr="00301435">
            <w:rPr>
              <w:rFonts w:ascii="Arial" w:hAnsi="Arial" w:cs="Arial"/>
              <w:sz w:val="20"/>
              <w:szCs w:val="20"/>
            </w:rPr>
            <w:t>U.S.</w:t>
          </w:r>
        </w:smartTag>
      </w:smartTag>
      <w:r w:rsidRPr="00301435">
        <w:rPr>
          <w:rFonts w:ascii="Arial" w:hAnsi="Arial" w:cs="Arial"/>
          <w:sz w:val="20"/>
          <w:szCs w:val="20"/>
        </w:rPr>
        <w:t xml:space="preserve"> economy to grow more quickly or less quickly. (More technically, the discount rate is the rate at which federal banks lend money to each other on overnight loans.) Today, the discount rate can be directly moved by the Fed, but maintains a largely symbolic role.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Dividend: A payment by a company to shareholders of its stock, usually as a way to distribute some or all of the profits to shareholders.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Dividend Reinvestment Plan (DRIP): a plan implemented by a corporation to allow investors to collect dividends in shares (usually fractions of shares) of stock rather than in cash.</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Discount Broker: a stockbroker charging lower commissions than full-service brokers. Discount brokers do not give investment advice.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Dividend Yield: total of 12-month's dividends paid (historical or forecast) divided by the latest share price.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Dogs of the Dow: a contrarian stock selection strategy based upon buying the highest dividend yielding stocks of the Dow Jones Industrial Average.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Dow Jones Industrial Average: </w:t>
      </w:r>
      <w:proofErr w:type="spellStart"/>
      <w:r w:rsidRPr="00301435">
        <w:rPr>
          <w:rFonts w:ascii="Arial" w:hAnsi="Arial" w:cs="Arial"/>
          <w:sz w:val="20"/>
          <w:szCs w:val="20"/>
        </w:rPr>
        <w:t>unweighted</w:t>
      </w:r>
      <w:proofErr w:type="spellEnd"/>
      <w:r w:rsidRPr="00301435">
        <w:rPr>
          <w:rFonts w:ascii="Arial" w:hAnsi="Arial" w:cs="Arial"/>
          <w:sz w:val="20"/>
          <w:szCs w:val="20"/>
        </w:rPr>
        <w:t xml:space="preserve"> index of thirty of the largest </w:t>
      </w:r>
      <w:smartTag w:uri="urn:schemas-microsoft-com:office:smarttags" w:element="place">
        <w:smartTag w:uri="urn:schemas-microsoft-com:office:smarttags" w:element="country-region">
          <w:r w:rsidRPr="00301435">
            <w:rPr>
              <w:rFonts w:ascii="Arial" w:hAnsi="Arial" w:cs="Arial"/>
              <w:sz w:val="20"/>
              <w:szCs w:val="20"/>
            </w:rPr>
            <w:t>U.S.</w:t>
          </w:r>
        </w:smartTag>
      </w:smartTag>
      <w:r w:rsidRPr="00301435">
        <w:rPr>
          <w:rFonts w:ascii="Arial" w:hAnsi="Arial" w:cs="Arial"/>
          <w:sz w:val="20"/>
          <w:szCs w:val="20"/>
        </w:rPr>
        <w:t xml:space="preserve"> corporations.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Downtick: a stock trade executed at a lower price than the previous trade.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Downtrend: stock price is heading down.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Due Diligence: the process whereby an in-depth examination of a company’s business prospects is conducted.</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Dutch auction: a method of allocating shares in an IPO where you specify how much you’re willing to pay for how many shares.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Dead cat bounce: A small up move in a bear market.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Deep-discount bond: A bond issued with a very low coupon or no coupon and selling at a price far below par value. When the bond has no coupon, it's called a zero coupon bond.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Defined benefit plan: A pension plan in which the sponsor agrees to make specified dollar payments to qualifying employees. The pension obligations are effectively the debt obligation of the plan sponsor</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Delivery versus payment: A transaction in which the buyer's payment for securities is due at the time of delivery (usually to a bank acting as agent for the buyer) upon receipt of the securities. The payment may be made by bank wire, check, or direct credit to an account.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Delta: Also called the hedge ratio, the ratio of the change in price of a call option to the change in price of the underlying stock.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Delta hedge: A dynamic hedging strategy using options with continuous adjustment of the number of options used, as a function of the delta of the option.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Delta neutral: The value of the portfolio is not affected by changes in the value of the asset on which the options are written.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Dirty float: A system of floating exchange rates in which the government occasionally intervenes to change the direction of the value of the country's currency.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Dirty price: Bond price including accrued interest, i.e., the price paid by the bond buyer.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Don't know (DK, </w:t>
      </w:r>
      <w:proofErr w:type="spellStart"/>
      <w:r w:rsidRPr="00301435">
        <w:rPr>
          <w:rFonts w:ascii="Arial" w:hAnsi="Arial" w:cs="Arial"/>
          <w:sz w:val="20"/>
          <w:szCs w:val="20"/>
        </w:rPr>
        <w:t>Dked</w:t>
      </w:r>
      <w:proofErr w:type="spellEnd"/>
      <w:proofErr w:type="gramStart"/>
      <w:r w:rsidRPr="00301435">
        <w:rPr>
          <w:rFonts w:ascii="Arial" w:hAnsi="Arial" w:cs="Arial"/>
          <w:sz w:val="20"/>
          <w:szCs w:val="20"/>
        </w:rPr>
        <w:t>) :</w:t>
      </w:r>
      <w:proofErr w:type="gramEnd"/>
      <w:r w:rsidRPr="00301435">
        <w:rPr>
          <w:rFonts w:ascii="Arial" w:hAnsi="Arial" w:cs="Arial"/>
          <w:sz w:val="20"/>
          <w:szCs w:val="20"/>
        </w:rPr>
        <w:t xml:space="preserve"> ``Don't know the trade.'' </w:t>
      </w:r>
      <w:smartTag w:uri="urn:schemas-microsoft-com:office:smarttags" w:element="Street">
        <w:smartTag w:uri="urn:schemas-microsoft-com:office:smarttags" w:element="address">
          <w:r w:rsidRPr="00301435">
            <w:rPr>
              <w:rFonts w:ascii="Arial" w:hAnsi="Arial" w:cs="Arial"/>
              <w:sz w:val="20"/>
              <w:szCs w:val="20"/>
            </w:rPr>
            <w:t>A Street</w:t>
          </w:r>
        </w:smartTag>
      </w:smartTag>
      <w:r w:rsidRPr="00301435">
        <w:rPr>
          <w:rFonts w:ascii="Arial" w:hAnsi="Arial" w:cs="Arial"/>
          <w:sz w:val="20"/>
          <w:szCs w:val="20"/>
        </w:rPr>
        <w:t xml:space="preserve"> expression used whenever one party lacks knowledge of a trade or receives conflicting instructions from the other party</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Equity: In short, stock. Equity means ownership in a company that is usually represented by stock.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Earnings per Share (EPS): after tax 12-month's earnings divided by the number of shares outstanding.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EBIT: earnings before interest and taxes. Also known as operating income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EBITDA: earnings before interest, taxes, depreciation and amortization. </w:t>
      </w:r>
      <w:proofErr w:type="gramStart"/>
      <w:r w:rsidRPr="00301435">
        <w:rPr>
          <w:rFonts w:ascii="Arial" w:hAnsi="Arial" w:cs="Arial"/>
          <w:sz w:val="20"/>
          <w:szCs w:val="20"/>
        </w:rPr>
        <w:t>Adds</w:t>
      </w:r>
      <w:proofErr w:type="gramEnd"/>
      <w:r w:rsidRPr="00301435">
        <w:rPr>
          <w:rFonts w:ascii="Arial" w:hAnsi="Arial" w:cs="Arial"/>
          <w:sz w:val="20"/>
          <w:szCs w:val="20"/>
        </w:rPr>
        <w:t xml:space="preserve"> these items back to reported earnings to more accurately reflect real cash earnings of company. Similar to operating cash flow, except operating cash flow also considers changes in levels of inventories and receivables.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ECN: electronic trading network. ECNs are expected to supplement or even replace conventional stock exchanges over the next one to two years.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EDGAR: database maintained by the U.S. Securities &amp; Exchange Commission (SEC) containing government required reports filed by corporations.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Emerging Markets: developing countries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EPS: earnings per share.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Ex-Dividend: the day after dividends is paid</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Execution: a trade completion. For instance, your trade was executed at $12.00.</w:t>
      </w:r>
    </w:p>
    <w:p w:rsidR="008E2231" w:rsidRPr="00301435" w:rsidRDefault="008E2231" w:rsidP="008E2231">
      <w:pPr>
        <w:pStyle w:val="body"/>
        <w:spacing w:before="120" w:after="120" w:line="240" w:lineRule="auto"/>
        <w:jc w:val="both"/>
        <w:rPr>
          <w:rFonts w:ascii="Arial" w:hAnsi="Arial" w:cs="Arial"/>
          <w:sz w:val="20"/>
          <w:szCs w:val="20"/>
        </w:rPr>
      </w:pPr>
      <w:proofErr w:type="gramStart"/>
      <w:r w:rsidRPr="00301435">
        <w:rPr>
          <w:rFonts w:ascii="Arial" w:hAnsi="Arial" w:cs="Arial"/>
          <w:sz w:val="20"/>
          <w:szCs w:val="20"/>
        </w:rPr>
        <w:t>Expense Ratio: all expenses incurred by mutual fund management in operating and marketing the fund.</w:t>
      </w:r>
      <w:proofErr w:type="gramEnd"/>
      <w:r w:rsidRPr="00301435">
        <w:rPr>
          <w:rFonts w:ascii="Arial" w:hAnsi="Arial" w:cs="Arial"/>
          <w:sz w:val="20"/>
          <w:szCs w:val="20"/>
        </w:rPr>
        <w:t xml:space="preserve"> </w:t>
      </w:r>
      <w:proofErr w:type="gramStart"/>
      <w:r w:rsidRPr="00301435">
        <w:rPr>
          <w:rFonts w:ascii="Arial" w:hAnsi="Arial" w:cs="Arial"/>
          <w:sz w:val="20"/>
          <w:szCs w:val="20"/>
        </w:rPr>
        <w:t>Includes management and 12b-1 fees.</w:t>
      </w:r>
      <w:proofErr w:type="gramEnd"/>
      <w:r w:rsidRPr="00301435">
        <w:rPr>
          <w:rFonts w:ascii="Arial" w:hAnsi="Arial" w:cs="Arial"/>
          <w:sz w:val="20"/>
          <w:szCs w:val="20"/>
        </w:rPr>
        <w:t xml:space="preserve"> </w:t>
      </w:r>
      <w:proofErr w:type="gramStart"/>
      <w:r w:rsidRPr="00301435">
        <w:rPr>
          <w:rFonts w:ascii="Arial" w:hAnsi="Arial" w:cs="Arial"/>
          <w:sz w:val="20"/>
          <w:szCs w:val="20"/>
        </w:rPr>
        <w:t>Doesn’t include loads or redemption fees.</w:t>
      </w:r>
      <w:proofErr w:type="gramEnd"/>
      <w:r w:rsidRPr="00301435">
        <w:rPr>
          <w:rFonts w:ascii="Arial" w:hAnsi="Arial" w:cs="Arial"/>
          <w:sz w:val="20"/>
          <w:szCs w:val="20"/>
        </w:rPr>
        <w:t xml:space="preserve"> Expense ratios are deducted before computing fund returns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Extended Hours Trading: trades executed outside normal market hours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Fair Value: the true value of a stock based on criteria of the user’s choosing. A stock is said to be overvalued when the share price exceeds the fair value.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Fallen Angel: an IPO trading below its issue price in the aftermarket</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Financials: financial statements including operating statement, balance sheet, and statement of cash flows.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Fiscal Year: any 12-month period designated by a corporation as their accounting year. Once set up, a corporation's fiscal year does not change.</w:t>
      </w:r>
    </w:p>
    <w:p w:rsidR="008E2231" w:rsidRPr="00301435" w:rsidRDefault="008E2231" w:rsidP="008E2231">
      <w:pPr>
        <w:pStyle w:val="body"/>
        <w:spacing w:before="120" w:after="120" w:line="240" w:lineRule="auto"/>
        <w:jc w:val="both"/>
        <w:rPr>
          <w:rFonts w:ascii="Arial" w:hAnsi="Arial" w:cs="Arial"/>
          <w:sz w:val="20"/>
          <w:szCs w:val="20"/>
        </w:rPr>
      </w:pPr>
      <w:proofErr w:type="gramStart"/>
      <w:r w:rsidRPr="00301435">
        <w:rPr>
          <w:rFonts w:ascii="Arial" w:hAnsi="Arial" w:cs="Arial"/>
          <w:sz w:val="20"/>
          <w:szCs w:val="20"/>
        </w:rPr>
        <w:t>Flipping: the practice of buying IPO shares at the issue price and reselling them on the first day of trading.</w:t>
      </w:r>
      <w:proofErr w:type="gramEnd"/>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Float: shares outstanding less shares held by insiders. Insiders cannot readily trade shares, so float is considered to be the number of shares available for trading.</w:t>
      </w:r>
    </w:p>
    <w:p w:rsidR="008E2231" w:rsidRPr="00301435" w:rsidRDefault="008E2231" w:rsidP="008E2231">
      <w:pPr>
        <w:pStyle w:val="body"/>
        <w:spacing w:before="120" w:after="120" w:line="240" w:lineRule="auto"/>
        <w:jc w:val="both"/>
        <w:rPr>
          <w:rFonts w:ascii="Arial" w:hAnsi="Arial" w:cs="Arial"/>
          <w:sz w:val="20"/>
          <w:szCs w:val="20"/>
        </w:rPr>
      </w:pPr>
      <w:proofErr w:type="spellStart"/>
      <w:r w:rsidRPr="00301435">
        <w:rPr>
          <w:rFonts w:ascii="Arial" w:hAnsi="Arial" w:cs="Arial"/>
          <w:sz w:val="20"/>
          <w:szCs w:val="20"/>
        </w:rPr>
        <w:t>Forex</w:t>
      </w:r>
      <w:proofErr w:type="spellEnd"/>
      <w:r w:rsidRPr="00301435">
        <w:rPr>
          <w:rFonts w:ascii="Arial" w:hAnsi="Arial" w:cs="Arial"/>
          <w:sz w:val="20"/>
          <w:szCs w:val="20"/>
        </w:rPr>
        <w:t xml:space="preserve">: foreign currency exchange markets. </w:t>
      </w:r>
    </w:p>
    <w:p w:rsidR="008E2231" w:rsidRPr="00301435" w:rsidRDefault="008E2231" w:rsidP="008E2231">
      <w:pPr>
        <w:pStyle w:val="body"/>
        <w:spacing w:before="120" w:after="120" w:line="240" w:lineRule="auto"/>
        <w:jc w:val="both"/>
        <w:rPr>
          <w:rFonts w:ascii="Arial" w:hAnsi="Arial" w:cs="Arial"/>
          <w:sz w:val="20"/>
          <w:szCs w:val="20"/>
        </w:rPr>
      </w:pPr>
      <w:proofErr w:type="gramStart"/>
      <w:r w:rsidRPr="00301435">
        <w:rPr>
          <w:rFonts w:ascii="Arial" w:hAnsi="Arial" w:cs="Arial"/>
          <w:sz w:val="20"/>
          <w:szCs w:val="20"/>
        </w:rPr>
        <w:t>Funds From Operations (FFO): used instead of earnings to evaluate real estate investment trusts (REITs).</w:t>
      </w:r>
      <w:proofErr w:type="gramEnd"/>
      <w:r w:rsidRPr="00301435">
        <w:rPr>
          <w:rFonts w:ascii="Arial" w:hAnsi="Arial" w:cs="Arial"/>
          <w:sz w:val="20"/>
          <w:szCs w:val="20"/>
        </w:rPr>
        <w:t xml:space="preserve"> Depreciation of real estate that was deducted from earnings is added back in to calculate FFO. Any gains or losses from the sale of real estate are also removed.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Free Cash Flow: operating cash flow minus amounts spent on plants and equipment and minus dividends.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Front-End Load: sales charge paid when purchasing a mutual fund.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Full Service Broker: a stockbroker offering investment advice and other services not usually offered by discount brokers.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Fully Diluted: number of shares outstanding including options granted but not yet exercised.</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Fundamental Analysis: analyzing stocks by looking at earnings, sales, profit margins, etc.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Fund Family: a group of mutual funds owned by the same company</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Federal funds rate: The rate domestic banks charge one another on overnight loans to meet Federal Reserve requirements. This rate tracks very closely to the discount rate, but is usually slightly higher. </w:t>
      </w:r>
    </w:p>
    <w:p w:rsidR="008E2231" w:rsidRPr="00301435" w:rsidRDefault="008E2231" w:rsidP="008E2231">
      <w:pPr>
        <w:pStyle w:val="body"/>
        <w:spacing w:before="120" w:after="120" w:line="240" w:lineRule="auto"/>
        <w:jc w:val="both"/>
        <w:rPr>
          <w:rFonts w:ascii="Arial" w:hAnsi="Arial" w:cs="Arial"/>
          <w:sz w:val="20"/>
          <w:szCs w:val="20"/>
        </w:rPr>
      </w:pPr>
      <w:proofErr w:type="gramStart"/>
      <w:r w:rsidRPr="00301435">
        <w:rPr>
          <w:rFonts w:ascii="Arial" w:hAnsi="Arial" w:cs="Arial"/>
          <w:sz w:val="20"/>
          <w:szCs w:val="20"/>
        </w:rPr>
        <w:t>Fixed income: Bonds and other securities that earn a fixed rate of return.</w:t>
      </w:r>
      <w:proofErr w:type="gramEnd"/>
      <w:r w:rsidRPr="00301435">
        <w:rPr>
          <w:rFonts w:ascii="Arial" w:hAnsi="Arial" w:cs="Arial"/>
          <w:sz w:val="20"/>
          <w:szCs w:val="20"/>
        </w:rPr>
        <w:t xml:space="preserve"> Bonds are typically issued by governments, corporations and municipalities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Floating rate: An interest rate that is benchmarked to other rates (such as the rate paid on U.S. Treasuries), allowing the interest rate to change as market conditions change.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Floor traders: Traders for an investment bank located in the firm's offices. Floor traders spend most of the day seated at their desks observing market action on their computer screens.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GARP: growth at a reasonable price. A strategy of buying stocks whose price/earnings ratio is equal to or less than the estimated annual earnings growth rate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Geographic Funds: mutual funds specializing in a specific geographic area such as </w:t>
      </w:r>
      <w:smartTag w:uri="urn:schemas-microsoft-com:office:smarttags" w:element="place">
        <w:r w:rsidRPr="00301435">
          <w:rPr>
            <w:rFonts w:ascii="Arial" w:hAnsi="Arial" w:cs="Arial"/>
            <w:sz w:val="20"/>
            <w:szCs w:val="20"/>
          </w:rPr>
          <w:t>Europe</w:t>
        </w:r>
      </w:smartTag>
      <w:r w:rsidRPr="00301435">
        <w:rPr>
          <w:rFonts w:ascii="Arial" w:hAnsi="Arial" w:cs="Arial"/>
          <w:sz w:val="20"/>
          <w:szCs w:val="20"/>
        </w:rPr>
        <w:t>.</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Good For the Day: buy or sell limit order will expire at close of trading if not executed.</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Good till Canceled: buy or sell limit order remains active until you cancel it.</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Goodwill: the amount of a company's shareholder's equity that exceeds the value of its hard assets.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Green Shoe: an agreement allowing the lead underwriter to buy additional shares of an IPO at the offering price after the IPO begins trading.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Gross Margin: gross profit divided by sales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Gross Profit: profit a company makes on goods and services before considering overhead expenses. Gross profit is sales minus cost of sales.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Growth Stocks: companies with consistent annual earnings and sales growth of at least 15%.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Hedge: To balance a position in the market in order to reduce risk. Hedges work like insurance: a small position pays off large amounts with a slight move in the market.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High grade corporate bond: A corporate bond with a rating above BB. </w:t>
      </w:r>
      <w:proofErr w:type="gramStart"/>
      <w:r w:rsidRPr="00301435">
        <w:rPr>
          <w:rFonts w:ascii="Arial" w:hAnsi="Arial" w:cs="Arial"/>
          <w:sz w:val="20"/>
          <w:szCs w:val="20"/>
        </w:rPr>
        <w:t>Also called investment grade debt.</w:t>
      </w:r>
      <w:proofErr w:type="gramEnd"/>
      <w:r w:rsidRPr="00301435">
        <w:rPr>
          <w:rFonts w:ascii="Arial" w:hAnsi="Arial" w:cs="Arial"/>
          <w:sz w:val="20"/>
          <w:szCs w:val="20"/>
        </w:rPr>
        <w:t xml:space="prese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High-yield debt (a.k.a. Junk bonds): Corporate bonds that pay high interest rates (to compensate investors for high risk of default). Credit rating agencies such as Standard &amp; Poor's rate a company's (or a municipality's) bonds based on default risk. Junk bonds rate below BB.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Hypothecation: pledging of assets as collateral.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Haircut:  The margin or difference between the actual market value of a security and the value assessed by the lending side of a transaction).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Half-stock:  Stock, common or preferred, with a $50 par value.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Hammering the market:  Heavy selling of stocks by speculators who think that the stock is overvalued and is about to drop.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Heavy:  An equities market now dominated by sellers, or oversupply, resulting in falling prices. </w:t>
      </w:r>
    </w:p>
    <w:p w:rsidR="008E2231" w:rsidRPr="00301435" w:rsidRDefault="008E2231" w:rsidP="008E2231">
      <w:pPr>
        <w:pStyle w:val="body"/>
        <w:spacing w:before="120" w:after="120" w:line="240" w:lineRule="auto"/>
        <w:jc w:val="both"/>
        <w:rPr>
          <w:rFonts w:ascii="Arial" w:hAnsi="Arial" w:cs="Arial"/>
          <w:sz w:val="20"/>
          <w:szCs w:val="20"/>
        </w:rPr>
      </w:pPr>
      <w:proofErr w:type="spellStart"/>
      <w:r w:rsidRPr="00301435">
        <w:rPr>
          <w:rFonts w:ascii="Arial" w:hAnsi="Arial" w:cs="Arial"/>
          <w:sz w:val="20"/>
          <w:szCs w:val="20"/>
        </w:rPr>
        <w:t>Hedgie</w:t>
      </w:r>
      <w:proofErr w:type="spellEnd"/>
      <w:r w:rsidRPr="00301435">
        <w:rPr>
          <w:rFonts w:ascii="Arial" w:hAnsi="Arial" w:cs="Arial"/>
          <w:sz w:val="20"/>
          <w:szCs w:val="20"/>
        </w:rPr>
        <w:t xml:space="preserve">: Slang for a hedge fund.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HIBOR:  Hong Kong Interbank Offer Rate, the annualized offer rate banks pay to attain </w:t>
      </w:r>
      <w:smartTag w:uri="urn:schemas-microsoft-com:office:smarttags" w:element="place">
        <w:r w:rsidRPr="00301435">
          <w:rPr>
            <w:rFonts w:ascii="Arial" w:hAnsi="Arial" w:cs="Arial"/>
            <w:sz w:val="20"/>
            <w:szCs w:val="20"/>
          </w:rPr>
          <w:t>Hong Kong</w:t>
        </w:r>
      </w:smartTag>
      <w:r w:rsidRPr="00301435">
        <w:rPr>
          <w:rFonts w:ascii="Arial" w:hAnsi="Arial" w:cs="Arial"/>
          <w:sz w:val="20"/>
          <w:szCs w:val="20"/>
        </w:rPr>
        <w:t xml:space="preserve"> three-month deposits in denominated dollars.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Hidden load:  A sales charge that is not explicitly disclosed or is buried in the fine print of a mutual fund prospectus or life insurance policy and therefore is not immediately apparent.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High price:  The highest (intraday) price of a stock over the past 52 weeks, adjusted for any stock splits.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Highs:  Stocks that have hit an all-time high for the current 52-week time period.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Host security:  The security to which a warrant is attached.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Hostile takeover:  A takeover of a company against the wishes of the current management and the board of directors by an acquiring company or raider.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Hot:  Used in the context of general equities. </w:t>
      </w:r>
      <w:proofErr w:type="gramStart"/>
      <w:r w:rsidRPr="00301435">
        <w:rPr>
          <w:rFonts w:ascii="Arial" w:hAnsi="Arial" w:cs="Arial"/>
          <w:sz w:val="20"/>
          <w:szCs w:val="20"/>
        </w:rPr>
        <w:t>Active, usually with positive price implications.</w:t>
      </w:r>
      <w:proofErr w:type="gramEnd"/>
      <w:r w:rsidRPr="00301435">
        <w:rPr>
          <w:rFonts w:ascii="Arial" w:hAnsi="Arial" w:cs="Arial"/>
          <w:sz w:val="20"/>
          <w:szCs w:val="20"/>
        </w:rPr>
        <w:t xml:space="prese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Hot money:  Money that moves across country borders in response to interest rate differences and that moves away when the interest rate differential disappears.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House:  Firms that conduct business as broker-dealers in securities or in the investment banking field are characterized as houses.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House account:  A type of account at a brokerage firm that is given a high level of priority and is handled by the main office or an executive, rather than a traditional salesperson.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House call: Notification by a brokerage house that a customer's margin account is below the minimum maintenance level. The client must provide more cash or equity, or the account will be liquidated.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House of issue:  An investment banking firm whose business it is to underwrite stock or bond issues and offer the securities to the public.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"How are you making XXX?”:  "What is your market in a particular stock?" See: Quotation.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Hubris:  arrogance due to excessive pride and insolence toward others. A classic character flaw of a trader or investor</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Hung up:  Used to describe the position of an investor whose stocks or bonds have dropped in value below their original purchase price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Hunkering down:  A term used to describe a trader selling off a big position in a stock</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Initial Public Offering (IPO): The dream of every entrepreneur, the IPO is the first time a company issues stock to the public. "Going public" means more than raising money for the company: By agreeing to take on public shareholders, a company enters a whole world of required SEC filings and quarterly revenue and earnings reports, not to mention possible shareholder lawsuits.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Institutional clients or investors: Large investors, such as pension funds or municipalities (as opposed to "retail investors" or "individual investors").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Index: a composite representing the value of a group of stocks.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Insider trading: shares bought and sold by company insiders. It’s legal as long as they follow the SEC’s reporting requirements.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Institutional Ownership: Shares owned by pension funds, mutual funds, banks, etc.</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Intraday: stock trading tracked in periods shorter than one day.</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Intrinsic Value: a term favored by value oriented fundamental analysts to express the actual value of a corporation, as opposed to the current value based on the stock price. </w:t>
      </w:r>
      <w:proofErr w:type="gramStart"/>
      <w:r w:rsidRPr="00301435">
        <w:rPr>
          <w:rFonts w:ascii="Arial" w:hAnsi="Arial" w:cs="Arial"/>
          <w:sz w:val="20"/>
          <w:szCs w:val="20"/>
        </w:rPr>
        <w:t>Usually calculated by adding the current value of estimated future earnings to the book value.</w:t>
      </w:r>
      <w:proofErr w:type="gramEnd"/>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Investment Bank: an organization, usually a stock brokerage firm, involved in taking a new company public (IPO), consulting on mergers and acquisitions, handling corporate borrowing, etc.</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January Effect: supposedly, small stocks make a big move up in January.</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Junk Bonds: corporate bonds with poor credit ratings.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Large-Cap: company with market capitalization greater than $8 billion.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Lead Underwriter: brokerage house in charge of IPO.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Leveraged Buy Out: </w:t>
      </w:r>
      <w:proofErr w:type="spellStart"/>
      <w:r w:rsidRPr="00301435">
        <w:rPr>
          <w:rFonts w:ascii="Arial" w:hAnsi="Arial" w:cs="Arial"/>
          <w:sz w:val="20"/>
          <w:szCs w:val="20"/>
        </w:rPr>
        <w:t>Take over</w:t>
      </w:r>
      <w:proofErr w:type="spellEnd"/>
      <w:r w:rsidRPr="00301435">
        <w:rPr>
          <w:rFonts w:ascii="Arial" w:hAnsi="Arial" w:cs="Arial"/>
          <w:sz w:val="20"/>
          <w:szCs w:val="20"/>
        </w:rPr>
        <w:t xml:space="preserve"> of a public corporation using borrowed funds.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LEAP: a long-term put or </w:t>
      </w:r>
      <w:proofErr w:type="gramStart"/>
      <w:r w:rsidRPr="00301435">
        <w:rPr>
          <w:rFonts w:ascii="Arial" w:hAnsi="Arial" w:cs="Arial"/>
          <w:sz w:val="20"/>
          <w:szCs w:val="20"/>
        </w:rPr>
        <w:t>call</w:t>
      </w:r>
      <w:proofErr w:type="gramEnd"/>
      <w:r w:rsidRPr="00301435">
        <w:rPr>
          <w:rFonts w:ascii="Arial" w:hAnsi="Arial" w:cs="Arial"/>
          <w:sz w:val="20"/>
          <w:szCs w:val="20"/>
        </w:rPr>
        <w:t xml:space="preserve"> option (as long as three years).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Limit Order: order with broker to buy stock at limit price or less, or to sell stock at limit price or higher.</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Liquidity: a measure of the number of shares, or dollar value of shares traded daily. Mutual funds and other institutional buyers prefer high liquidity stocks so they can easily move in and out of positions.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Load: a sales commission paid when you buy (front-end) or sell (back-end) a mutual fund.</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Lockup Period: time after IPO, typically 180 days, when insiders are prohibited from selling their shares.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Long-Term Investments: balance sheet item reflecting investments in other companies, etc.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Lead manager: The primary investment bank managing a securities offering. (An investment bank may share this responsibility with one or more "co-managers.")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League tables: Tables that rank investment banks based on underwriting volume in numerous categories, such as stocks, bonds, high-yield debt, convertible debt, etc. High rankings in league tables are key selling points used by investment banks when trying to land a client engagement.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Leveraged Buyout (LBO): The buyout of a company with borrowed money, often using that company's own assets as collateral. LBOs were the order of the day in the heady 1980s, when successful LBO firms such as Kohlberg Kravis Roberts made a practice of buying up companies, restructuring them, and reselling them or taking them public at a significant profit. LBOs are now somewhat out of fashion.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LIBOR: The "</w:t>
      </w:r>
      <w:smartTag w:uri="urn:schemas-microsoft-com:office:smarttags" w:element="place">
        <w:smartTag w:uri="urn:schemas-microsoft-com:office:smarttags" w:element="City">
          <w:r w:rsidRPr="00301435">
            <w:rPr>
              <w:rFonts w:ascii="Arial" w:hAnsi="Arial" w:cs="Arial"/>
              <w:sz w:val="20"/>
              <w:szCs w:val="20"/>
            </w:rPr>
            <w:t>London</w:t>
          </w:r>
        </w:smartTag>
      </w:smartTag>
      <w:r w:rsidRPr="00301435">
        <w:rPr>
          <w:rFonts w:ascii="Arial" w:hAnsi="Arial" w:cs="Arial"/>
          <w:sz w:val="20"/>
          <w:szCs w:val="20"/>
        </w:rPr>
        <w:t xml:space="preserve"> Inter-bank Offer Rate." </w:t>
      </w:r>
      <w:proofErr w:type="gramStart"/>
      <w:r w:rsidRPr="00301435">
        <w:rPr>
          <w:rFonts w:ascii="Arial" w:hAnsi="Arial" w:cs="Arial"/>
          <w:sz w:val="20"/>
          <w:szCs w:val="20"/>
        </w:rPr>
        <w:t>A widely short-term interest rate.</w:t>
      </w:r>
      <w:proofErr w:type="gramEnd"/>
      <w:r w:rsidRPr="00301435">
        <w:rPr>
          <w:rFonts w:ascii="Arial" w:hAnsi="Arial" w:cs="Arial"/>
          <w:sz w:val="20"/>
          <w:szCs w:val="20"/>
        </w:rPr>
        <w:t xml:space="preserve"> LIBOR represents the rate banks in </w:t>
      </w:r>
      <w:smartTag w:uri="urn:schemas-microsoft-com:office:smarttags" w:element="place">
        <w:smartTag w:uri="urn:schemas-microsoft-com:office:smarttags" w:element="country-region">
          <w:r w:rsidRPr="00301435">
            <w:rPr>
              <w:rFonts w:ascii="Arial" w:hAnsi="Arial" w:cs="Arial"/>
              <w:sz w:val="20"/>
              <w:szCs w:val="20"/>
            </w:rPr>
            <w:t>England</w:t>
          </w:r>
        </w:smartTag>
      </w:smartTag>
      <w:r w:rsidRPr="00301435">
        <w:rPr>
          <w:rFonts w:ascii="Arial" w:hAnsi="Arial" w:cs="Arial"/>
          <w:sz w:val="20"/>
          <w:szCs w:val="20"/>
        </w:rPr>
        <w:t xml:space="preserve"> charge one another on overnight loans or loans up to five years. LIBOR is often used by banks to quote floating rate loan interest rates. Typically the "benchmark LIBOR" is the three-month rate.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Liquidity: The amount of a particular stock or bond available for trading in the market. For commonly traded securities, such as big cap stocks and </w:t>
      </w:r>
      <w:smartTag w:uri="urn:schemas-microsoft-com:office:smarttags" w:element="place">
        <w:smartTag w:uri="urn:schemas-microsoft-com:office:smarttags" w:element="country-region">
          <w:r w:rsidRPr="00301435">
            <w:rPr>
              <w:rFonts w:ascii="Arial" w:hAnsi="Arial" w:cs="Arial"/>
              <w:sz w:val="20"/>
              <w:szCs w:val="20"/>
            </w:rPr>
            <w:t>U.S.</w:t>
          </w:r>
        </w:smartTag>
      </w:smartTag>
      <w:r w:rsidRPr="00301435">
        <w:rPr>
          <w:rFonts w:ascii="Arial" w:hAnsi="Arial" w:cs="Arial"/>
          <w:sz w:val="20"/>
          <w:szCs w:val="20"/>
        </w:rPr>
        <w:t xml:space="preserve"> government bonds, they are said to be highly liquid instruments. Small cap stocks and smaller fixed income issues often are called illiquid (as they are not actively traded) and suffer a liquidity discount, i.e. they trade at lower valuations to similar, but more liquid, securities.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Margin Account: a brokerage account with approved credit so you can buy stock on margin.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Market Order: order with broker to buy or sell stock at current market price.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Message Board: a location on a Web site dedicated to the discussion of a particular topic, usually a single stock or industry sector. Discussions are not real-time. Someone posts a message, and then others respond over a period of hours or days.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Mid-Cap: company with market capitalization between $2 billion and $7 billion.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Morningstar: mutual fund rating service.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Making markets: A function performed by investment banks to provide liquidity for their clients in a particular security, often for a security that the investment bank has underwritten. (In others words, the investment bank stands willing to buy the security, if necessary, when the investor later decides to sell it.) </w:t>
      </w:r>
    </w:p>
    <w:p w:rsidR="008E2231" w:rsidRPr="00301435" w:rsidRDefault="008E2231" w:rsidP="008E2231">
      <w:pPr>
        <w:pStyle w:val="body"/>
        <w:spacing w:before="120" w:after="120" w:line="240" w:lineRule="auto"/>
        <w:jc w:val="both"/>
        <w:rPr>
          <w:rFonts w:ascii="Arial" w:hAnsi="Arial" w:cs="Arial"/>
          <w:sz w:val="20"/>
          <w:szCs w:val="20"/>
        </w:rPr>
      </w:pPr>
      <w:proofErr w:type="gramStart"/>
      <w:r w:rsidRPr="00301435">
        <w:rPr>
          <w:rFonts w:ascii="Arial" w:hAnsi="Arial" w:cs="Arial"/>
          <w:sz w:val="20"/>
          <w:szCs w:val="20"/>
        </w:rPr>
        <w:t>Market Capitalization: The total value of a company in the stock market (total shares outstanding x price per share).</w:t>
      </w:r>
      <w:proofErr w:type="gramEnd"/>
      <w:r w:rsidRPr="00301435">
        <w:rPr>
          <w:rFonts w:ascii="Arial" w:hAnsi="Arial" w:cs="Arial"/>
          <w:sz w:val="20"/>
          <w:szCs w:val="20"/>
        </w:rPr>
        <w:t xml:space="prese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Merchant banking: The department within an investment bank that invests the firm's own money in other companies. </w:t>
      </w:r>
      <w:proofErr w:type="gramStart"/>
      <w:r w:rsidRPr="00301435">
        <w:rPr>
          <w:rFonts w:ascii="Arial" w:hAnsi="Arial" w:cs="Arial"/>
          <w:sz w:val="20"/>
          <w:szCs w:val="20"/>
        </w:rPr>
        <w:t>Analogous to a venture capital arm.</w:t>
      </w:r>
      <w:proofErr w:type="gramEnd"/>
      <w:r w:rsidRPr="00301435">
        <w:rPr>
          <w:rFonts w:ascii="Arial" w:hAnsi="Arial" w:cs="Arial"/>
          <w:sz w:val="20"/>
          <w:szCs w:val="20"/>
        </w:rPr>
        <w:t xml:space="prese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Money market securities: This term is generally used to represent the market for securities maturing within one year. These include short-term CDs, Repurchase Agreements, Commercial Paper (low-risk corporate issues), among others. These are low risk, short-term securities that have yields similar to Treasuries.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Mortgage-backed bonds: Bonds collateralized by a pool of mortgages. Interest and principal payments are based on the individual homeowners making their mortgage payments. The more diverse the pool of mortgages backing the bond, the less risky they are.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NASDAQ: national market for trading stocks.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Net Asset Value: value of all stock and other assets owned by mutual fund divided by total number of shares fund has outstanding.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No Load Mutual Fund: no sales commission is charged if you buy shares directly from the fund. There may or may not be a commission charged if you buy the fund through a broker.</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Open: trade price of the day’s first transaction.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Open End Mutual Fund: investors buy shares directly from fund, and sell shares directly to fund. Share price is Net Asset Value (NAV).</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Over-the-Counter-Market: older name for stocks traded on NASDAQ. Also refers to bulletin board and Pink Sheet stocks.</w:t>
      </w:r>
    </w:p>
    <w:p w:rsidR="008E2231" w:rsidRPr="00301435" w:rsidRDefault="008E2231" w:rsidP="008E2231">
      <w:pPr>
        <w:pStyle w:val="body"/>
        <w:spacing w:before="120" w:after="120" w:line="240" w:lineRule="auto"/>
        <w:jc w:val="both"/>
        <w:rPr>
          <w:rFonts w:ascii="Arial" w:hAnsi="Arial" w:cs="Arial"/>
          <w:sz w:val="20"/>
          <w:szCs w:val="20"/>
        </w:rPr>
      </w:pPr>
      <w:proofErr w:type="spellStart"/>
      <w:r w:rsidRPr="00301435">
        <w:rPr>
          <w:rFonts w:ascii="Arial" w:hAnsi="Arial" w:cs="Arial"/>
          <w:sz w:val="20"/>
          <w:szCs w:val="20"/>
        </w:rPr>
        <w:t>Pitchbook</w:t>
      </w:r>
      <w:proofErr w:type="spellEnd"/>
      <w:r w:rsidRPr="00301435">
        <w:rPr>
          <w:rFonts w:ascii="Arial" w:hAnsi="Arial" w:cs="Arial"/>
          <w:sz w:val="20"/>
          <w:szCs w:val="20"/>
        </w:rPr>
        <w:t xml:space="preserve">: The book of exhibits, graphs, and initial recommendations presented by bankers to a prospective client when trying to land an engagement.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Pit traders: Traders who are positioned on the floor of stock and commodity exchanges (as opposed to "floor traders," situated in investment bank offices).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P/E ratio: The price to earnings ratio. This is the ratio of a company's stock price to its earnings-per-share. The higher the P/E ratio, the more "expensive" a stock is (and also the faster investors believe the company will grow). Stocks in fast-growing industries tend to have higher P/E ratios. Prime rate: The average rate </w:t>
      </w:r>
      <w:smartTag w:uri="urn:schemas-microsoft-com:office:smarttags" w:element="place">
        <w:smartTag w:uri="urn:schemas-microsoft-com:office:smarttags" w:element="country-region">
          <w:r w:rsidRPr="00301435">
            <w:rPr>
              <w:rFonts w:ascii="Arial" w:hAnsi="Arial" w:cs="Arial"/>
              <w:sz w:val="20"/>
              <w:szCs w:val="20"/>
            </w:rPr>
            <w:t>U.S.</w:t>
          </w:r>
        </w:smartTag>
      </w:smartTag>
      <w:r w:rsidRPr="00301435">
        <w:rPr>
          <w:rFonts w:ascii="Arial" w:hAnsi="Arial" w:cs="Arial"/>
          <w:sz w:val="20"/>
          <w:szCs w:val="20"/>
        </w:rPr>
        <w:t xml:space="preserve"> banks charge to companies for loans.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Producer Price Index: The PPI measure the percentage increase in a standard basket of goods and services. PPI is a measure of inflation for producers and manufacturers.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Proprietary trading: Trading of the firm's own assets (as opposed to trading client assets).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Prospectus: A report issued by a company (filed with and approved by the SEC) that wishes to sell securities to investors. Distributed to prospective investors, the prospectus discloses the company's financial position, business description, and risk factors.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Payout Ratio: Percentage of earnings paid out in dividends.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Poison Pill: Steps taken by a corporation to thwart a hostile takeover attempt. For instance, a company could issue rights to purchase shares at a substantial discount after a merger, or it might issue preferred shares giving holders the right to redeem their shares at a discount after a merger.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Portfolio: a group of stocks, mutual funds, or other securities.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Prospectus: a document circulated to potential investors prior to an IPO describing a company’s business plan.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Proxy Statement: material given to stockholders when the corporation solicits shareholder votes. The proxy statement usually contains details on the corporation's executive compensation plans.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Put Option: an option to sell 100 shares of a specified company’s shares at a predetermined price (also see LEAPs and call options).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Quick Ratio: cash and cash equivalents plus accounts receivables divided by current liabilities (aka Acid Test Ratio)</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Quiet Period: time after IPO, typically 25 days, when all parties involved in IPO are prohibited from commenting on the company’s future prospects. Analysts employed by underwriters are free to make buy/hold/sell recommendations after the Quiet Period expiration.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Quote: information on the last trade, and current bid and asked prices. Most quotes are intentionally delayed about 20 minutes.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Range: high and low trade prices for the day, week, or month.</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Real-Time Quotes: stock trading price reports that have not been artificially delayed.</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Redemption Fee: Fee charged when you sell a mutual fund, if you haven’t held the fund for the prescribed minimum time.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REIT: real estate investment trust. </w:t>
      </w:r>
      <w:proofErr w:type="gramStart"/>
      <w:r w:rsidRPr="00301435">
        <w:rPr>
          <w:rFonts w:ascii="Arial" w:hAnsi="Arial" w:cs="Arial"/>
          <w:sz w:val="20"/>
          <w:szCs w:val="20"/>
        </w:rPr>
        <w:t>A special form of mutual fund investing only in real estate.</w:t>
      </w:r>
      <w:proofErr w:type="gramEnd"/>
      <w:r w:rsidRPr="00301435">
        <w:rPr>
          <w:rFonts w:ascii="Arial" w:hAnsi="Arial" w:cs="Arial"/>
          <w:sz w:val="20"/>
          <w:szCs w:val="20"/>
        </w:rPr>
        <w:t xml:space="preserve"> REITs must pay out most of their earnings as dividends to share owners.</w:t>
      </w:r>
    </w:p>
    <w:p w:rsidR="008E2231" w:rsidRPr="00301435" w:rsidRDefault="008E2231" w:rsidP="008E2231">
      <w:pPr>
        <w:pStyle w:val="body"/>
        <w:spacing w:before="120" w:after="120" w:line="240" w:lineRule="auto"/>
        <w:jc w:val="both"/>
        <w:rPr>
          <w:rFonts w:ascii="Arial" w:hAnsi="Arial" w:cs="Arial"/>
          <w:sz w:val="20"/>
          <w:szCs w:val="20"/>
        </w:rPr>
      </w:pP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Red herring: Also known as a "preliminary prospectus." A financial report printed by the issuer of a security that can be used to generate interest from prospective investors before the securities are legally available to be sold. Based on final SEC comments, the information reported in a red herring may change slightly by the time the securities are actually issued.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Retail clients: Individual investors (as opposed to "institutional clients").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Return on equity: The ratio of a firm's profits to the value of its equity. Return on equity, or ROE, is a commonly used measure of how well an investment bank is doing, because it measures how efficiently and profitably the firm is using its capital.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Risk arbitrage: When an investment bank invests in the stock of a company it believes will be purchased in a merger or acquisition. (Distinguish from "risk-free arbitrage.")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Risk-free arbitrage: When an investment bank buys a derivative or equity for a slightly lower price in one market and resells it in another. For example, if Dell stock were trading at 212 in the </w:t>
      </w:r>
      <w:smartTag w:uri="urn:schemas-microsoft-com:office:smarttags" w:element="country-region">
        <w:r w:rsidRPr="00301435">
          <w:rPr>
            <w:rFonts w:ascii="Arial" w:hAnsi="Arial" w:cs="Arial"/>
            <w:sz w:val="20"/>
            <w:szCs w:val="20"/>
          </w:rPr>
          <w:t>United States</w:t>
        </w:r>
      </w:smartTag>
      <w:r w:rsidRPr="00301435">
        <w:rPr>
          <w:rFonts w:ascii="Arial" w:hAnsi="Arial" w:cs="Arial"/>
          <w:sz w:val="20"/>
          <w:szCs w:val="20"/>
        </w:rPr>
        <w:t xml:space="preserve"> and 213 in </w:t>
      </w:r>
      <w:smartTag w:uri="urn:schemas-microsoft-com:office:smarttags" w:element="country-region">
        <w:r w:rsidRPr="00301435">
          <w:rPr>
            <w:rFonts w:ascii="Arial" w:hAnsi="Arial" w:cs="Arial"/>
            <w:sz w:val="20"/>
            <w:szCs w:val="20"/>
          </w:rPr>
          <w:t>Japan</w:t>
        </w:r>
      </w:smartTag>
      <w:r w:rsidRPr="00301435">
        <w:rPr>
          <w:rFonts w:ascii="Arial" w:hAnsi="Arial" w:cs="Arial"/>
          <w:sz w:val="20"/>
          <w:szCs w:val="20"/>
        </w:rPr>
        <w:t xml:space="preserve">, buying it in the </w:t>
      </w:r>
      <w:smartTag w:uri="urn:schemas-microsoft-com:office:smarttags" w:element="country-region">
        <w:r w:rsidRPr="00301435">
          <w:rPr>
            <w:rFonts w:ascii="Arial" w:hAnsi="Arial" w:cs="Arial"/>
            <w:sz w:val="20"/>
            <w:szCs w:val="20"/>
          </w:rPr>
          <w:t>U.S.</w:t>
        </w:r>
      </w:smartTag>
      <w:r w:rsidRPr="00301435">
        <w:rPr>
          <w:rFonts w:ascii="Arial" w:hAnsi="Arial" w:cs="Arial"/>
          <w:sz w:val="20"/>
          <w:szCs w:val="20"/>
        </w:rPr>
        <w:t xml:space="preserve"> and reselling it in </w:t>
      </w:r>
      <w:smartTag w:uri="urn:schemas-microsoft-com:office:smarttags" w:element="place">
        <w:smartTag w:uri="urn:schemas-microsoft-com:office:smarttags" w:element="country-region">
          <w:r w:rsidRPr="00301435">
            <w:rPr>
              <w:rFonts w:ascii="Arial" w:hAnsi="Arial" w:cs="Arial"/>
              <w:sz w:val="20"/>
              <w:szCs w:val="20"/>
            </w:rPr>
            <w:t>Japan</w:t>
          </w:r>
        </w:smartTag>
      </w:smartTag>
      <w:r w:rsidRPr="00301435">
        <w:rPr>
          <w:rFonts w:ascii="Arial" w:hAnsi="Arial" w:cs="Arial"/>
          <w:sz w:val="20"/>
          <w:szCs w:val="20"/>
        </w:rPr>
        <w:t xml:space="preserve"> would be risk-free. Risk-free arbitrage opportunities are infrequent and much more arcane than the example provided. </w:t>
      </w:r>
    </w:p>
    <w:p w:rsidR="008E2231" w:rsidRPr="00301435" w:rsidRDefault="008E2231" w:rsidP="008E2231">
      <w:pPr>
        <w:pStyle w:val="body"/>
        <w:spacing w:before="120" w:after="120" w:line="240" w:lineRule="auto"/>
        <w:jc w:val="both"/>
        <w:rPr>
          <w:rFonts w:ascii="Arial" w:hAnsi="Arial" w:cs="Arial"/>
          <w:sz w:val="20"/>
          <w:szCs w:val="20"/>
        </w:rPr>
      </w:pPr>
      <w:proofErr w:type="spellStart"/>
      <w:r w:rsidRPr="00301435">
        <w:rPr>
          <w:rFonts w:ascii="Arial" w:hAnsi="Arial" w:cs="Arial"/>
          <w:sz w:val="20"/>
          <w:szCs w:val="20"/>
        </w:rPr>
        <w:t>Roadshow</w:t>
      </w:r>
      <w:proofErr w:type="spellEnd"/>
      <w:r w:rsidRPr="00301435">
        <w:rPr>
          <w:rFonts w:ascii="Arial" w:hAnsi="Arial" w:cs="Arial"/>
          <w:sz w:val="20"/>
          <w:szCs w:val="20"/>
        </w:rPr>
        <w:t xml:space="preserve">: The series of presentations to investors that a company undergoing an IPO usually gives in the weeks preceding the offering. Here's how it works: Several weeks before the IPO is issued, the company and its investment bank will travel to major cities throughout the country. In each city, the company's top executives make a presentation to analysts, mutual fund managers, and others attendees and also answer questions.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S-1: A type of legal document filed with the SEC for a private company aiming to go public. The S-1 is almost identical to the prospectus sent to potential investors. The SEC must approve the S-1 before the stock can be sold to investors.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S-2: A type of legal document filed with the SEC for a public company looking to sell additional shares in the market. The S-2 is almost identical to the prospectus sent to potential investors. The SEC must approve the S-2 before the stock is sold.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Sales memo: Short reports written by the corporate finance bankers and distributed to the bank's salespeople. The sales memo provides salespeople with points to emphasize when hawking the stocks and bonds the firm is underwriting.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Securities and Exchange Commission (SEC): A federal agency that, like the Glass-</w:t>
      </w:r>
      <w:proofErr w:type="spellStart"/>
      <w:r w:rsidRPr="00301435">
        <w:rPr>
          <w:rFonts w:ascii="Arial" w:hAnsi="Arial" w:cs="Arial"/>
          <w:sz w:val="20"/>
          <w:szCs w:val="20"/>
        </w:rPr>
        <w:t>Steagall</w:t>
      </w:r>
      <w:proofErr w:type="spellEnd"/>
      <w:r w:rsidRPr="00301435">
        <w:rPr>
          <w:rFonts w:ascii="Arial" w:hAnsi="Arial" w:cs="Arial"/>
          <w:sz w:val="20"/>
          <w:szCs w:val="20"/>
        </w:rPr>
        <w:t xml:space="preserve"> Act, was established as a result of the stock market crash of 1929 and the ensuing depression. The SEC monitors disclosure of financial information to stockholders, and protects against fraud. Publicly traded securities must first be approved by the SEC prior to trading.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Securitize: To convert an asset into a security that can then be sold to investors. Nearly any income-generating asset can be turned into a security. For example, a 20-year mortgage on a home can be packaged with other mortgages just like it, and shares in this pool of mortgages can then be sold to investors.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Short-term debt: A bond that matures in nine months or less. Also called commercial paper</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Syndicate: A group of investment banks that will together underwrite a particular stock or debt offering. Usually the "lead manager" will underwrite the bulk of a deal, while other members of the syndicate will each underwrite a small portion.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Surety Bonds: Surety bonds provide reimbursement to an individual, company or the government if a firm fails to complete a contract. SBA guarantees surety bonds in a program much like SBA's guaranteed loan program.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Sweat Equity: A common form of "investment." This refers to the investment in time owners make, with no salary, to a new business.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Sweep Account: A brokerage or bank account whose cash balance is automatically transferred into an interest-bearing investment, such as a money market fund. Use sweep accounts to earn interest on surplus cash. At the end of each business day, a sweep account would transfer excess funds into an interest-bearing account, earn overnight interest, and make the funds available the next day.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Tangible Book Value: Book Value minus goodwill and intangible assets.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Technical Analysis: making buy and sell decisions based entirely on stock price and volume history (same as charting).</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Top: a charting term meaning the stock price is going down from here.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Top-Line: sales or revenues.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Total Liabilities: all monies owed regardless of how classified on the balance sheet. The best measure of a firm's total debt.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Triple Witching: the third Friday of March, June, September and December is the day when index futures, index future options, and certain stock options all expire. Triple Witching Fridays are known for high volatility.</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Turnover Ratio: how often a mutual fund changes its portfolio holdings. 100% turnover means a fund, on average, changes all the stocks in its portfolio once a year.</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T-Bill Yields: The yield or internal rate of return an investor would receive at any given moment on a 90-120 government treasury bill.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Tax-exempt bonds: Municipal bonds (also known as "</w:t>
      </w:r>
      <w:proofErr w:type="spellStart"/>
      <w:r w:rsidRPr="00301435">
        <w:rPr>
          <w:rFonts w:ascii="Arial" w:hAnsi="Arial" w:cs="Arial"/>
          <w:sz w:val="20"/>
          <w:szCs w:val="20"/>
        </w:rPr>
        <w:t>munis</w:t>
      </w:r>
      <w:proofErr w:type="spellEnd"/>
      <w:r w:rsidRPr="00301435">
        <w:rPr>
          <w:rFonts w:ascii="Arial" w:hAnsi="Arial" w:cs="Arial"/>
          <w:sz w:val="20"/>
          <w:szCs w:val="20"/>
        </w:rPr>
        <w:t xml:space="preserve">"). </w:t>
      </w:r>
      <w:proofErr w:type="spellStart"/>
      <w:r w:rsidRPr="00301435">
        <w:rPr>
          <w:rFonts w:ascii="Arial" w:hAnsi="Arial" w:cs="Arial"/>
          <w:sz w:val="20"/>
          <w:szCs w:val="20"/>
        </w:rPr>
        <w:t>Munis</w:t>
      </w:r>
      <w:proofErr w:type="spellEnd"/>
      <w:r w:rsidRPr="00301435">
        <w:rPr>
          <w:rFonts w:ascii="Arial" w:hAnsi="Arial" w:cs="Arial"/>
          <w:sz w:val="20"/>
          <w:szCs w:val="20"/>
        </w:rPr>
        <w:t xml:space="preserve"> are free from state and federal taxes.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10K: An annual report filed by a public company with the Securities and Exchange Commission (SEC). </w:t>
      </w:r>
      <w:proofErr w:type="gramStart"/>
      <w:r w:rsidRPr="00301435">
        <w:rPr>
          <w:rFonts w:ascii="Arial" w:hAnsi="Arial" w:cs="Arial"/>
          <w:sz w:val="20"/>
          <w:szCs w:val="20"/>
        </w:rPr>
        <w:t>Includes financial information, company information, risk factors, etc.</w:t>
      </w:r>
      <w:proofErr w:type="gramEnd"/>
      <w:r w:rsidRPr="00301435">
        <w:rPr>
          <w:rFonts w:ascii="Arial" w:hAnsi="Arial" w:cs="Arial"/>
          <w:sz w:val="20"/>
          <w:szCs w:val="20"/>
        </w:rPr>
        <w:t xml:space="prese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10Q: Similar to a 10K, but contains quarterly financial data on a company.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Tombstone: The advertisements that appear in publications like Financial Times or The Wall Street Journal announcing the issuance of a new security. The tombstone ad is placed by the investment bank to boast to the world that it has completed a major deal.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Treasury Securities: Securities issued by the </w:t>
      </w:r>
      <w:smartTag w:uri="urn:schemas-microsoft-com:office:smarttags" w:element="place">
        <w:smartTag w:uri="urn:schemas-microsoft-com:office:smarttags" w:element="country-region">
          <w:r w:rsidRPr="00301435">
            <w:rPr>
              <w:rFonts w:ascii="Arial" w:hAnsi="Arial" w:cs="Arial"/>
              <w:sz w:val="20"/>
              <w:szCs w:val="20"/>
            </w:rPr>
            <w:t>U.S.</w:t>
          </w:r>
        </w:smartTag>
      </w:smartTag>
      <w:r w:rsidRPr="00301435">
        <w:rPr>
          <w:rFonts w:ascii="Arial" w:hAnsi="Arial" w:cs="Arial"/>
          <w:sz w:val="20"/>
          <w:szCs w:val="20"/>
        </w:rPr>
        <w:t xml:space="preserve"> government. These are divided into Treasury Bills (maturity of up to 2 years), Treasury Notes (from 2 years to 10 years maturity), and Treasury Bonds (10 years to 30 years). As they are government guaranteed, often treasuries are considered "risk-free." In fact, while U.S. Treasuries have no default risk, they do have interest rate risk; if rates increase, then the price of UST's will decrease.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Underwrite: The function performed by investment banks when they help companies issue securities to investors. Technically, the investment bank buys the securities from the company and immediately resells the securities to investors for a slightly higher price, making money on the spread.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Undervalued: a stock trading below its fair value.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Uptick: a stock trade executed at a higher price than the previous trade.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Uptrend: stock price is trending higher.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Value Investor: one who looks for out of favor (value priced) stocks</w:t>
      </w:r>
    </w:p>
    <w:p w:rsidR="008E2231" w:rsidRPr="00301435" w:rsidRDefault="008E2231" w:rsidP="008E2231">
      <w:pPr>
        <w:pStyle w:val="body"/>
        <w:spacing w:before="120" w:after="120" w:line="240" w:lineRule="auto"/>
        <w:jc w:val="both"/>
        <w:rPr>
          <w:rFonts w:ascii="Arial" w:hAnsi="Arial" w:cs="Arial"/>
          <w:sz w:val="20"/>
          <w:szCs w:val="20"/>
        </w:rPr>
      </w:pPr>
      <w:proofErr w:type="gramStart"/>
      <w:r w:rsidRPr="00301435">
        <w:rPr>
          <w:rFonts w:ascii="Arial" w:hAnsi="Arial" w:cs="Arial"/>
          <w:sz w:val="20"/>
          <w:szCs w:val="20"/>
        </w:rPr>
        <w:t xml:space="preserve">Value Stocks: </w:t>
      </w:r>
      <w:r>
        <w:rPr>
          <w:rFonts w:ascii="Arial" w:hAnsi="Arial" w:cs="Arial"/>
          <w:sz w:val="20"/>
          <w:szCs w:val="20"/>
        </w:rPr>
        <w:t>C</w:t>
      </w:r>
      <w:r w:rsidRPr="00301435">
        <w:rPr>
          <w:rFonts w:ascii="Arial" w:hAnsi="Arial" w:cs="Arial"/>
          <w:sz w:val="20"/>
          <w:szCs w:val="20"/>
        </w:rPr>
        <w:t>ompanies currently out of favor with investors.</w:t>
      </w:r>
      <w:proofErr w:type="gramEnd"/>
      <w:r w:rsidRPr="00301435">
        <w:rPr>
          <w:rFonts w:ascii="Arial" w:hAnsi="Arial" w:cs="Arial"/>
          <w:sz w:val="20"/>
          <w:szCs w:val="20"/>
        </w:rPr>
        <w:t xml:space="preserve"> These companies usually have low valuation ratios (price/earnings less than the S&amp;P 500, price/sales ratio less than 2, price/book ratio less than 2)</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Venture Capitalist: an investor involved in financing a company’s operations before going public in exchange for an ownership percentage.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Volume: number of shares traded during a specified time, usually one day.</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Watch Portfolio: a group of stocks or funds that you are tracking, but don’t currently own.</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Whisper Number: analysts publish earnings forecasts for companies they follow. Sometimes analysts publish a lower number than they really believe to reduce chances of a negative surprise, but they supposedly "whisper" what they really think to their best friends. Most whisper numbers you see on the Web are simply the analysts' consensus forecasts plus the average of the most recent two or three earnings surprises.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Working Capital: current assets minus current liabilities.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Window dressing:  Trading activity near the end of a quarter or fiscal year that is designed to improve the appearance of a portfolio to be presented to clients or shareholders. For example, a portfolio manager may sell losing positions so as to display only positions that have gained in value.</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Yield: The annual return on investment. A high-yield bond, for example, pays a high rate of interest.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Yankee bonds:  Foreign bonds denominated in U.S. dollars and issued in the </w:t>
      </w:r>
      <w:smartTag w:uri="urn:schemas-microsoft-com:office:smarttags" w:element="place">
        <w:smartTag w:uri="urn:schemas-microsoft-com:office:smarttags" w:element="country-region">
          <w:r w:rsidRPr="00301435">
            <w:rPr>
              <w:rFonts w:ascii="Arial" w:hAnsi="Arial" w:cs="Arial"/>
              <w:sz w:val="20"/>
              <w:szCs w:val="20"/>
            </w:rPr>
            <w:t>United States</w:t>
          </w:r>
        </w:smartTag>
      </w:smartTag>
      <w:r w:rsidRPr="00301435">
        <w:rPr>
          <w:rFonts w:ascii="Arial" w:hAnsi="Arial" w:cs="Arial"/>
          <w:sz w:val="20"/>
          <w:szCs w:val="20"/>
        </w:rPr>
        <w:t xml:space="preserve"> by foreign banks and corporations. These bonds are usually registered with the SEC. Such as, bonds issued by originators with roots in </w:t>
      </w:r>
      <w:smartTag w:uri="urn:schemas-microsoft-com:office:smarttags" w:element="place">
        <w:smartTag w:uri="urn:schemas-microsoft-com:office:smarttags" w:element="country-region">
          <w:r w:rsidRPr="00301435">
            <w:rPr>
              <w:rFonts w:ascii="Arial" w:hAnsi="Arial" w:cs="Arial"/>
              <w:sz w:val="20"/>
              <w:szCs w:val="20"/>
            </w:rPr>
            <w:t>Japan</w:t>
          </w:r>
        </w:smartTag>
      </w:smartTag>
      <w:r w:rsidRPr="00301435">
        <w:rPr>
          <w:rFonts w:ascii="Arial" w:hAnsi="Arial" w:cs="Arial"/>
          <w:sz w:val="20"/>
          <w:szCs w:val="20"/>
        </w:rPr>
        <w:t xml:space="preserve"> are called Samurai bonds.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Yankee market:  The foreign market in the </w:t>
      </w:r>
      <w:smartTag w:uri="urn:schemas-microsoft-com:office:smarttags" w:element="place">
        <w:smartTag w:uri="urn:schemas-microsoft-com:office:smarttags" w:element="country-region">
          <w:r w:rsidRPr="00301435">
            <w:rPr>
              <w:rFonts w:ascii="Arial" w:hAnsi="Arial" w:cs="Arial"/>
              <w:sz w:val="20"/>
              <w:szCs w:val="20"/>
            </w:rPr>
            <w:t>United States</w:t>
          </w:r>
        </w:smartTag>
      </w:smartTag>
      <w:r w:rsidRPr="00301435">
        <w:rPr>
          <w:rFonts w:ascii="Arial" w:hAnsi="Arial" w:cs="Arial"/>
          <w:sz w:val="20"/>
          <w:szCs w:val="20"/>
        </w:rPr>
        <w:t xml:space="preserve">.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lastRenderedPageBreak/>
        <w:t xml:space="preserve">Yard:  Slang for one billion currency units. Used particularly in currency trading, e.g., for Japanese yen since one billion yen equals approximately US$10 million. It is clearer to say, "I'm a buyer of a yard of yen," than to say, "I'm a buyer of a billion yen," which could be misheard as "I'm a buyer of a million yen."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Year-end dividend:  A special dividend declared at the end of a fiscal year that usually represents distribution of higher-than-expected company profits.</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Yo-yo stock:  A highly volatile stock that moves up and down like a yo-yo.</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Z bond:  A bond on which interest accrues but is not currently paid to the investor but rather is added to the principal balance of the Z bond and becoming payable upon satisfaction of all prior bond classes.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Zero-balance account (ZBA):  A checking account in which zero balance is maintained by transfers of funds from a master account in an amount only large enough to cover checks presented.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Zero-beta portfolio:  A portfolio constructed to have zero systematic risk, similar to the risk-free asset, which is, having a beta of zero. </w:t>
      </w:r>
    </w:p>
    <w:p w:rsidR="008E2231" w:rsidRPr="00301435"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Zero-coupon bond:  A bond in which no periodic coupon is paid over the life of the contract. Instead, both the principal and the interest are paid at the maturity date. </w:t>
      </w:r>
    </w:p>
    <w:p w:rsidR="008E2231" w:rsidRDefault="008E2231" w:rsidP="008E2231">
      <w:pPr>
        <w:pStyle w:val="body"/>
        <w:spacing w:before="120" w:after="120" w:line="240" w:lineRule="auto"/>
        <w:jc w:val="both"/>
        <w:rPr>
          <w:rFonts w:ascii="Arial" w:hAnsi="Arial" w:cs="Arial"/>
          <w:sz w:val="20"/>
          <w:szCs w:val="20"/>
        </w:rPr>
      </w:pPr>
      <w:r w:rsidRPr="00301435">
        <w:rPr>
          <w:rFonts w:ascii="Arial" w:hAnsi="Arial" w:cs="Arial"/>
          <w:sz w:val="20"/>
          <w:szCs w:val="20"/>
        </w:rPr>
        <w:t xml:space="preserve">Zero-investment portfolio:  A portfolio of zero net value established by buying and shorting component securities, usually in the context of an arbitrage strategy. </w:t>
      </w:r>
    </w:p>
    <w:p w:rsidR="00346F9B" w:rsidRDefault="00346F9B" w:rsidP="008E2231">
      <w:pPr>
        <w:pStyle w:val="body"/>
        <w:spacing w:before="120" w:after="120" w:line="240" w:lineRule="auto"/>
        <w:jc w:val="both"/>
        <w:rPr>
          <w:rFonts w:ascii="Arial" w:hAnsi="Arial" w:cs="Arial"/>
          <w:sz w:val="20"/>
          <w:szCs w:val="20"/>
        </w:rPr>
      </w:pPr>
      <w:r w:rsidRPr="00346F9B">
        <w:rPr>
          <w:rFonts w:ascii="Arial" w:hAnsi="Arial" w:cs="Arial"/>
          <w:sz w:val="20"/>
          <w:szCs w:val="20"/>
        </w:rPr>
        <w:t>Zero-sum game:  A type of game wherein one player can gain only at the expense of another player.</w:t>
      </w:r>
    </w:p>
    <w:p w:rsidR="00EA5EB3" w:rsidRDefault="00EA5EB3">
      <w:pPr>
        <w:rPr>
          <w:rFonts w:ascii="Arial" w:hAnsi="Arial" w:cs="Arial"/>
          <w:color w:val="000000"/>
          <w:sz w:val="20"/>
          <w:szCs w:val="20"/>
        </w:rPr>
      </w:pPr>
      <w:r>
        <w:rPr>
          <w:rFonts w:ascii="Arial" w:hAnsi="Arial" w:cs="Arial"/>
          <w:sz w:val="20"/>
          <w:szCs w:val="20"/>
        </w:rPr>
        <w:br w:type="page"/>
      </w:r>
    </w:p>
    <w:p w:rsidR="00346F9B" w:rsidRPr="00346F9B" w:rsidRDefault="00346F9B" w:rsidP="00346F9B">
      <w:pPr>
        <w:pStyle w:val="Heading2"/>
        <w:rPr>
          <w:szCs w:val="22"/>
        </w:rPr>
      </w:pPr>
      <w:bookmarkStart w:id="732" w:name="_Toc226530578"/>
      <w:r>
        <w:rPr>
          <w:szCs w:val="22"/>
        </w:rPr>
        <w:lastRenderedPageBreak/>
        <w:t>Reference</w:t>
      </w:r>
      <w:r w:rsidR="00E24CF0">
        <w:rPr>
          <w:szCs w:val="22"/>
        </w:rPr>
        <w:t>s</w:t>
      </w:r>
      <w:r>
        <w:rPr>
          <w:szCs w:val="22"/>
        </w:rPr>
        <w:t xml:space="preserve"> and Suggested Readings</w:t>
      </w:r>
      <w:bookmarkEnd w:id="732"/>
    </w:p>
    <w:p w:rsidR="00346F9B" w:rsidRPr="00346F9B" w:rsidRDefault="0055731E" w:rsidP="00346F9B">
      <w:pPr>
        <w:pStyle w:val="Heading3"/>
        <w:keepNext w:val="0"/>
        <w:tabs>
          <w:tab w:val="clear" w:pos="6444"/>
          <w:tab w:val="num" w:pos="540"/>
        </w:tabs>
        <w:spacing w:before="120" w:after="120" w:line="240" w:lineRule="atLeast"/>
        <w:ind w:left="0" w:firstLine="0"/>
        <w:jc w:val="both"/>
      </w:pPr>
      <w:r>
        <w:t>Internet References</w:t>
      </w:r>
    </w:p>
    <w:p w:rsidR="00346F9B" w:rsidRPr="00346F9B" w:rsidRDefault="00FC0435" w:rsidP="00346F9B">
      <w:pPr>
        <w:pStyle w:val="msolistparagraph0"/>
        <w:spacing w:after="0" w:line="240" w:lineRule="auto"/>
        <w:ind w:left="390"/>
        <w:rPr>
          <w:rFonts w:ascii="Arial" w:hAnsi="Arial" w:cs="Arial"/>
          <w:color w:val="000000"/>
          <w:sz w:val="20"/>
          <w:szCs w:val="20"/>
        </w:rPr>
      </w:pPr>
      <w:hyperlink r:id="rId129" w:tooltip="http://www.bobsguide.com/" w:history="1">
        <w:r w:rsidR="00346F9B" w:rsidRPr="00346F9B">
          <w:rPr>
            <w:rFonts w:ascii="Arial" w:hAnsi="Arial" w:cs="Arial"/>
            <w:color w:val="000000"/>
            <w:sz w:val="20"/>
            <w:szCs w:val="20"/>
          </w:rPr>
          <w:t>www.bobsguide.com</w:t>
        </w:r>
      </w:hyperlink>
    </w:p>
    <w:p w:rsidR="00346F9B" w:rsidRPr="00346F9B" w:rsidRDefault="00346F9B" w:rsidP="00346F9B">
      <w:pPr>
        <w:pStyle w:val="msolistparagraph0"/>
        <w:spacing w:after="0" w:line="240" w:lineRule="auto"/>
        <w:ind w:left="390"/>
        <w:rPr>
          <w:rFonts w:ascii="Arial" w:hAnsi="Arial" w:cs="Arial"/>
          <w:color w:val="000000"/>
          <w:sz w:val="20"/>
          <w:szCs w:val="20"/>
        </w:rPr>
      </w:pPr>
    </w:p>
    <w:p w:rsidR="00346F9B" w:rsidRPr="00346F9B" w:rsidRDefault="00FC0435" w:rsidP="00346F9B">
      <w:pPr>
        <w:ind w:left="390"/>
        <w:rPr>
          <w:rFonts w:ascii="Arial" w:hAnsi="Arial" w:cs="Arial"/>
          <w:color w:val="000000"/>
          <w:sz w:val="20"/>
          <w:szCs w:val="20"/>
        </w:rPr>
      </w:pPr>
      <w:hyperlink r:id="rId130" w:tooltip="http://www.investmentmanagement.com" w:history="1">
        <w:r w:rsidR="00346F9B" w:rsidRPr="00346F9B">
          <w:rPr>
            <w:rFonts w:ascii="Arial" w:hAnsi="Arial" w:cs="Arial"/>
            <w:color w:val="000000"/>
            <w:sz w:val="20"/>
            <w:szCs w:val="20"/>
          </w:rPr>
          <w:t>www.investmentmanagement.com</w:t>
        </w:r>
      </w:hyperlink>
    </w:p>
    <w:p w:rsidR="00346F9B" w:rsidRPr="00346F9B" w:rsidRDefault="00346F9B" w:rsidP="00346F9B">
      <w:pPr>
        <w:ind w:left="390"/>
        <w:rPr>
          <w:rFonts w:ascii="Arial" w:hAnsi="Arial" w:cs="Arial"/>
          <w:color w:val="000000"/>
          <w:sz w:val="20"/>
          <w:szCs w:val="20"/>
        </w:rPr>
      </w:pPr>
    </w:p>
    <w:p w:rsidR="00346F9B" w:rsidRPr="00346F9B" w:rsidRDefault="00FC0435" w:rsidP="00346F9B">
      <w:pPr>
        <w:ind w:left="390"/>
        <w:rPr>
          <w:rFonts w:ascii="Arial" w:hAnsi="Arial" w:cs="Arial"/>
          <w:color w:val="000000"/>
          <w:sz w:val="20"/>
          <w:szCs w:val="20"/>
        </w:rPr>
      </w:pPr>
      <w:hyperlink r:id="rId131" w:tooltip="http://www.managedfunds.org" w:history="1">
        <w:r w:rsidR="00346F9B" w:rsidRPr="00346F9B">
          <w:rPr>
            <w:rFonts w:ascii="Arial" w:hAnsi="Arial" w:cs="Arial"/>
            <w:color w:val="000000"/>
            <w:sz w:val="20"/>
            <w:szCs w:val="20"/>
          </w:rPr>
          <w:t>www.managedfunds.org</w:t>
        </w:r>
      </w:hyperlink>
      <w:r w:rsidR="00346F9B" w:rsidRPr="00346F9B">
        <w:rPr>
          <w:rFonts w:ascii="Arial" w:hAnsi="Arial" w:cs="Arial"/>
          <w:color w:val="000000"/>
          <w:sz w:val="20"/>
          <w:szCs w:val="20"/>
        </w:rPr>
        <w:t xml:space="preserve"> </w:t>
      </w:r>
    </w:p>
    <w:p w:rsidR="00346F9B" w:rsidRPr="00346F9B" w:rsidRDefault="00346F9B" w:rsidP="00346F9B">
      <w:pPr>
        <w:ind w:left="390"/>
        <w:rPr>
          <w:rFonts w:ascii="Arial" w:hAnsi="Arial" w:cs="Arial"/>
          <w:color w:val="000000"/>
          <w:sz w:val="20"/>
          <w:szCs w:val="20"/>
        </w:rPr>
      </w:pPr>
    </w:p>
    <w:p w:rsidR="00346F9B" w:rsidRPr="00346F9B" w:rsidRDefault="00FC0435" w:rsidP="00346F9B">
      <w:pPr>
        <w:ind w:left="390"/>
        <w:rPr>
          <w:rFonts w:ascii="Arial" w:hAnsi="Arial" w:cs="Arial"/>
          <w:color w:val="000000"/>
          <w:sz w:val="20"/>
          <w:szCs w:val="20"/>
        </w:rPr>
      </w:pPr>
      <w:hyperlink r:id="rId132" w:history="1">
        <w:r w:rsidR="00346F9B" w:rsidRPr="00346F9B">
          <w:rPr>
            <w:rFonts w:ascii="Arial" w:hAnsi="Arial" w:cs="Arial"/>
            <w:color w:val="000000"/>
            <w:sz w:val="20"/>
            <w:szCs w:val="20"/>
          </w:rPr>
          <w:t>www.investmentuk.org</w:t>
        </w:r>
      </w:hyperlink>
      <w:r w:rsidR="00346F9B" w:rsidRPr="00346F9B">
        <w:rPr>
          <w:rFonts w:ascii="Arial" w:hAnsi="Arial" w:cs="Arial"/>
          <w:color w:val="000000"/>
          <w:sz w:val="20"/>
          <w:szCs w:val="20"/>
        </w:rPr>
        <w:t xml:space="preserve"> </w:t>
      </w:r>
    </w:p>
    <w:p w:rsidR="00346F9B" w:rsidRPr="00346F9B" w:rsidRDefault="00346F9B" w:rsidP="00346F9B">
      <w:pPr>
        <w:ind w:left="390"/>
        <w:rPr>
          <w:rFonts w:ascii="Arial" w:hAnsi="Arial" w:cs="Arial"/>
          <w:color w:val="000000"/>
          <w:sz w:val="20"/>
          <w:szCs w:val="20"/>
        </w:rPr>
      </w:pPr>
    </w:p>
    <w:p w:rsidR="00346F9B" w:rsidRPr="00346F9B" w:rsidRDefault="00346F9B" w:rsidP="00346F9B">
      <w:pPr>
        <w:ind w:left="390"/>
        <w:rPr>
          <w:rFonts w:ascii="Arial" w:hAnsi="Arial" w:cs="Arial"/>
          <w:color w:val="000000"/>
          <w:sz w:val="20"/>
          <w:szCs w:val="20"/>
        </w:rPr>
      </w:pPr>
      <w:r w:rsidRPr="00346F9B">
        <w:rPr>
          <w:rFonts w:ascii="Arial" w:hAnsi="Arial" w:cs="Arial"/>
          <w:color w:val="000000"/>
          <w:sz w:val="20"/>
          <w:szCs w:val="20"/>
        </w:rPr>
        <w:t>www.ici.org</w:t>
      </w:r>
    </w:p>
    <w:p w:rsidR="00346F9B" w:rsidRDefault="0055731E" w:rsidP="00346F9B">
      <w:pPr>
        <w:pStyle w:val="Heading3"/>
        <w:keepNext w:val="0"/>
        <w:tabs>
          <w:tab w:val="clear" w:pos="6444"/>
          <w:tab w:val="num" w:pos="540"/>
        </w:tabs>
        <w:spacing w:before="120" w:after="120" w:line="240" w:lineRule="atLeast"/>
        <w:ind w:left="0" w:firstLine="0"/>
        <w:jc w:val="both"/>
      </w:pPr>
      <w:r>
        <w:t xml:space="preserve">Suggested </w:t>
      </w:r>
      <w:smartTag w:uri="urn:schemas-microsoft-com:office:smarttags" w:element="City">
        <w:smartTag w:uri="urn:schemas-microsoft-com:office:smarttags" w:element="place">
          <w:r>
            <w:t>Readings</w:t>
          </w:r>
        </w:smartTag>
      </w:smartTag>
    </w:p>
    <w:p w:rsidR="00346F9B" w:rsidRPr="00346F9B" w:rsidRDefault="00346F9B" w:rsidP="00346F9B">
      <w:pPr>
        <w:ind w:left="2910" w:firstLine="690"/>
        <w:jc w:val="both"/>
        <w:rPr>
          <w:rFonts w:ascii="Arial" w:hAnsi="Arial" w:cs="Arial"/>
          <w:sz w:val="20"/>
          <w:szCs w:val="20"/>
        </w:rPr>
      </w:pPr>
    </w:p>
    <w:p w:rsidR="00814BEB" w:rsidRDefault="00E24CF0">
      <w:pPr>
        <w:numPr>
          <w:ilvl w:val="0"/>
          <w:numId w:val="108"/>
        </w:numPr>
        <w:ind w:left="540" w:hanging="180"/>
        <w:jc w:val="both"/>
        <w:rPr>
          <w:rFonts w:ascii="Arial" w:hAnsi="Arial" w:cs="Arial"/>
          <w:sz w:val="20"/>
          <w:szCs w:val="20"/>
        </w:rPr>
      </w:pPr>
      <w:r w:rsidRPr="00E24CF0">
        <w:rPr>
          <w:rFonts w:ascii="Arial" w:hAnsi="Arial" w:cs="Arial"/>
          <w:sz w:val="20"/>
          <w:szCs w:val="20"/>
        </w:rPr>
        <w:t xml:space="preserve">Investment Performance Measurement (Frank J. </w:t>
      </w:r>
      <w:proofErr w:type="spellStart"/>
      <w:r w:rsidRPr="00E24CF0">
        <w:rPr>
          <w:rFonts w:ascii="Arial" w:hAnsi="Arial" w:cs="Arial"/>
          <w:sz w:val="20"/>
          <w:szCs w:val="20"/>
        </w:rPr>
        <w:t>Fabozzi</w:t>
      </w:r>
      <w:proofErr w:type="spellEnd"/>
      <w:r w:rsidRPr="00E24CF0">
        <w:rPr>
          <w:rFonts w:ascii="Arial" w:hAnsi="Arial" w:cs="Arial"/>
          <w:sz w:val="20"/>
          <w:szCs w:val="20"/>
        </w:rPr>
        <w:t xml:space="preserve"> Series) (Hardcover) by Bruce J. </w:t>
      </w:r>
      <w:proofErr w:type="spellStart"/>
      <w:r w:rsidRPr="00E24CF0">
        <w:rPr>
          <w:rFonts w:ascii="Arial" w:hAnsi="Arial" w:cs="Arial"/>
          <w:sz w:val="20"/>
          <w:szCs w:val="20"/>
        </w:rPr>
        <w:t>Feibel</w:t>
      </w:r>
      <w:proofErr w:type="spellEnd"/>
    </w:p>
    <w:p w:rsidR="00814BEB" w:rsidRDefault="00814BEB">
      <w:pPr>
        <w:pStyle w:val="ListParagraph"/>
        <w:rPr>
          <w:rFonts w:ascii="Arial" w:hAnsi="Arial" w:cs="Arial"/>
          <w:sz w:val="20"/>
          <w:szCs w:val="20"/>
        </w:rPr>
      </w:pPr>
    </w:p>
    <w:p w:rsidR="00814BEB" w:rsidRDefault="00E24CF0">
      <w:pPr>
        <w:numPr>
          <w:ilvl w:val="0"/>
          <w:numId w:val="108"/>
        </w:numPr>
        <w:ind w:left="540" w:hanging="180"/>
        <w:jc w:val="both"/>
        <w:rPr>
          <w:rFonts w:ascii="Arial" w:hAnsi="Arial" w:cs="Arial"/>
          <w:sz w:val="20"/>
          <w:szCs w:val="20"/>
        </w:rPr>
      </w:pPr>
      <w:r w:rsidRPr="00E24CF0">
        <w:rPr>
          <w:rFonts w:ascii="Arial" w:hAnsi="Arial" w:cs="Arial"/>
          <w:sz w:val="20"/>
          <w:szCs w:val="20"/>
        </w:rPr>
        <w:t>Portfolio Construction, Management, and Protection, by Robert A. Strong, 3rd Ed., ISBN: 0324071833</w:t>
      </w:r>
    </w:p>
    <w:p w:rsidR="00814BEB" w:rsidRDefault="00814BEB">
      <w:pPr>
        <w:pStyle w:val="ListParagraph"/>
        <w:rPr>
          <w:rFonts w:ascii="Arial" w:hAnsi="Arial" w:cs="Arial"/>
          <w:sz w:val="20"/>
          <w:szCs w:val="20"/>
        </w:rPr>
      </w:pPr>
    </w:p>
    <w:p w:rsidR="00814BEB" w:rsidRDefault="00E24CF0">
      <w:pPr>
        <w:numPr>
          <w:ilvl w:val="0"/>
          <w:numId w:val="108"/>
        </w:numPr>
        <w:ind w:left="540" w:hanging="180"/>
        <w:jc w:val="both"/>
        <w:rPr>
          <w:rFonts w:ascii="Arial" w:hAnsi="Arial" w:cs="Arial"/>
          <w:sz w:val="20"/>
          <w:szCs w:val="20"/>
        </w:rPr>
      </w:pPr>
      <w:r w:rsidRPr="00E24CF0">
        <w:rPr>
          <w:rFonts w:ascii="Arial" w:hAnsi="Arial" w:cs="Arial"/>
          <w:sz w:val="20"/>
          <w:szCs w:val="20"/>
        </w:rPr>
        <w:t xml:space="preserve">Mutual Fund Industry Handbook : A Comprehensive Guide for Investment Professionals, by Lee </w:t>
      </w:r>
      <w:proofErr w:type="spellStart"/>
      <w:r w:rsidRPr="00E24CF0">
        <w:rPr>
          <w:rFonts w:ascii="Arial" w:hAnsi="Arial" w:cs="Arial"/>
          <w:sz w:val="20"/>
          <w:szCs w:val="20"/>
        </w:rPr>
        <w:t>Gremillion</w:t>
      </w:r>
      <w:proofErr w:type="spellEnd"/>
      <w:r w:rsidRPr="00E24CF0">
        <w:rPr>
          <w:rFonts w:ascii="Arial" w:hAnsi="Arial" w:cs="Arial"/>
          <w:sz w:val="20"/>
          <w:szCs w:val="20"/>
        </w:rPr>
        <w:t>, ISBN 0471736244</w:t>
      </w:r>
    </w:p>
    <w:p w:rsidR="00814BEB" w:rsidRDefault="00814BEB">
      <w:pPr>
        <w:pStyle w:val="ListParagraph"/>
        <w:rPr>
          <w:rFonts w:ascii="Arial" w:hAnsi="Arial" w:cs="Arial"/>
          <w:sz w:val="20"/>
          <w:szCs w:val="20"/>
        </w:rPr>
      </w:pPr>
    </w:p>
    <w:p w:rsidR="00814BEB" w:rsidRDefault="00E24CF0">
      <w:pPr>
        <w:numPr>
          <w:ilvl w:val="0"/>
          <w:numId w:val="108"/>
        </w:numPr>
        <w:ind w:left="540" w:hanging="180"/>
        <w:jc w:val="both"/>
        <w:rPr>
          <w:rFonts w:ascii="Arial" w:hAnsi="Arial" w:cs="Arial"/>
          <w:sz w:val="20"/>
          <w:szCs w:val="20"/>
        </w:rPr>
      </w:pPr>
      <w:r w:rsidRPr="00E24CF0">
        <w:rPr>
          <w:rFonts w:ascii="Arial" w:hAnsi="Arial" w:cs="Arial"/>
          <w:sz w:val="20"/>
          <w:szCs w:val="20"/>
        </w:rPr>
        <w:t>How The U.S. Securities Industry Works, Second Edition </w:t>
      </w:r>
    </w:p>
    <w:p w:rsidR="00814BEB" w:rsidRDefault="00814BEB">
      <w:pPr>
        <w:pStyle w:val="ListParagraph"/>
        <w:rPr>
          <w:rFonts w:ascii="Arial" w:hAnsi="Arial" w:cs="Arial"/>
          <w:sz w:val="20"/>
          <w:szCs w:val="20"/>
        </w:rPr>
      </w:pPr>
    </w:p>
    <w:p w:rsidR="00814BEB" w:rsidRDefault="00E24CF0">
      <w:pPr>
        <w:numPr>
          <w:ilvl w:val="0"/>
          <w:numId w:val="108"/>
        </w:numPr>
        <w:ind w:left="540" w:hanging="180"/>
        <w:jc w:val="both"/>
        <w:rPr>
          <w:rFonts w:ascii="Arial" w:hAnsi="Arial" w:cs="Arial"/>
          <w:sz w:val="20"/>
          <w:szCs w:val="20"/>
        </w:rPr>
      </w:pPr>
      <w:r w:rsidRPr="00E24CF0">
        <w:rPr>
          <w:rFonts w:ascii="Arial" w:hAnsi="Arial" w:cs="Arial"/>
          <w:sz w:val="20"/>
          <w:szCs w:val="20"/>
        </w:rPr>
        <w:t>Investment Performance Attribution by David Spaulding, ISBN: 0071408851</w:t>
      </w:r>
    </w:p>
    <w:p w:rsidR="00814BEB" w:rsidRDefault="00814BEB">
      <w:pPr>
        <w:pStyle w:val="ListParagraph"/>
        <w:rPr>
          <w:rFonts w:ascii="Arial" w:hAnsi="Arial" w:cs="Arial"/>
          <w:sz w:val="20"/>
          <w:szCs w:val="20"/>
        </w:rPr>
      </w:pPr>
    </w:p>
    <w:p w:rsidR="00814BEB" w:rsidRDefault="00346F9B">
      <w:pPr>
        <w:numPr>
          <w:ilvl w:val="0"/>
          <w:numId w:val="108"/>
        </w:numPr>
        <w:ind w:left="540" w:hanging="180"/>
        <w:jc w:val="both"/>
        <w:rPr>
          <w:rFonts w:ascii="Arial" w:hAnsi="Arial" w:cs="Arial"/>
          <w:sz w:val="20"/>
          <w:szCs w:val="20"/>
        </w:rPr>
      </w:pPr>
      <w:r w:rsidRPr="00346F9B">
        <w:rPr>
          <w:rFonts w:ascii="Arial" w:hAnsi="Arial" w:cs="Arial"/>
          <w:sz w:val="20"/>
          <w:szCs w:val="20"/>
        </w:rPr>
        <w:t xml:space="preserve">Handbook of Alternative Assets  by Anson, Mark J P </w:t>
      </w:r>
    </w:p>
    <w:p w:rsidR="00346F9B" w:rsidRPr="00346F9B" w:rsidRDefault="00346F9B" w:rsidP="00346F9B">
      <w:pPr>
        <w:ind w:left="3270" w:firstLine="330"/>
        <w:jc w:val="both"/>
        <w:rPr>
          <w:rFonts w:ascii="Arial" w:hAnsi="Arial" w:cs="Arial"/>
          <w:sz w:val="20"/>
          <w:szCs w:val="20"/>
        </w:rPr>
      </w:pPr>
    </w:p>
    <w:p w:rsidR="00814BEB" w:rsidRDefault="00346F9B">
      <w:pPr>
        <w:numPr>
          <w:ilvl w:val="0"/>
          <w:numId w:val="108"/>
        </w:numPr>
        <w:ind w:left="540" w:hanging="180"/>
        <w:jc w:val="both"/>
        <w:rPr>
          <w:rFonts w:ascii="Arial" w:hAnsi="Arial" w:cs="Arial"/>
          <w:sz w:val="20"/>
          <w:szCs w:val="20"/>
        </w:rPr>
      </w:pPr>
      <w:r w:rsidRPr="00346F9B">
        <w:rPr>
          <w:rFonts w:ascii="Arial" w:hAnsi="Arial" w:cs="Arial"/>
          <w:sz w:val="20"/>
          <w:szCs w:val="20"/>
        </w:rPr>
        <w:t xml:space="preserve">Investments by </w:t>
      </w:r>
      <w:proofErr w:type="spellStart"/>
      <w:r w:rsidRPr="00346F9B">
        <w:rPr>
          <w:rFonts w:ascii="Arial" w:hAnsi="Arial" w:cs="Arial"/>
          <w:sz w:val="20"/>
          <w:szCs w:val="20"/>
        </w:rPr>
        <w:t>Zvi</w:t>
      </w:r>
      <w:proofErr w:type="spellEnd"/>
      <w:r w:rsidRPr="00346F9B">
        <w:rPr>
          <w:rFonts w:ascii="Arial" w:hAnsi="Arial" w:cs="Arial"/>
          <w:sz w:val="20"/>
          <w:szCs w:val="20"/>
        </w:rPr>
        <w:t xml:space="preserve"> </w:t>
      </w:r>
      <w:proofErr w:type="spellStart"/>
      <w:r w:rsidRPr="00346F9B">
        <w:rPr>
          <w:rFonts w:ascii="Arial" w:hAnsi="Arial" w:cs="Arial"/>
          <w:sz w:val="20"/>
          <w:szCs w:val="20"/>
        </w:rPr>
        <w:t>Bodie</w:t>
      </w:r>
      <w:proofErr w:type="spellEnd"/>
      <w:r w:rsidRPr="00346F9B">
        <w:rPr>
          <w:rFonts w:ascii="Arial" w:hAnsi="Arial" w:cs="Arial"/>
          <w:sz w:val="20"/>
          <w:szCs w:val="20"/>
        </w:rPr>
        <w:t xml:space="preserve"> et al. </w:t>
      </w:r>
    </w:p>
    <w:p w:rsidR="00346F9B" w:rsidRPr="00346F9B" w:rsidRDefault="00346F9B" w:rsidP="00346F9B">
      <w:pPr>
        <w:ind w:left="2910" w:firstLine="690"/>
        <w:jc w:val="both"/>
        <w:rPr>
          <w:rFonts w:ascii="Arial" w:hAnsi="Arial" w:cs="Arial"/>
          <w:sz w:val="20"/>
          <w:szCs w:val="20"/>
        </w:rPr>
      </w:pPr>
    </w:p>
    <w:p w:rsidR="00814BEB" w:rsidRDefault="00346F9B">
      <w:pPr>
        <w:numPr>
          <w:ilvl w:val="0"/>
          <w:numId w:val="108"/>
        </w:numPr>
        <w:ind w:left="540" w:hanging="180"/>
        <w:jc w:val="both"/>
        <w:rPr>
          <w:rFonts w:ascii="Arial" w:hAnsi="Arial" w:cs="Arial"/>
          <w:sz w:val="20"/>
          <w:szCs w:val="20"/>
        </w:rPr>
      </w:pPr>
      <w:r w:rsidRPr="00346F9B">
        <w:rPr>
          <w:rFonts w:ascii="Arial" w:hAnsi="Arial" w:cs="Arial"/>
          <w:sz w:val="20"/>
          <w:szCs w:val="20"/>
        </w:rPr>
        <w:t>Structuring Venture Capital, Private Equity and Entrepreneurial Transactions 2006 by Jack S. Levin</w:t>
      </w:r>
      <w:r w:rsidR="00E732DA" w:rsidRPr="00E732DA">
        <w:rPr>
          <w:rFonts w:ascii="Arial" w:hAnsi="Arial" w:cs="Arial"/>
          <w:sz w:val="20"/>
          <w:szCs w:val="20"/>
        </w:rPr>
        <w:t xml:space="preserve"> </w:t>
      </w:r>
      <w:r w:rsidR="00FC0435">
        <w:rPr>
          <w:rFonts w:ascii="Arial" w:hAnsi="Arial" w:cs="Arial"/>
          <w:sz w:val="20"/>
          <w:szCs w:val="20"/>
        </w:rPr>
        <w:pict>
          <v:shapetype id="_x0000_t202" coordsize="21600,21600" o:spt="202" path="m,l,21600r21600,l21600,xe">
            <v:stroke joinstyle="miter"/>
            <v:path gradientshapeok="t" o:connecttype="rect"/>
          </v:shapetype>
          <v:shape id="_x0000_s1269" type="#_x0000_t202" style="position:absolute;left:0;text-align:left;margin-left:-90pt;margin-top:-338.15pt;width:1in;height:1in;z-index:251655680;mso-position-horizontal-relative:text;mso-position-vertical-relative:text">
            <v:textbox style="mso-next-textbox:#_x0000_s1269">
              <w:txbxContent>
                <w:p w:rsidR="002C3912" w:rsidRDefault="002C3912" w:rsidP="0040385F">
                  <w:pPr>
                    <w:autoSpaceDE w:val="0"/>
                    <w:autoSpaceDN w:val="0"/>
                    <w:adjustRightInd w:val="0"/>
                    <w:ind w:left="540" w:hanging="540"/>
                    <w:rPr>
                      <w:rFonts w:ascii="Arial Narrow" w:hAnsi="Arial Narrow" w:cs="Arial Narrow"/>
                      <w:color w:val="000000"/>
                      <w:sz w:val="40"/>
                      <w:szCs w:val="40"/>
                    </w:rPr>
                  </w:pPr>
                </w:p>
              </w:txbxContent>
            </v:textbox>
          </v:shape>
        </w:pict>
      </w:r>
      <w:r w:rsidR="00FC0435">
        <w:rPr>
          <w:rFonts w:ascii="Arial" w:hAnsi="Arial" w:cs="Arial"/>
          <w:sz w:val="20"/>
          <w:szCs w:val="20"/>
        </w:rPr>
        <w:pict>
          <v:shape id="_x0000_s1270" type="#_x0000_t202" style="position:absolute;left:0;text-align:left;margin-left:-90pt;margin-top:-338.15pt;width:1in;height:1in;z-index:251656704;mso-position-horizontal-relative:text;mso-position-vertical-relative:text">
            <v:textbox style="mso-next-textbox:#_x0000_s1270">
              <w:txbxContent>
                <w:p w:rsidR="002C3912" w:rsidRDefault="002C3912" w:rsidP="0040385F">
                  <w:pPr>
                    <w:autoSpaceDE w:val="0"/>
                    <w:autoSpaceDN w:val="0"/>
                    <w:adjustRightInd w:val="0"/>
                    <w:ind w:left="540" w:hanging="540"/>
                    <w:rPr>
                      <w:rFonts w:ascii="Arial Narrow" w:hAnsi="Arial Narrow" w:cs="Arial Narrow"/>
                      <w:color w:val="000000"/>
                      <w:sz w:val="40"/>
                      <w:szCs w:val="40"/>
                    </w:rPr>
                  </w:pPr>
                </w:p>
              </w:txbxContent>
            </v:textbox>
          </v:shape>
        </w:pict>
      </w:r>
      <w:bookmarkEnd w:id="153"/>
    </w:p>
    <w:p w:rsidR="00814BEB" w:rsidRDefault="00814BEB">
      <w:pPr>
        <w:pStyle w:val="ListParagraph"/>
        <w:rPr>
          <w:rFonts w:ascii="Arial" w:hAnsi="Arial" w:cs="Arial"/>
          <w:sz w:val="20"/>
          <w:szCs w:val="20"/>
        </w:rPr>
      </w:pPr>
    </w:p>
    <w:p w:rsidR="008011A0" w:rsidRDefault="008011A0">
      <w:pPr>
        <w:jc w:val="both"/>
        <w:rPr>
          <w:rFonts w:ascii="Arial" w:hAnsi="Arial" w:cs="Arial"/>
          <w:sz w:val="20"/>
          <w:szCs w:val="20"/>
        </w:rPr>
      </w:pPr>
    </w:p>
    <w:sectPr w:rsidR="008011A0" w:rsidSect="00E672D2">
      <w:type w:val="continuous"/>
      <w:pgSz w:w="12240" w:h="15840"/>
      <w:pgMar w:top="1440" w:right="180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3912" w:rsidRDefault="002C3912">
      <w:r>
        <w:separator/>
      </w:r>
    </w:p>
  </w:endnote>
  <w:endnote w:type="continuationSeparator" w:id="0">
    <w:p w:rsidR="002C3912" w:rsidRDefault="002C39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AFF" w:usb1="C000605B" w:usb2="00000029" w:usb3="00000000" w:csb0="000101FF" w:csb1="00000000"/>
  </w:font>
  <w:font w:name="Calibri">
    <w:panose1 w:val="020F05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Tunga">
    <w:panose1 w:val="00000400000000000000"/>
    <w:charset w:val="00"/>
    <w:family w:val="auto"/>
    <w:pitch w:val="variable"/>
    <w:sig w:usb0="004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3912" w:rsidRPr="007D0C4B" w:rsidRDefault="002C3912">
    <w:pPr>
      <w:pStyle w:val="Footer"/>
      <w:rPr>
        <w:i/>
        <w:sz w:val="16"/>
        <w:szCs w:val="16"/>
      </w:rPr>
    </w:pPr>
    <w:r>
      <w:rPr>
        <w:noProof/>
      </w:rPr>
      <w:drawing>
        <wp:anchor distT="0" distB="0" distL="114300" distR="114300" simplePos="0" relativeHeight="251657728" behindDoc="1" locked="0" layoutInCell="1" allowOverlap="0">
          <wp:simplePos x="0" y="0"/>
          <wp:positionH relativeFrom="column">
            <wp:posOffset>66675</wp:posOffset>
          </wp:positionH>
          <wp:positionV relativeFrom="paragraph">
            <wp:posOffset>50800</wp:posOffset>
          </wp:positionV>
          <wp:extent cx="6057900" cy="371475"/>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6057900" cy="371475"/>
                  </a:xfrm>
                  <a:prstGeom prst="rect">
                    <a:avLst/>
                  </a:prstGeom>
                  <a:noFill/>
                  <a:ln w="9525">
                    <a:noFill/>
                    <a:miter lim="800000"/>
                    <a:headEnd/>
                    <a:tailEnd/>
                  </a:ln>
                </pic:spPr>
              </pic:pic>
            </a:graphicData>
          </a:graphic>
        </wp:anchor>
      </w:drawing>
    </w:r>
    <w:r>
      <w:rPr>
        <w:i/>
        <w:sz w:val="20"/>
      </w:rPr>
      <w:t>Cognizant Confidential</w:t>
    </w:r>
    <w:r>
      <w:rPr>
        <w:rStyle w:val="PageNumber"/>
      </w:rPr>
      <w:tab/>
    </w:r>
    <w:r>
      <w:rPr>
        <w:rStyle w:val="PageNumber"/>
      </w:rPr>
      <w:tab/>
    </w:r>
    <w:r>
      <w:rPr>
        <w:rStyle w:val="PageNumbe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985286">
      <w:rPr>
        <w:rStyle w:val="PageNumber"/>
        <w:noProof/>
        <w:sz w:val="20"/>
      </w:rPr>
      <w:t>18</w:t>
    </w:r>
    <w:r>
      <w:rPr>
        <w:rStyle w:val="PageNumber"/>
        <w:sz w:val="20"/>
      </w:rPr>
      <w:fldChar w:fldCharType="end"/>
    </w:r>
    <w:r>
      <w:rPr>
        <w:rStyle w:val="PageNumber"/>
        <w:sz w:val="20"/>
      </w:rPr>
      <w:t xml:space="preserve"> of </w:t>
    </w:r>
    <w:r>
      <w:rPr>
        <w:rStyle w:val="PageNumber"/>
        <w:sz w:val="20"/>
      </w:rPr>
      <w:fldChar w:fldCharType="begin"/>
    </w:r>
    <w:r>
      <w:rPr>
        <w:rStyle w:val="PageNumber"/>
        <w:sz w:val="20"/>
      </w:rPr>
      <w:instrText xml:space="preserve"> NUMPAGES </w:instrText>
    </w:r>
    <w:r>
      <w:rPr>
        <w:rStyle w:val="PageNumber"/>
        <w:sz w:val="20"/>
      </w:rPr>
      <w:fldChar w:fldCharType="separate"/>
    </w:r>
    <w:r w:rsidR="00985286">
      <w:rPr>
        <w:rStyle w:val="PageNumber"/>
        <w:noProof/>
        <w:sz w:val="20"/>
      </w:rPr>
      <w:t>153</w:t>
    </w:r>
    <w:r>
      <w:rPr>
        <w:rStyle w:val="PageNumber"/>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3912" w:rsidRDefault="002C3912">
      <w:r>
        <w:separator/>
      </w:r>
    </w:p>
  </w:footnote>
  <w:footnote w:type="continuationSeparator" w:id="0">
    <w:p w:rsidR="002C3912" w:rsidRDefault="002C3912">
      <w:r>
        <w:continuationSeparator/>
      </w:r>
    </w:p>
  </w:footnote>
  <w:footnote w:id="1">
    <w:p w:rsidR="002C3912" w:rsidRDefault="002C3912" w:rsidP="00440E29">
      <w:pPr>
        <w:pStyle w:val="FootnoteText"/>
      </w:pPr>
      <w:r>
        <w:rPr>
          <w:rStyle w:val="FootnoteReference"/>
        </w:rPr>
        <w:footnoteRef/>
      </w:r>
      <w:r>
        <w:t xml:space="preserve"> </w:t>
      </w:r>
      <w:r w:rsidRPr="00A75FD9">
        <w:rPr>
          <w:rFonts w:ascii="Arial" w:hAnsi="Arial" w:cs="Arial"/>
        </w:rPr>
        <w:t xml:space="preserve">The section on MPT draws heavily from an article on the same topic at </w:t>
      </w:r>
      <w:hyperlink r:id="rId1" w:history="1">
        <w:r w:rsidRPr="00A75FD9">
          <w:rPr>
            <w:rStyle w:val="Hyperlink"/>
            <w:rFonts w:ascii="Arial" w:hAnsi="Arial" w:cs="Arial"/>
          </w:rPr>
          <w:t>www.moneychimp.com</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748" w:type="dxa"/>
      <w:tblBorders>
        <w:bottom w:val="single" w:sz="4" w:space="0" w:color="auto"/>
      </w:tblBorders>
      <w:tblLayout w:type="fixed"/>
      <w:tblLook w:val="0000"/>
    </w:tblPr>
    <w:tblGrid>
      <w:gridCol w:w="1908"/>
      <w:gridCol w:w="5400"/>
      <w:gridCol w:w="1440"/>
    </w:tblGrid>
    <w:tr w:rsidR="002C3912" w:rsidTr="00B83B4C">
      <w:trPr>
        <w:trHeight w:val="530"/>
      </w:trPr>
      <w:tc>
        <w:tcPr>
          <w:tcW w:w="1908" w:type="dxa"/>
          <w:vAlign w:val="bottom"/>
        </w:tcPr>
        <w:p w:rsidR="002C3912" w:rsidRDefault="002C3912" w:rsidP="00160F47">
          <w:pPr>
            <w:rPr>
              <w:b/>
              <w:i/>
              <w:color w:val="0000FF"/>
              <w:sz w:val="18"/>
            </w:rPr>
          </w:pPr>
          <w:r>
            <w:rPr>
              <w:b/>
              <w:i/>
              <w:noProof/>
              <w:color w:val="0000FF"/>
              <w:sz w:val="18"/>
            </w:rPr>
            <w:drawing>
              <wp:anchor distT="0" distB="0" distL="114300" distR="114300" simplePos="0" relativeHeight="251656704" behindDoc="0" locked="0" layoutInCell="1" allowOverlap="1">
                <wp:simplePos x="0" y="0"/>
                <wp:positionH relativeFrom="column">
                  <wp:posOffset>-1905</wp:posOffset>
                </wp:positionH>
                <wp:positionV relativeFrom="paragraph">
                  <wp:posOffset>34290</wp:posOffset>
                </wp:positionV>
                <wp:extent cx="612775" cy="286385"/>
                <wp:effectExtent l="1905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12775" cy="286385"/>
                        </a:xfrm>
                        <a:prstGeom prst="rect">
                          <a:avLst/>
                        </a:prstGeom>
                        <a:noFill/>
                        <a:ln w="9525">
                          <a:noFill/>
                          <a:miter lim="800000"/>
                          <a:headEnd/>
                          <a:tailEnd/>
                        </a:ln>
                      </pic:spPr>
                    </pic:pic>
                  </a:graphicData>
                </a:graphic>
              </wp:anchor>
            </w:drawing>
          </w:r>
        </w:p>
      </w:tc>
      <w:tc>
        <w:tcPr>
          <w:tcW w:w="5400" w:type="dxa"/>
        </w:tcPr>
        <w:p w:rsidR="002C3912" w:rsidRPr="007D0C4B" w:rsidRDefault="002C3912" w:rsidP="00B83B4C">
          <w:pPr>
            <w:pStyle w:val="Cog-body"/>
            <w:spacing w:before="120"/>
            <w:ind w:left="0"/>
            <w:rPr>
              <w:szCs w:val="20"/>
            </w:rPr>
          </w:pPr>
          <w:r w:rsidRPr="007D0C4B">
            <w:rPr>
              <w:szCs w:val="20"/>
            </w:rPr>
            <w:t xml:space="preserve">L1 Training Material </w:t>
          </w:r>
          <w:r>
            <w:rPr>
              <w:szCs w:val="20"/>
            </w:rPr>
            <w:t>–</w:t>
          </w:r>
          <w:r w:rsidRPr="007D0C4B">
            <w:rPr>
              <w:szCs w:val="20"/>
            </w:rPr>
            <w:t xml:space="preserve"> </w:t>
          </w:r>
          <w:r>
            <w:rPr>
              <w:szCs w:val="20"/>
            </w:rPr>
            <w:t>Asset and Wealth</w:t>
          </w:r>
          <w:r w:rsidRPr="007D0C4B">
            <w:rPr>
              <w:szCs w:val="20"/>
            </w:rPr>
            <w:t xml:space="preserve"> Management </w:t>
          </w:r>
        </w:p>
      </w:tc>
      <w:tc>
        <w:tcPr>
          <w:tcW w:w="1440" w:type="dxa"/>
        </w:tcPr>
        <w:p w:rsidR="002C3912" w:rsidRDefault="002C3912" w:rsidP="00160F47">
          <w:pPr>
            <w:jc w:val="right"/>
            <w:rPr>
              <w:sz w:val="16"/>
            </w:rPr>
          </w:pPr>
        </w:p>
      </w:tc>
    </w:tr>
  </w:tbl>
  <w:p w:rsidR="002C3912" w:rsidRDefault="002C391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3912" w:rsidRDefault="002C391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style="position:absolute;margin-left:-6pt;margin-top:99pt;width:467.95pt;height:261.65pt;z-index:-251657728;mso-position-horizontal-relative:margin;mso-position-vertical-relative:margin">
          <v:imagedata r:id="rId1" o:title="PortfolioOverview"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in;height:3in" o:bullet="t"/>
    </w:pict>
  </w:numPicBullet>
  <w:numPicBullet w:numPicBulletId="1">
    <w:pict>
      <v:shape id="_x0000_i1036" type="#_x0000_t75" style="width:3in;height:3in" o:bullet="t"/>
    </w:pict>
  </w:numPicBullet>
  <w:numPicBullet w:numPicBulletId="2">
    <w:pict>
      <v:shape id="_x0000_i1037" type="#_x0000_t75" style="width:3in;height:3in" o:bullet="t"/>
    </w:pict>
  </w:numPicBullet>
  <w:numPicBullet w:numPicBulletId="3">
    <w:pict>
      <v:shape id="_x0000_i1038" type="#_x0000_t75" style="width:3in;height:3in" o:bullet="t"/>
    </w:pict>
  </w:numPicBullet>
  <w:numPicBullet w:numPicBulletId="4">
    <w:pict>
      <v:shape id="_x0000_i1039" type="#_x0000_t75" style="width:3in;height:3in" o:bullet="t"/>
    </w:pict>
  </w:numPicBullet>
  <w:numPicBullet w:numPicBulletId="5">
    <w:pict>
      <v:shape id="_x0000_i1040" type="#_x0000_t75" style="width:3in;height:3in" o:bullet="t"/>
    </w:pict>
  </w:numPicBullet>
  <w:numPicBullet w:numPicBulletId="6">
    <w:pict>
      <v:shape id="_x0000_i1041" type="#_x0000_t75" style="width:3in;height:3in" o:bullet="t"/>
    </w:pict>
  </w:numPicBullet>
  <w:numPicBullet w:numPicBulletId="7">
    <w:pict>
      <v:shape id="_x0000_i1042" type="#_x0000_t75" style="width:3in;height:3in" o:bullet="t"/>
    </w:pict>
  </w:numPicBullet>
  <w:numPicBullet w:numPicBulletId="8">
    <w:pict>
      <v:shape id="_x0000_i1043" type="#_x0000_t75" style="width:3in;height:3in" o:bullet="t"/>
    </w:pict>
  </w:numPicBullet>
  <w:abstractNum w:abstractNumId="0">
    <w:nsid w:val="FFFFFF7F"/>
    <w:multiLevelType w:val="singleLevel"/>
    <w:tmpl w:val="58369A9E"/>
    <w:lvl w:ilvl="0">
      <w:start w:val="1"/>
      <w:numFmt w:val="decimal"/>
      <w:pStyle w:val="ListNumber2"/>
      <w:lvlText w:val="%1."/>
      <w:lvlJc w:val="left"/>
      <w:pPr>
        <w:tabs>
          <w:tab w:val="num" w:pos="720"/>
        </w:tabs>
        <w:ind w:left="720" w:hanging="360"/>
      </w:pPr>
    </w:lvl>
  </w:abstractNum>
  <w:abstractNum w:abstractNumId="1">
    <w:nsid w:val="00FA1409"/>
    <w:multiLevelType w:val="hybridMultilevel"/>
    <w:tmpl w:val="9DC62FC6"/>
    <w:lvl w:ilvl="0" w:tplc="24BA78E0">
      <w:start w:val="1"/>
      <w:numFmt w:val="lowerRoman"/>
      <w:lvlText w:val="%1."/>
      <w:lvlJc w:val="right"/>
      <w:pPr>
        <w:tabs>
          <w:tab w:val="num" w:pos="720"/>
        </w:tabs>
        <w:ind w:left="720" w:hanging="360"/>
      </w:pPr>
    </w:lvl>
    <w:lvl w:ilvl="1" w:tplc="ABC2E4B8" w:tentative="1">
      <w:start w:val="1"/>
      <w:numFmt w:val="lowerLetter"/>
      <w:lvlText w:val="%2."/>
      <w:lvlJc w:val="left"/>
      <w:pPr>
        <w:tabs>
          <w:tab w:val="num" w:pos="1440"/>
        </w:tabs>
        <w:ind w:left="1440" w:hanging="360"/>
      </w:pPr>
    </w:lvl>
    <w:lvl w:ilvl="2" w:tplc="F76C7D20" w:tentative="1">
      <w:start w:val="1"/>
      <w:numFmt w:val="lowerRoman"/>
      <w:lvlText w:val="%3."/>
      <w:lvlJc w:val="right"/>
      <w:pPr>
        <w:tabs>
          <w:tab w:val="num" w:pos="2160"/>
        </w:tabs>
        <w:ind w:left="2160" w:hanging="180"/>
      </w:pPr>
    </w:lvl>
    <w:lvl w:ilvl="3" w:tplc="92EC0286" w:tentative="1">
      <w:start w:val="1"/>
      <w:numFmt w:val="decimal"/>
      <w:lvlText w:val="%4."/>
      <w:lvlJc w:val="left"/>
      <w:pPr>
        <w:tabs>
          <w:tab w:val="num" w:pos="2880"/>
        </w:tabs>
        <w:ind w:left="2880" w:hanging="360"/>
      </w:pPr>
    </w:lvl>
    <w:lvl w:ilvl="4" w:tplc="462200BC" w:tentative="1">
      <w:start w:val="1"/>
      <w:numFmt w:val="lowerLetter"/>
      <w:lvlText w:val="%5."/>
      <w:lvlJc w:val="left"/>
      <w:pPr>
        <w:tabs>
          <w:tab w:val="num" w:pos="3600"/>
        </w:tabs>
        <w:ind w:left="3600" w:hanging="360"/>
      </w:pPr>
    </w:lvl>
    <w:lvl w:ilvl="5" w:tplc="926A95F4" w:tentative="1">
      <w:start w:val="1"/>
      <w:numFmt w:val="lowerRoman"/>
      <w:lvlText w:val="%6."/>
      <w:lvlJc w:val="right"/>
      <w:pPr>
        <w:tabs>
          <w:tab w:val="num" w:pos="4320"/>
        </w:tabs>
        <w:ind w:left="4320" w:hanging="180"/>
      </w:pPr>
    </w:lvl>
    <w:lvl w:ilvl="6" w:tplc="16CC0F52" w:tentative="1">
      <w:start w:val="1"/>
      <w:numFmt w:val="decimal"/>
      <w:lvlText w:val="%7."/>
      <w:lvlJc w:val="left"/>
      <w:pPr>
        <w:tabs>
          <w:tab w:val="num" w:pos="5040"/>
        </w:tabs>
        <w:ind w:left="5040" w:hanging="360"/>
      </w:pPr>
    </w:lvl>
    <w:lvl w:ilvl="7" w:tplc="268C5252" w:tentative="1">
      <w:start w:val="1"/>
      <w:numFmt w:val="lowerLetter"/>
      <w:lvlText w:val="%8."/>
      <w:lvlJc w:val="left"/>
      <w:pPr>
        <w:tabs>
          <w:tab w:val="num" w:pos="5760"/>
        </w:tabs>
        <w:ind w:left="5760" w:hanging="360"/>
      </w:pPr>
    </w:lvl>
    <w:lvl w:ilvl="8" w:tplc="7682B4D8" w:tentative="1">
      <w:start w:val="1"/>
      <w:numFmt w:val="lowerRoman"/>
      <w:lvlText w:val="%9."/>
      <w:lvlJc w:val="right"/>
      <w:pPr>
        <w:tabs>
          <w:tab w:val="num" w:pos="6480"/>
        </w:tabs>
        <w:ind w:left="6480" w:hanging="180"/>
      </w:pPr>
    </w:lvl>
  </w:abstractNum>
  <w:abstractNum w:abstractNumId="2">
    <w:nsid w:val="01F261AC"/>
    <w:multiLevelType w:val="hybridMultilevel"/>
    <w:tmpl w:val="EF22888C"/>
    <w:lvl w:ilvl="0" w:tplc="0409001B">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bullet"/>
      <w:pStyle w:val="BodyText-Bullets1"/>
      <w:lvlText w:val="o"/>
      <w:lvlJc w:val="left"/>
      <w:pPr>
        <w:tabs>
          <w:tab w:val="num" w:pos="2520"/>
        </w:tabs>
        <w:ind w:left="2520" w:hanging="360"/>
      </w:pPr>
      <w:rPr>
        <w:rFonts w:ascii="Courier New" w:hAnsi="Courier New"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026F00A7"/>
    <w:multiLevelType w:val="hybridMultilevel"/>
    <w:tmpl w:val="8D4ABCA6"/>
    <w:lvl w:ilvl="0" w:tplc="B0A8D2E0">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5DD1068"/>
    <w:multiLevelType w:val="hybridMultilevel"/>
    <w:tmpl w:val="1B6AF7DA"/>
    <w:lvl w:ilvl="0" w:tplc="0409001B">
      <w:start w:val="1"/>
      <w:numFmt w:val="bullet"/>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5">
    <w:nsid w:val="06D974EC"/>
    <w:multiLevelType w:val="hybridMultilevel"/>
    <w:tmpl w:val="D1BCB4C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nsid w:val="08665951"/>
    <w:multiLevelType w:val="hybridMultilevel"/>
    <w:tmpl w:val="93B05178"/>
    <w:lvl w:ilvl="0" w:tplc="04090001">
      <w:start w:val="1"/>
      <w:numFmt w:val="bullet"/>
      <w:lvlText w:val=""/>
      <w:lvlJc w:val="left"/>
      <w:pPr>
        <w:tabs>
          <w:tab w:val="num" w:pos="1080"/>
        </w:tabs>
        <w:ind w:left="1080" w:hanging="360"/>
      </w:pPr>
      <w:rPr>
        <w:rFonts w:ascii="Wingdings" w:hAnsi="Wingdings" w:hint="default"/>
      </w:rPr>
    </w:lvl>
    <w:lvl w:ilvl="1" w:tplc="0409000F">
      <w:start w:val="1"/>
      <w:numFmt w:val="bullet"/>
      <w:lvlText w:val="o"/>
      <w:lvlJc w:val="left"/>
      <w:pPr>
        <w:tabs>
          <w:tab w:val="num" w:pos="1800"/>
        </w:tabs>
        <w:ind w:left="1800" w:hanging="360"/>
      </w:pPr>
      <w:rPr>
        <w:rFonts w:ascii="Courier New" w:hAnsi="Courier New" w:cs="Courier New" w:hint="default"/>
      </w:rPr>
    </w:lvl>
    <w:lvl w:ilvl="2" w:tplc="04090001"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08C07125"/>
    <w:multiLevelType w:val="hybridMultilevel"/>
    <w:tmpl w:val="F436635A"/>
    <w:lvl w:ilvl="0" w:tplc="0409000D">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09FF2F92"/>
    <w:multiLevelType w:val="hybridMultilevel"/>
    <w:tmpl w:val="491AC1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0D536C92"/>
    <w:multiLevelType w:val="hybridMultilevel"/>
    <w:tmpl w:val="F920F134"/>
    <w:lvl w:ilvl="0" w:tplc="04090001">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D756C54"/>
    <w:multiLevelType w:val="hybridMultilevel"/>
    <w:tmpl w:val="240E9EE4"/>
    <w:lvl w:ilvl="0" w:tplc="895E4034">
      <w:start w:val="1"/>
      <w:numFmt w:val="bullet"/>
      <w:lvlText w:val=""/>
      <w:lvlJc w:val="left"/>
      <w:pPr>
        <w:tabs>
          <w:tab w:val="num" w:pos="360"/>
        </w:tabs>
        <w:ind w:left="360" w:hanging="360"/>
      </w:pPr>
      <w:rPr>
        <w:rFonts w:ascii="Symbol" w:hAnsi="Symbol" w:hint="default"/>
      </w:rPr>
    </w:lvl>
    <w:lvl w:ilvl="1" w:tplc="742890A2" w:tentative="1">
      <w:start w:val="1"/>
      <w:numFmt w:val="bullet"/>
      <w:lvlText w:val="o"/>
      <w:lvlJc w:val="left"/>
      <w:pPr>
        <w:tabs>
          <w:tab w:val="num" w:pos="1080"/>
        </w:tabs>
        <w:ind w:left="1080" w:hanging="360"/>
      </w:pPr>
      <w:rPr>
        <w:rFonts w:ascii="Courier New" w:hAnsi="Courier New" w:cs="Courier New" w:hint="default"/>
      </w:rPr>
    </w:lvl>
    <w:lvl w:ilvl="2" w:tplc="14AA0C0A" w:tentative="1">
      <w:start w:val="1"/>
      <w:numFmt w:val="bullet"/>
      <w:lvlText w:val=""/>
      <w:lvlJc w:val="left"/>
      <w:pPr>
        <w:tabs>
          <w:tab w:val="num" w:pos="1800"/>
        </w:tabs>
        <w:ind w:left="1800" w:hanging="360"/>
      </w:pPr>
      <w:rPr>
        <w:rFonts w:ascii="Wingdings" w:hAnsi="Wingdings" w:hint="default"/>
      </w:rPr>
    </w:lvl>
    <w:lvl w:ilvl="3" w:tplc="60F88350" w:tentative="1">
      <w:start w:val="1"/>
      <w:numFmt w:val="bullet"/>
      <w:lvlText w:val=""/>
      <w:lvlJc w:val="left"/>
      <w:pPr>
        <w:tabs>
          <w:tab w:val="num" w:pos="2520"/>
        </w:tabs>
        <w:ind w:left="2520" w:hanging="360"/>
      </w:pPr>
      <w:rPr>
        <w:rFonts w:ascii="Symbol" w:hAnsi="Symbol" w:hint="default"/>
      </w:rPr>
    </w:lvl>
    <w:lvl w:ilvl="4" w:tplc="FE989C20" w:tentative="1">
      <w:start w:val="1"/>
      <w:numFmt w:val="bullet"/>
      <w:lvlText w:val="o"/>
      <w:lvlJc w:val="left"/>
      <w:pPr>
        <w:tabs>
          <w:tab w:val="num" w:pos="3240"/>
        </w:tabs>
        <w:ind w:left="3240" w:hanging="360"/>
      </w:pPr>
      <w:rPr>
        <w:rFonts w:ascii="Courier New" w:hAnsi="Courier New" w:cs="Courier New" w:hint="default"/>
      </w:rPr>
    </w:lvl>
    <w:lvl w:ilvl="5" w:tplc="EDD229C8" w:tentative="1">
      <w:start w:val="1"/>
      <w:numFmt w:val="bullet"/>
      <w:lvlText w:val=""/>
      <w:lvlJc w:val="left"/>
      <w:pPr>
        <w:tabs>
          <w:tab w:val="num" w:pos="3960"/>
        </w:tabs>
        <w:ind w:left="3960" w:hanging="360"/>
      </w:pPr>
      <w:rPr>
        <w:rFonts w:ascii="Wingdings" w:hAnsi="Wingdings" w:hint="default"/>
      </w:rPr>
    </w:lvl>
    <w:lvl w:ilvl="6" w:tplc="2D601694" w:tentative="1">
      <w:start w:val="1"/>
      <w:numFmt w:val="bullet"/>
      <w:lvlText w:val=""/>
      <w:lvlJc w:val="left"/>
      <w:pPr>
        <w:tabs>
          <w:tab w:val="num" w:pos="4680"/>
        </w:tabs>
        <w:ind w:left="4680" w:hanging="360"/>
      </w:pPr>
      <w:rPr>
        <w:rFonts w:ascii="Symbol" w:hAnsi="Symbol" w:hint="default"/>
      </w:rPr>
    </w:lvl>
    <w:lvl w:ilvl="7" w:tplc="9B768C82" w:tentative="1">
      <w:start w:val="1"/>
      <w:numFmt w:val="bullet"/>
      <w:lvlText w:val="o"/>
      <w:lvlJc w:val="left"/>
      <w:pPr>
        <w:tabs>
          <w:tab w:val="num" w:pos="5400"/>
        </w:tabs>
        <w:ind w:left="5400" w:hanging="360"/>
      </w:pPr>
      <w:rPr>
        <w:rFonts w:ascii="Courier New" w:hAnsi="Courier New" w:cs="Courier New" w:hint="default"/>
      </w:rPr>
    </w:lvl>
    <w:lvl w:ilvl="8" w:tplc="CD4693AA" w:tentative="1">
      <w:start w:val="1"/>
      <w:numFmt w:val="bullet"/>
      <w:lvlText w:val=""/>
      <w:lvlJc w:val="left"/>
      <w:pPr>
        <w:tabs>
          <w:tab w:val="num" w:pos="6120"/>
        </w:tabs>
        <w:ind w:left="6120" w:hanging="360"/>
      </w:pPr>
      <w:rPr>
        <w:rFonts w:ascii="Wingdings" w:hAnsi="Wingdings" w:hint="default"/>
      </w:rPr>
    </w:lvl>
  </w:abstractNum>
  <w:abstractNum w:abstractNumId="11">
    <w:nsid w:val="0DBC177F"/>
    <w:multiLevelType w:val="hybridMultilevel"/>
    <w:tmpl w:val="34783A58"/>
    <w:lvl w:ilvl="0" w:tplc="04090001">
      <w:start w:val="1"/>
      <w:numFmt w:val="decimal"/>
      <w:lvlText w:val="%1."/>
      <w:lvlJc w:val="left"/>
      <w:pPr>
        <w:tabs>
          <w:tab w:val="num" w:pos="1800"/>
        </w:tabs>
        <w:ind w:left="180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2">
    <w:nsid w:val="0DC022EA"/>
    <w:multiLevelType w:val="hybridMultilevel"/>
    <w:tmpl w:val="24368424"/>
    <w:lvl w:ilvl="0" w:tplc="2296240A">
      <w:start w:val="1"/>
      <w:numFmt w:val="bullet"/>
      <w:lvlText w:val=""/>
      <w:lvlJc w:val="left"/>
      <w:pPr>
        <w:tabs>
          <w:tab w:val="num" w:pos="1080"/>
        </w:tabs>
        <w:ind w:left="1080" w:hanging="360"/>
      </w:pPr>
      <w:rPr>
        <w:rFonts w:ascii="Symbol" w:hAnsi="Symbol" w:hint="default"/>
        <w:sz w:val="18"/>
        <w:szCs w:val="18"/>
      </w:rPr>
    </w:lvl>
    <w:lvl w:ilvl="1" w:tplc="E73EB8E4" w:tentative="1">
      <w:start w:val="1"/>
      <w:numFmt w:val="bullet"/>
      <w:lvlText w:val="o"/>
      <w:lvlJc w:val="left"/>
      <w:pPr>
        <w:tabs>
          <w:tab w:val="num" w:pos="1440"/>
        </w:tabs>
        <w:ind w:left="1440" w:hanging="360"/>
      </w:pPr>
      <w:rPr>
        <w:rFonts w:ascii="Courier New" w:hAnsi="Courier New" w:cs="Courier New" w:hint="default"/>
      </w:rPr>
    </w:lvl>
    <w:lvl w:ilvl="2" w:tplc="AF18C0A2" w:tentative="1">
      <w:start w:val="1"/>
      <w:numFmt w:val="bullet"/>
      <w:lvlText w:val=""/>
      <w:lvlJc w:val="left"/>
      <w:pPr>
        <w:tabs>
          <w:tab w:val="num" w:pos="2160"/>
        </w:tabs>
        <w:ind w:left="2160" w:hanging="360"/>
      </w:pPr>
      <w:rPr>
        <w:rFonts w:ascii="Wingdings" w:hAnsi="Wingdings" w:hint="default"/>
      </w:rPr>
    </w:lvl>
    <w:lvl w:ilvl="3" w:tplc="A0BE0D90" w:tentative="1">
      <w:start w:val="1"/>
      <w:numFmt w:val="bullet"/>
      <w:lvlText w:val=""/>
      <w:lvlJc w:val="left"/>
      <w:pPr>
        <w:tabs>
          <w:tab w:val="num" w:pos="2880"/>
        </w:tabs>
        <w:ind w:left="2880" w:hanging="360"/>
      </w:pPr>
      <w:rPr>
        <w:rFonts w:ascii="Symbol" w:hAnsi="Symbol" w:hint="default"/>
      </w:rPr>
    </w:lvl>
    <w:lvl w:ilvl="4" w:tplc="9BF8EB18" w:tentative="1">
      <w:start w:val="1"/>
      <w:numFmt w:val="bullet"/>
      <w:lvlText w:val="o"/>
      <w:lvlJc w:val="left"/>
      <w:pPr>
        <w:tabs>
          <w:tab w:val="num" w:pos="3600"/>
        </w:tabs>
        <w:ind w:left="3600" w:hanging="360"/>
      </w:pPr>
      <w:rPr>
        <w:rFonts w:ascii="Courier New" w:hAnsi="Courier New" w:cs="Courier New" w:hint="default"/>
      </w:rPr>
    </w:lvl>
    <w:lvl w:ilvl="5" w:tplc="9DFA29AA" w:tentative="1">
      <w:start w:val="1"/>
      <w:numFmt w:val="bullet"/>
      <w:lvlText w:val=""/>
      <w:lvlJc w:val="left"/>
      <w:pPr>
        <w:tabs>
          <w:tab w:val="num" w:pos="4320"/>
        </w:tabs>
        <w:ind w:left="4320" w:hanging="360"/>
      </w:pPr>
      <w:rPr>
        <w:rFonts w:ascii="Wingdings" w:hAnsi="Wingdings" w:hint="default"/>
      </w:rPr>
    </w:lvl>
    <w:lvl w:ilvl="6" w:tplc="B14A14EE" w:tentative="1">
      <w:start w:val="1"/>
      <w:numFmt w:val="bullet"/>
      <w:lvlText w:val=""/>
      <w:lvlJc w:val="left"/>
      <w:pPr>
        <w:tabs>
          <w:tab w:val="num" w:pos="5040"/>
        </w:tabs>
        <w:ind w:left="5040" w:hanging="360"/>
      </w:pPr>
      <w:rPr>
        <w:rFonts w:ascii="Symbol" w:hAnsi="Symbol" w:hint="default"/>
      </w:rPr>
    </w:lvl>
    <w:lvl w:ilvl="7" w:tplc="63DC8120" w:tentative="1">
      <w:start w:val="1"/>
      <w:numFmt w:val="bullet"/>
      <w:lvlText w:val="o"/>
      <w:lvlJc w:val="left"/>
      <w:pPr>
        <w:tabs>
          <w:tab w:val="num" w:pos="5760"/>
        </w:tabs>
        <w:ind w:left="5760" w:hanging="360"/>
      </w:pPr>
      <w:rPr>
        <w:rFonts w:ascii="Courier New" w:hAnsi="Courier New" w:cs="Courier New" w:hint="default"/>
      </w:rPr>
    </w:lvl>
    <w:lvl w:ilvl="8" w:tplc="3718F916" w:tentative="1">
      <w:start w:val="1"/>
      <w:numFmt w:val="bullet"/>
      <w:lvlText w:val=""/>
      <w:lvlJc w:val="left"/>
      <w:pPr>
        <w:tabs>
          <w:tab w:val="num" w:pos="6480"/>
        </w:tabs>
        <w:ind w:left="6480" w:hanging="360"/>
      </w:pPr>
      <w:rPr>
        <w:rFonts w:ascii="Wingdings" w:hAnsi="Wingdings" w:hint="default"/>
      </w:rPr>
    </w:lvl>
  </w:abstractNum>
  <w:abstractNum w:abstractNumId="13">
    <w:nsid w:val="0E7834D8"/>
    <w:multiLevelType w:val="hybridMultilevel"/>
    <w:tmpl w:val="1576966E"/>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0E8D60C5"/>
    <w:multiLevelType w:val="hybridMultilevel"/>
    <w:tmpl w:val="6A18AD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0EC55C62"/>
    <w:multiLevelType w:val="hybridMultilevel"/>
    <w:tmpl w:val="A0E4D430"/>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0F44566B"/>
    <w:multiLevelType w:val="hybridMultilevel"/>
    <w:tmpl w:val="221CE1EC"/>
    <w:lvl w:ilvl="0" w:tplc="0409000D">
      <w:start w:val="1"/>
      <w:numFmt w:val="lowerRoman"/>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7">
    <w:nsid w:val="13BC4C80"/>
    <w:multiLevelType w:val="hybridMultilevel"/>
    <w:tmpl w:val="36EC8690"/>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13CB1207"/>
    <w:multiLevelType w:val="hybridMultilevel"/>
    <w:tmpl w:val="7DB0580A"/>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5093D7A"/>
    <w:multiLevelType w:val="hybridMultilevel"/>
    <w:tmpl w:val="6AC0C3C0"/>
    <w:lvl w:ilvl="0" w:tplc="0409001B">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nsid w:val="153248D0"/>
    <w:multiLevelType w:val="hybridMultilevel"/>
    <w:tmpl w:val="279AB02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nsid w:val="15BB4D9B"/>
    <w:multiLevelType w:val="hybridMultilevel"/>
    <w:tmpl w:val="039AA14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16560BBB"/>
    <w:multiLevelType w:val="hybridMultilevel"/>
    <w:tmpl w:val="6B6684B2"/>
    <w:lvl w:ilvl="0" w:tplc="04090005">
      <w:start w:val="1"/>
      <w:numFmt w:val="lowerRoman"/>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nsid w:val="168E02D5"/>
    <w:multiLevelType w:val="hybridMultilevel"/>
    <w:tmpl w:val="9692F5E8"/>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76959C2"/>
    <w:multiLevelType w:val="hybridMultilevel"/>
    <w:tmpl w:val="5C5829CE"/>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18BC163F"/>
    <w:multiLevelType w:val="hybridMultilevel"/>
    <w:tmpl w:val="440049AA"/>
    <w:lvl w:ilvl="0" w:tplc="0409001B">
      <w:start w:val="1"/>
      <w:numFmt w:val="bullet"/>
      <w:lvlText w:val=""/>
      <w:lvlJc w:val="left"/>
      <w:pPr>
        <w:tabs>
          <w:tab w:val="num" w:pos="720"/>
        </w:tabs>
        <w:ind w:left="720" w:hanging="360"/>
      </w:pPr>
      <w:rPr>
        <w:rFonts w:ascii="Wingdings" w:hAnsi="Wingdings" w:hint="default"/>
      </w:rPr>
    </w:lvl>
    <w:lvl w:ilvl="1" w:tplc="04090019">
      <w:start w:val="167"/>
      <w:numFmt w:val="bullet"/>
      <w:lvlText w:val=""/>
      <w:lvlJc w:val="left"/>
      <w:pPr>
        <w:tabs>
          <w:tab w:val="num" w:pos="1440"/>
        </w:tabs>
        <w:ind w:left="1440" w:hanging="360"/>
      </w:pPr>
      <w:rPr>
        <w:rFonts w:ascii="Wingdings" w:hAnsi="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start w:val="167"/>
      <w:numFmt w:val="bullet"/>
      <w:lvlText w:val="-"/>
      <w:lvlJc w:val="left"/>
      <w:pPr>
        <w:tabs>
          <w:tab w:val="num" w:pos="2880"/>
        </w:tabs>
        <w:ind w:left="2880" w:hanging="360"/>
      </w:pPr>
      <w:rPr>
        <w:rFonts w:ascii="Times New Roman" w:hAnsi="Times New Roman" w:hint="default"/>
      </w:rPr>
    </w:lvl>
    <w:lvl w:ilvl="4" w:tplc="04090019" w:tentative="1">
      <w:start w:val="1"/>
      <w:numFmt w:val="bullet"/>
      <w:lvlText w:val=""/>
      <w:lvlJc w:val="left"/>
      <w:pPr>
        <w:tabs>
          <w:tab w:val="num" w:pos="3600"/>
        </w:tabs>
        <w:ind w:left="3600" w:hanging="360"/>
      </w:pPr>
      <w:rPr>
        <w:rFonts w:ascii="Wingdings" w:hAnsi="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Wingdings" w:hAnsi="Wingdings" w:hint="default"/>
      </w:rPr>
    </w:lvl>
    <w:lvl w:ilvl="7" w:tplc="04090019" w:tentative="1">
      <w:start w:val="1"/>
      <w:numFmt w:val="bullet"/>
      <w:lvlText w:val=""/>
      <w:lvlJc w:val="left"/>
      <w:pPr>
        <w:tabs>
          <w:tab w:val="num" w:pos="5760"/>
        </w:tabs>
        <w:ind w:left="5760" w:hanging="360"/>
      </w:pPr>
      <w:rPr>
        <w:rFonts w:ascii="Wingdings" w:hAnsi="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6">
    <w:nsid w:val="1992267E"/>
    <w:multiLevelType w:val="hybridMultilevel"/>
    <w:tmpl w:val="C324F75C"/>
    <w:lvl w:ilvl="0" w:tplc="57EA17C6">
      <w:start w:val="1"/>
      <w:numFmt w:val="bullet"/>
      <w:lvlText w:val=""/>
      <w:lvlJc w:val="left"/>
      <w:pPr>
        <w:tabs>
          <w:tab w:val="num" w:pos="720"/>
        </w:tabs>
        <w:ind w:left="720" w:hanging="360"/>
      </w:pPr>
      <w:rPr>
        <w:rFonts w:ascii="Symbol" w:hAnsi="Symbol" w:hint="default"/>
        <w:sz w:val="20"/>
      </w:rPr>
    </w:lvl>
    <w:lvl w:ilvl="1" w:tplc="75C6876E" w:tentative="1">
      <w:start w:val="1"/>
      <w:numFmt w:val="bullet"/>
      <w:lvlText w:val="o"/>
      <w:lvlJc w:val="left"/>
      <w:pPr>
        <w:tabs>
          <w:tab w:val="num" w:pos="1440"/>
        </w:tabs>
        <w:ind w:left="1440" w:hanging="360"/>
      </w:pPr>
      <w:rPr>
        <w:rFonts w:ascii="Courier New" w:hAnsi="Courier New" w:hint="default"/>
        <w:sz w:val="20"/>
      </w:rPr>
    </w:lvl>
    <w:lvl w:ilvl="2" w:tplc="314A33C4" w:tentative="1">
      <w:start w:val="1"/>
      <w:numFmt w:val="bullet"/>
      <w:lvlText w:val=""/>
      <w:lvlJc w:val="left"/>
      <w:pPr>
        <w:tabs>
          <w:tab w:val="num" w:pos="2160"/>
        </w:tabs>
        <w:ind w:left="2160" w:hanging="360"/>
      </w:pPr>
      <w:rPr>
        <w:rFonts w:ascii="Wingdings" w:hAnsi="Wingdings" w:hint="default"/>
        <w:sz w:val="20"/>
      </w:rPr>
    </w:lvl>
    <w:lvl w:ilvl="3" w:tplc="57CCAF26" w:tentative="1">
      <w:start w:val="1"/>
      <w:numFmt w:val="bullet"/>
      <w:lvlText w:val=""/>
      <w:lvlJc w:val="left"/>
      <w:pPr>
        <w:tabs>
          <w:tab w:val="num" w:pos="2880"/>
        </w:tabs>
        <w:ind w:left="2880" w:hanging="360"/>
      </w:pPr>
      <w:rPr>
        <w:rFonts w:ascii="Wingdings" w:hAnsi="Wingdings" w:hint="default"/>
        <w:sz w:val="20"/>
      </w:rPr>
    </w:lvl>
    <w:lvl w:ilvl="4" w:tplc="F3BE66E6" w:tentative="1">
      <w:start w:val="1"/>
      <w:numFmt w:val="bullet"/>
      <w:lvlText w:val=""/>
      <w:lvlJc w:val="left"/>
      <w:pPr>
        <w:tabs>
          <w:tab w:val="num" w:pos="3600"/>
        </w:tabs>
        <w:ind w:left="3600" w:hanging="360"/>
      </w:pPr>
      <w:rPr>
        <w:rFonts w:ascii="Wingdings" w:hAnsi="Wingdings" w:hint="default"/>
        <w:sz w:val="20"/>
      </w:rPr>
    </w:lvl>
    <w:lvl w:ilvl="5" w:tplc="06F2B598" w:tentative="1">
      <w:start w:val="1"/>
      <w:numFmt w:val="bullet"/>
      <w:lvlText w:val=""/>
      <w:lvlJc w:val="left"/>
      <w:pPr>
        <w:tabs>
          <w:tab w:val="num" w:pos="4320"/>
        </w:tabs>
        <w:ind w:left="4320" w:hanging="360"/>
      </w:pPr>
      <w:rPr>
        <w:rFonts w:ascii="Wingdings" w:hAnsi="Wingdings" w:hint="default"/>
        <w:sz w:val="20"/>
      </w:rPr>
    </w:lvl>
    <w:lvl w:ilvl="6" w:tplc="28FEF934" w:tentative="1">
      <w:start w:val="1"/>
      <w:numFmt w:val="bullet"/>
      <w:lvlText w:val=""/>
      <w:lvlJc w:val="left"/>
      <w:pPr>
        <w:tabs>
          <w:tab w:val="num" w:pos="5040"/>
        </w:tabs>
        <w:ind w:left="5040" w:hanging="360"/>
      </w:pPr>
      <w:rPr>
        <w:rFonts w:ascii="Wingdings" w:hAnsi="Wingdings" w:hint="default"/>
        <w:sz w:val="20"/>
      </w:rPr>
    </w:lvl>
    <w:lvl w:ilvl="7" w:tplc="CEECE31C" w:tentative="1">
      <w:start w:val="1"/>
      <w:numFmt w:val="bullet"/>
      <w:lvlText w:val=""/>
      <w:lvlJc w:val="left"/>
      <w:pPr>
        <w:tabs>
          <w:tab w:val="num" w:pos="5760"/>
        </w:tabs>
        <w:ind w:left="5760" w:hanging="360"/>
      </w:pPr>
      <w:rPr>
        <w:rFonts w:ascii="Wingdings" w:hAnsi="Wingdings" w:hint="default"/>
        <w:sz w:val="20"/>
      </w:rPr>
    </w:lvl>
    <w:lvl w:ilvl="8" w:tplc="6F84B062"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067631"/>
    <w:multiLevelType w:val="hybridMultilevel"/>
    <w:tmpl w:val="14729D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1C911562"/>
    <w:multiLevelType w:val="hybridMultilevel"/>
    <w:tmpl w:val="E5708322"/>
    <w:lvl w:ilvl="0" w:tplc="04090001">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cs="Courier New"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29">
    <w:nsid w:val="1C9B2989"/>
    <w:multiLevelType w:val="hybridMultilevel"/>
    <w:tmpl w:val="4DE8516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nsid w:val="1F222305"/>
    <w:multiLevelType w:val="hybridMultilevel"/>
    <w:tmpl w:val="84D2E46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20C25948"/>
    <w:multiLevelType w:val="hybridMultilevel"/>
    <w:tmpl w:val="C92ACE30"/>
    <w:lvl w:ilvl="0" w:tplc="31562E64">
      <w:start w:val="1"/>
      <w:numFmt w:val="lowerRoman"/>
      <w:lvlText w:val="%1."/>
      <w:lvlJc w:val="right"/>
      <w:pPr>
        <w:tabs>
          <w:tab w:val="num" w:pos="720"/>
        </w:tabs>
        <w:ind w:left="720" w:hanging="360"/>
      </w:pPr>
    </w:lvl>
    <w:lvl w:ilvl="1" w:tplc="316A2638">
      <w:start w:val="1"/>
      <w:numFmt w:val="lowerLetter"/>
      <w:lvlText w:val="%2."/>
      <w:lvlJc w:val="left"/>
      <w:pPr>
        <w:tabs>
          <w:tab w:val="num" w:pos="1440"/>
        </w:tabs>
        <w:ind w:left="1440" w:hanging="360"/>
      </w:pPr>
    </w:lvl>
    <w:lvl w:ilvl="2" w:tplc="919233DE">
      <w:start w:val="1"/>
      <w:numFmt w:val="lowerRoman"/>
      <w:lvlText w:val="%3."/>
      <w:lvlJc w:val="right"/>
      <w:pPr>
        <w:tabs>
          <w:tab w:val="num" w:pos="2160"/>
        </w:tabs>
        <w:ind w:left="2160" w:hanging="180"/>
      </w:pPr>
    </w:lvl>
    <w:lvl w:ilvl="3" w:tplc="41D05BB2" w:tentative="1">
      <w:start w:val="1"/>
      <w:numFmt w:val="decimal"/>
      <w:lvlText w:val="%4."/>
      <w:lvlJc w:val="left"/>
      <w:pPr>
        <w:tabs>
          <w:tab w:val="num" w:pos="2880"/>
        </w:tabs>
        <w:ind w:left="2880" w:hanging="360"/>
      </w:pPr>
    </w:lvl>
    <w:lvl w:ilvl="4" w:tplc="16DA2286" w:tentative="1">
      <w:start w:val="1"/>
      <w:numFmt w:val="lowerLetter"/>
      <w:lvlText w:val="%5."/>
      <w:lvlJc w:val="left"/>
      <w:pPr>
        <w:tabs>
          <w:tab w:val="num" w:pos="3600"/>
        </w:tabs>
        <w:ind w:left="3600" w:hanging="360"/>
      </w:pPr>
    </w:lvl>
    <w:lvl w:ilvl="5" w:tplc="D89EBBEE" w:tentative="1">
      <w:start w:val="1"/>
      <w:numFmt w:val="lowerRoman"/>
      <w:lvlText w:val="%6."/>
      <w:lvlJc w:val="right"/>
      <w:pPr>
        <w:tabs>
          <w:tab w:val="num" w:pos="4320"/>
        </w:tabs>
        <w:ind w:left="4320" w:hanging="180"/>
      </w:pPr>
    </w:lvl>
    <w:lvl w:ilvl="6" w:tplc="232813B6" w:tentative="1">
      <w:start w:val="1"/>
      <w:numFmt w:val="decimal"/>
      <w:lvlText w:val="%7."/>
      <w:lvlJc w:val="left"/>
      <w:pPr>
        <w:tabs>
          <w:tab w:val="num" w:pos="5040"/>
        </w:tabs>
        <w:ind w:left="5040" w:hanging="360"/>
      </w:pPr>
    </w:lvl>
    <w:lvl w:ilvl="7" w:tplc="A1769A18" w:tentative="1">
      <w:start w:val="1"/>
      <w:numFmt w:val="lowerLetter"/>
      <w:lvlText w:val="%8."/>
      <w:lvlJc w:val="left"/>
      <w:pPr>
        <w:tabs>
          <w:tab w:val="num" w:pos="5760"/>
        </w:tabs>
        <w:ind w:left="5760" w:hanging="360"/>
      </w:pPr>
    </w:lvl>
    <w:lvl w:ilvl="8" w:tplc="280CA67C" w:tentative="1">
      <w:start w:val="1"/>
      <w:numFmt w:val="lowerRoman"/>
      <w:lvlText w:val="%9."/>
      <w:lvlJc w:val="right"/>
      <w:pPr>
        <w:tabs>
          <w:tab w:val="num" w:pos="6480"/>
        </w:tabs>
        <w:ind w:left="6480" w:hanging="180"/>
      </w:pPr>
    </w:lvl>
  </w:abstractNum>
  <w:abstractNum w:abstractNumId="32">
    <w:nsid w:val="20E92FAF"/>
    <w:multiLevelType w:val="hybridMultilevel"/>
    <w:tmpl w:val="1B4C9B1E"/>
    <w:lvl w:ilvl="0" w:tplc="0409001B">
      <w:start w:val="1"/>
      <w:numFmt w:val="bullet"/>
      <w:lvlText w:val="o"/>
      <w:lvlJc w:val="left"/>
      <w:pPr>
        <w:tabs>
          <w:tab w:val="num" w:pos="720"/>
        </w:tabs>
        <w:ind w:left="720" w:hanging="360"/>
      </w:pPr>
      <w:rPr>
        <w:rFonts w:ascii="Courier New" w:hAnsi="Courier New" w:cs="Courier New"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3">
    <w:nsid w:val="20EE7B37"/>
    <w:multiLevelType w:val="hybridMultilevel"/>
    <w:tmpl w:val="81A04140"/>
    <w:lvl w:ilvl="0" w:tplc="04090003">
      <w:start w:val="1"/>
      <w:numFmt w:val="bullet"/>
      <w:lvlText w:val=""/>
      <w:lvlJc w:val="left"/>
      <w:pPr>
        <w:ind w:left="720" w:hanging="360"/>
      </w:pPr>
      <w:rPr>
        <w:rFonts w:ascii="Symbol" w:hAnsi="Symbol"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4">
    <w:nsid w:val="20F5135A"/>
    <w:multiLevelType w:val="singleLevel"/>
    <w:tmpl w:val="CE66A34A"/>
    <w:lvl w:ilvl="0">
      <w:start w:val="1"/>
      <w:numFmt w:val="bullet"/>
      <w:pStyle w:val="Cog-body-bullet"/>
      <w:lvlText w:val=""/>
      <w:lvlJc w:val="left"/>
      <w:pPr>
        <w:tabs>
          <w:tab w:val="num" w:pos="360"/>
        </w:tabs>
        <w:ind w:left="360" w:hanging="360"/>
      </w:pPr>
      <w:rPr>
        <w:rFonts w:ascii="Wingdings" w:hAnsi="Wingdings" w:cs="Times New Roman" w:hint="default"/>
        <w:b/>
        <w:sz w:val="16"/>
        <w:szCs w:val="16"/>
      </w:rPr>
    </w:lvl>
  </w:abstractNum>
  <w:abstractNum w:abstractNumId="35">
    <w:nsid w:val="216A0935"/>
    <w:multiLevelType w:val="hybridMultilevel"/>
    <w:tmpl w:val="D4264370"/>
    <w:lvl w:ilvl="0" w:tplc="AD063630">
      <w:start w:val="1"/>
      <w:numFmt w:val="bullet"/>
      <w:lvlText w:val=""/>
      <w:lvlJc w:val="left"/>
      <w:pPr>
        <w:tabs>
          <w:tab w:val="num" w:pos="360"/>
        </w:tabs>
        <w:ind w:left="360" w:hanging="360"/>
      </w:pPr>
      <w:rPr>
        <w:rFonts w:ascii="Symbol" w:hAnsi="Symbol" w:hint="default"/>
      </w:rPr>
    </w:lvl>
    <w:lvl w:ilvl="1" w:tplc="481260F6" w:tentative="1">
      <w:start w:val="1"/>
      <w:numFmt w:val="bullet"/>
      <w:lvlText w:val="o"/>
      <w:lvlJc w:val="left"/>
      <w:pPr>
        <w:tabs>
          <w:tab w:val="num" w:pos="1080"/>
        </w:tabs>
        <w:ind w:left="1080" w:hanging="360"/>
      </w:pPr>
      <w:rPr>
        <w:rFonts w:ascii="Courier New" w:hAnsi="Courier New" w:cs="Courier New" w:hint="default"/>
      </w:rPr>
    </w:lvl>
    <w:lvl w:ilvl="2" w:tplc="5B68065E" w:tentative="1">
      <w:start w:val="1"/>
      <w:numFmt w:val="bullet"/>
      <w:lvlText w:val=""/>
      <w:lvlJc w:val="left"/>
      <w:pPr>
        <w:tabs>
          <w:tab w:val="num" w:pos="1800"/>
        </w:tabs>
        <w:ind w:left="1800" w:hanging="360"/>
      </w:pPr>
      <w:rPr>
        <w:rFonts w:ascii="Wingdings" w:hAnsi="Wingdings" w:hint="default"/>
      </w:rPr>
    </w:lvl>
    <w:lvl w:ilvl="3" w:tplc="BCD4A51A" w:tentative="1">
      <w:start w:val="1"/>
      <w:numFmt w:val="bullet"/>
      <w:lvlText w:val=""/>
      <w:lvlJc w:val="left"/>
      <w:pPr>
        <w:tabs>
          <w:tab w:val="num" w:pos="2520"/>
        </w:tabs>
        <w:ind w:left="2520" w:hanging="360"/>
      </w:pPr>
      <w:rPr>
        <w:rFonts w:ascii="Symbol" w:hAnsi="Symbol" w:hint="default"/>
      </w:rPr>
    </w:lvl>
    <w:lvl w:ilvl="4" w:tplc="67F4655A" w:tentative="1">
      <w:start w:val="1"/>
      <w:numFmt w:val="bullet"/>
      <w:lvlText w:val="o"/>
      <w:lvlJc w:val="left"/>
      <w:pPr>
        <w:tabs>
          <w:tab w:val="num" w:pos="3240"/>
        </w:tabs>
        <w:ind w:left="3240" w:hanging="360"/>
      </w:pPr>
      <w:rPr>
        <w:rFonts w:ascii="Courier New" w:hAnsi="Courier New" w:cs="Courier New" w:hint="default"/>
      </w:rPr>
    </w:lvl>
    <w:lvl w:ilvl="5" w:tplc="C808622A" w:tentative="1">
      <w:start w:val="1"/>
      <w:numFmt w:val="bullet"/>
      <w:lvlText w:val=""/>
      <w:lvlJc w:val="left"/>
      <w:pPr>
        <w:tabs>
          <w:tab w:val="num" w:pos="3960"/>
        </w:tabs>
        <w:ind w:left="3960" w:hanging="360"/>
      </w:pPr>
      <w:rPr>
        <w:rFonts w:ascii="Wingdings" w:hAnsi="Wingdings" w:hint="default"/>
      </w:rPr>
    </w:lvl>
    <w:lvl w:ilvl="6" w:tplc="6966D1A4" w:tentative="1">
      <w:start w:val="1"/>
      <w:numFmt w:val="bullet"/>
      <w:lvlText w:val=""/>
      <w:lvlJc w:val="left"/>
      <w:pPr>
        <w:tabs>
          <w:tab w:val="num" w:pos="4680"/>
        </w:tabs>
        <w:ind w:left="4680" w:hanging="360"/>
      </w:pPr>
      <w:rPr>
        <w:rFonts w:ascii="Symbol" w:hAnsi="Symbol" w:hint="default"/>
      </w:rPr>
    </w:lvl>
    <w:lvl w:ilvl="7" w:tplc="0CCADBC6" w:tentative="1">
      <w:start w:val="1"/>
      <w:numFmt w:val="bullet"/>
      <w:lvlText w:val="o"/>
      <w:lvlJc w:val="left"/>
      <w:pPr>
        <w:tabs>
          <w:tab w:val="num" w:pos="5400"/>
        </w:tabs>
        <w:ind w:left="5400" w:hanging="360"/>
      </w:pPr>
      <w:rPr>
        <w:rFonts w:ascii="Courier New" w:hAnsi="Courier New" w:cs="Courier New" w:hint="default"/>
      </w:rPr>
    </w:lvl>
    <w:lvl w:ilvl="8" w:tplc="FEA247BE" w:tentative="1">
      <w:start w:val="1"/>
      <w:numFmt w:val="bullet"/>
      <w:lvlText w:val=""/>
      <w:lvlJc w:val="left"/>
      <w:pPr>
        <w:tabs>
          <w:tab w:val="num" w:pos="6120"/>
        </w:tabs>
        <w:ind w:left="6120" w:hanging="360"/>
      </w:pPr>
      <w:rPr>
        <w:rFonts w:ascii="Wingdings" w:hAnsi="Wingdings" w:hint="default"/>
      </w:rPr>
    </w:lvl>
  </w:abstractNum>
  <w:abstractNum w:abstractNumId="36">
    <w:nsid w:val="223B781E"/>
    <w:multiLevelType w:val="hybridMultilevel"/>
    <w:tmpl w:val="DD6628F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22930F74"/>
    <w:multiLevelType w:val="hybridMultilevel"/>
    <w:tmpl w:val="F99A3F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22B77EF0"/>
    <w:multiLevelType w:val="hybridMultilevel"/>
    <w:tmpl w:val="FE20CA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nsid w:val="22EF585F"/>
    <w:multiLevelType w:val="hybridMultilevel"/>
    <w:tmpl w:val="0DD03A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nsid w:val="230C2A40"/>
    <w:multiLevelType w:val="hybridMultilevel"/>
    <w:tmpl w:val="4810E83E"/>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235770D1"/>
    <w:multiLevelType w:val="hybridMultilevel"/>
    <w:tmpl w:val="6AF6B6E0"/>
    <w:lvl w:ilvl="0" w:tplc="141A758A">
      <w:start w:val="1"/>
      <w:numFmt w:val="bullet"/>
      <w:lvlText w:val=""/>
      <w:lvlJc w:val="left"/>
      <w:pPr>
        <w:tabs>
          <w:tab w:val="num" w:pos="360"/>
        </w:tabs>
        <w:ind w:left="360" w:hanging="360"/>
      </w:pPr>
      <w:rPr>
        <w:rFonts w:ascii="Symbol" w:hAnsi="Symbol" w:hint="default"/>
      </w:rPr>
    </w:lvl>
    <w:lvl w:ilvl="1" w:tplc="BDA26EA2" w:tentative="1">
      <w:start w:val="1"/>
      <w:numFmt w:val="bullet"/>
      <w:lvlText w:val="o"/>
      <w:lvlJc w:val="left"/>
      <w:pPr>
        <w:tabs>
          <w:tab w:val="num" w:pos="1440"/>
        </w:tabs>
        <w:ind w:left="1440" w:hanging="360"/>
      </w:pPr>
      <w:rPr>
        <w:rFonts w:ascii="Courier New" w:hAnsi="Courier New" w:cs="Courier New" w:hint="default"/>
      </w:rPr>
    </w:lvl>
    <w:lvl w:ilvl="2" w:tplc="BD0CE5E2" w:tentative="1">
      <w:start w:val="1"/>
      <w:numFmt w:val="bullet"/>
      <w:lvlText w:val=""/>
      <w:lvlJc w:val="left"/>
      <w:pPr>
        <w:tabs>
          <w:tab w:val="num" w:pos="2160"/>
        </w:tabs>
        <w:ind w:left="2160" w:hanging="360"/>
      </w:pPr>
      <w:rPr>
        <w:rFonts w:ascii="Wingdings" w:hAnsi="Wingdings" w:hint="default"/>
      </w:rPr>
    </w:lvl>
    <w:lvl w:ilvl="3" w:tplc="AB8A41F8" w:tentative="1">
      <w:start w:val="1"/>
      <w:numFmt w:val="bullet"/>
      <w:lvlText w:val=""/>
      <w:lvlJc w:val="left"/>
      <w:pPr>
        <w:tabs>
          <w:tab w:val="num" w:pos="2880"/>
        </w:tabs>
        <w:ind w:left="2880" w:hanging="360"/>
      </w:pPr>
      <w:rPr>
        <w:rFonts w:ascii="Symbol" w:hAnsi="Symbol" w:hint="default"/>
      </w:rPr>
    </w:lvl>
    <w:lvl w:ilvl="4" w:tplc="24AA0F3C" w:tentative="1">
      <w:start w:val="1"/>
      <w:numFmt w:val="bullet"/>
      <w:lvlText w:val="o"/>
      <w:lvlJc w:val="left"/>
      <w:pPr>
        <w:tabs>
          <w:tab w:val="num" w:pos="3600"/>
        </w:tabs>
        <w:ind w:left="3600" w:hanging="360"/>
      </w:pPr>
      <w:rPr>
        <w:rFonts w:ascii="Courier New" w:hAnsi="Courier New" w:cs="Courier New" w:hint="default"/>
      </w:rPr>
    </w:lvl>
    <w:lvl w:ilvl="5" w:tplc="E55474F4" w:tentative="1">
      <w:start w:val="1"/>
      <w:numFmt w:val="bullet"/>
      <w:lvlText w:val=""/>
      <w:lvlJc w:val="left"/>
      <w:pPr>
        <w:tabs>
          <w:tab w:val="num" w:pos="4320"/>
        </w:tabs>
        <w:ind w:left="4320" w:hanging="360"/>
      </w:pPr>
      <w:rPr>
        <w:rFonts w:ascii="Wingdings" w:hAnsi="Wingdings" w:hint="default"/>
      </w:rPr>
    </w:lvl>
    <w:lvl w:ilvl="6" w:tplc="2DD83C38" w:tentative="1">
      <w:start w:val="1"/>
      <w:numFmt w:val="bullet"/>
      <w:lvlText w:val=""/>
      <w:lvlJc w:val="left"/>
      <w:pPr>
        <w:tabs>
          <w:tab w:val="num" w:pos="5040"/>
        </w:tabs>
        <w:ind w:left="5040" w:hanging="360"/>
      </w:pPr>
      <w:rPr>
        <w:rFonts w:ascii="Symbol" w:hAnsi="Symbol" w:hint="default"/>
      </w:rPr>
    </w:lvl>
    <w:lvl w:ilvl="7" w:tplc="7B24A480" w:tentative="1">
      <w:start w:val="1"/>
      <w:numFmt w:val="bullet"/>
      <w:lvlText w:val="o"/>
      <w:lvlJc w:val="left"/>
      <w:pPr>
        <w:tabs>
          <w:tab w:val="num" w:pos="5760"/>
        </w:tabs>
        <w:ind w:left="5760" w:hanging="360"/>
      </w:pPr>
      <w:rPr>
        <w:rFonts w:ascii="Courier New" w:hAnsi="Courier New" w:cs="Courier New" w:hint="default"/>
      </w:rPr>
    </w:lvl>
    <w:lvl w:ilvl="8" w:tplc="525035C6" w:tentative="1">
      <w:start w:val="1"/>
      <w:numFmt w:val="bullet"/>
      <w:lvlText w:val=""/>
      <w:lvlJc w:val="left"/>
      <w:pPr>
        <w:tabs>
          <w:tab w:val="num" w:pos="6480"/>
        </w:tabs>
        <w:ind w:left="6480" w:hanging="360"/>
      </w:pPr>
      <w:rPr>
        <w:rFonts w:ascii="Wingdings" w:hAnsi="Wingdings" w:hint="default"/>
      </w:rPr>
    </w:lvl>
  </w:abstractNum>
  <w:abstractNum w:abstractNumId="42">
    <w:nsid w:val="24D127E3"/>
    <w:multiLevelType w:val="hybridMultilevel"/>
    <w:tmpl w:val="D1E4C902"/>
    <w:lvl w:ilvl="0" w:tplc="04090001">
      <w:start w:val="1"/>
      <w:numFmt w:val="lowerRoman"/>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3">
    <w:nsid w:val="253B6EDA"/>
    <w:multiLevelType w:val="hybridMultilevel"/>
    <w:tmpl w:val="CC38FFEE"/>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263C7E1F"/>
    <w:multiLevelType w:val="hybridMultilevel"/>
    <w:tmpl w:val="8D3A4F56"/>
    <w:lvl w:ilvl="0" w:tplc="0409001B">
      <w:start w:val="1"/>
      <w:numFmt w:val="bullet"/>
      <w:lvlText w:val=""/>
      <w:lvlJc w:val="left"/>
      <w:pPr>
        <w:tabs>
          <w:tab w:val="num" w:pos="1080"/>
        </w:tabs>
        <w:ind w:left="1080" w:hanging="360"/>
      </w:pPr>
      <w:rPr>
        <w:rFonts w:ascii="Symbol" w:hAnsi="Symbol" w:hint="default"/>
        <w:sz w:val="18"/>
        <w:szCs w:val="18"/>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5">
    <w:nsid w:val="27105788"/>
    <w:multiLevelType w:val="hybridMultilevel"/>
    <w:tmpl w:val="2070CFBE"/>
    <w:lvl w:ilvl="0" w:tplc="55F06BE8">
      <w:start w:val="1"/>
      <w:numFmt w:val="lowerRoman"/>
      <w:lvlText w:val="%1."/>
      <w:lvlJc w:val="right"/>
      <w:pPr>
        <w:tabs>
          <w:tab w:val="num" w:pos="720"/>
        </w:tabs>
        <w:ind w:left="720" w:hanging="360"/>
      </w:pPr>
    </w:lvl>
    <w:lvl w:ilvl="1" w:tplc="1B4EE786" w:tentative="1">
      <w:start w:val="1"/>
      <w:numFmt w:val="lowerLetter"/>
      <w:lvlText w:val="%2."/>
      <w:lvlJc w:val="left"/>
      <w:pPr>
        <w:tabs>
          <w:tab w:val="num" w:pos="1440"/>
        </w:tabs>
        <w:ind w:left="1440" w:hanging="360"/>
      </w:pPr>
    </w:lvl>
    <w:lvl w:ilvl="2" w:tplc="BEEA9D6C" w:tentative="1">
      <w:start w:val="1"/>
      <w:numFmt w:val="lowerRoman"/>
      <w:lvlText w:val="%3."/>
      <w:lvlJc w:val="right"/>
      <w:pPr>
        <w:tabs>
          <w:tab w:val="num" w:pos="2160"/>
        </w:tabs>
        <w:ind w:left="2160" w:hanging="180"/>
      </w:pPr>
    </w:lvl>
    <w:lvl w:ilvl="3" w:tplc="DA8CD1F0" w:tentative="1">
      <w:start w:val="1"/>
      <w:numFmt w:val="decimal"/>
      <w:lvlText w:val="%4."/>
      <w:lvlJc w:val="left"/>
      <w:pPr>
        <w:tabs>
          <w:tab w:val="num" w:pos="2880"/>
        </w:tabs>
        <w:ind w:left="2880" w:hanging="360"/>
      </w:pPr>
    </w:lvl>
    <w:lvl w:ilvl="4" w:tplc="8BD63D64" w:tentative="1">
      <w:start w:val="1"/>
      <w:numFmt w:val="lowerLetter"/>
      <w:lvlText w:val="%5."/>
      <w:lvlJc w:val="left"/>
      <w:pPr>
        <w:tabs>
          <w:tab w:val="num" w:pos="3600"/>
        </w:tabs>
        <w:ind w:left="3600" w:hanging="360"/>
      </w:pPr>
    </w:lvl>
    <w:lvl w:ilvl="5" w:tplc="AE4AC5CA" w:tentative="1">
      <w:start w:val="1"/>
      <w:numFmt w:val="lowerRoman"/>
      <w:lvlText w:val="%6."/>
      <w:lvlJc w:val="right"/>
      <w:pPr>
        <w:tabs>
          <w:tab w:val="num" w:pos="4320"/>
        </w:tabs>
        <w:ind w:left="4320" w:hanging="180"/>
      </w:pPr>
    </w:lvl>
    <w:lvl w:ilvl="6" w:tplc="8F2E4C16" w:tentative="1">
      <w:start w:val="1"/>
      <w:numFmt w:val="decimal"/>
      <w:lvlText w:val="%7."/>
      <w:lvlJc w:val="left"/>
      <w:pPr>
        <w:tabs>
          <w:tab w:val="num" w:pos="5040"/>
        </w:tabs>
        <w:ind w:left="5040" w:hanging="360"/>
      </w:pPr>
    </w:lvl>
    <w:lvl w:ilvl="7" w:tplc="80C47D98" w:tentative="1">
      <w:start w:val="1"/>
      <w:numFmt w:val="lowerLetter"/>
      <w:lvlText w:val="%8."/>
      <w:lvlJc w:val="left"/>
      <w:pPr>
        <w:tabs>
          <w:tab w:val="num" w:pos="5760"/>
        </w:tabs>
        <w:ind w:left="5760" w:hanging="360"/>
      </w:pPr>
    </w:lvl>
    <w:lvl w:ilvl="8" w:tplc="AEE2AD78" w:tentative="1">
      <w:start w:val="1"/>
      <w:numFmt w:val="lowerRoman"/>
      <w:lvlText w:val="%9."/>
      <w:lvlJc w:val="right"/>
      <w:pPr>
        <w:tabs>
          <w:tab w:val="num" w:pos="6480"/>
        </w:tabs>
        <w:ind w:left="6480" w:hanging="180"/>
      </w:pPr>
    </w:lvl>
  </w:abstractNum>
  <w:abstractNum w:abstractNumId="46">
    <w:nsid w:val="272914DF"/>
    <w:multiLevelType w:val="hybridMultilevel"/>
    <w:tmpl w:val="B5167D74"/>
    <w:lvl w:ilvl="0" w:tplc="0409001B">
      <w:start w:val="1"/>
      <w:numFmt w:val="bullet"/>
      <w:lvlText w:val=""/>
      <w:lvlJc w:val="left"/>
      <w:pPr>
        <w:ind w:left="720" w:hanging="360"/>
      </w:pPr>
      <w:rPr>
        <w:rFonts w:ascii="Wingdings" w:hAnsi="Wingdings" w:hint="default"/>
        <w:sz w:val="16"/>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7">
    <w:nsid w:val="28ED4354"/>
    <w:multiLevelType w:val="hybridMultilevel"/>
    <w:tmpl w:val="751EA20A"/>
    <w:lvl w:ilvl="0" w:tplc="0409000B">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nsid w:val="29210664"/>
    <w:multiLevelType w:val="hybridMultilevel"/>
    <w:tmpl w:val="53C64288"/>
    <w:lvl w:ilvl="0" w:tplc="FFFFFFFF">
      <w:start w:val="1"/>
      <w:numFmt w:val="bullet"/>
      <w:pStyle w:val="BodyText-Bullets2"/>
      <w:lvlText w:val="o"/>
      <w:lvlJc w:val="left"/>
      <w:pPr>
        <w:tabs>
          <w:tab w:val="num" w:pos="720"/>
        </w:tabs>
        <w:ind w:left="720" w:hanging="360"/>
      </w:pPr>
      <w:rPr>
        <w:rFonts w:ascii="Courier New" w:hAnsi="Courier New" w:hint="default"/>
      </w:rPr>
    </w:lvl>
    <w:lvl w:ilvl="1" w:tplc="04090003">
      <w:start w:val="1"/>
      <w:numFmt w:val="bullet"/>
      <w:pStyle w:val="BodyText-Bullets2"/>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2A344B65"/>
    <w:multiLevelType w:val="hybridMultilevel"/>
    <w:tmpl w:val="2D8251FC"/>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2C125BA2"/>
    <w:multiLevelType w:val="hybridMultilevel"/>
    <w:tmpl w:val="2F8A1C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ECD2CDA"/>
    <w:multiLevelType w:val="hybridMultilevel"/>
    <w:tmpl w:val="D572F0CA"/>
    <w:lvl w:ilvl="0" w:tplc="0409000B">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FA03890"/>
    <w:multiLevelType w:val="hybridMultilevel"/>
    <w:tmpl w:val="72F82E80"/>
    <w:lvl w:ilvl="0" w:tplc="04090001">
      <w:start w:val="1"/>
      <w:numFmt w:val="lowerRoman"/>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3">
    <w:nsid w:val="2FED5260"/>
    <w:multiLevelType w:val="hybridMultilevel"/>
    <w:tmpl w:val="09B24742"/>
    <w:lvl w:ilvl="0" w:tplc="0409001B">
      <w:start w:val="1"/>
      <w:numFmt w:val="bullet"/>
      <w:lvlText w:val=""/>
      <w:lvlJc w:val="left"/>
      <w:pPr>
        <w:tabs>
          <w:tab w:val="num" w:pos="648"/>
        </w:tabs>
        <w:ind w:left="648" w:hanging="360"/>
      </w:pPr>
      <w:rPr>
        <w:rFonts w:ascii="Symbol" w:hAnsi="Symbol" w:hint="default"/>
      </w:rPr>
    </w:lvl>
    <w:lvl w:ilvl="1" w:tplc="04090019" w:tentative="1">
      <w:start w:val="1"/>
      <w:numFmt w:val="lowerLetter"/>
      <w:lvlText w:val="%2."/>
      <w:lvlJc w:val="left"/>
      <w:pPr>
        <w:tabs>
          <w:tab w:val="num" w:pos="648"/>
        </w:tabs>
        <w:ind w:left="648" w:hanging="360"/>
      </w:pPr>
    </w:lvl>
    <w:lvl w:ilvl="2" w:tplc="0409001B" w:tentative="1">
      <w:start w:val="1"/>
      <w:numFmt w:val="lowerRoman"/>
      <w:lvlText w:val="%3."/>
      <w:lvlJc w:val="right"/>
      <w:pPr>
        <w:tabs>
          <w:tab w:val="num" w:pos="1368"/>
        </w:tabs>
        <w:ind w:left="1368" w:hanging="180"/>
      </w:pPr>
    </w:lvl>
    <w:lvl w:ilvl="3" w:tplc="0409000F" w:tentative="1">
      <w:start w:val="1"/>
      <w:numFmt w:val="decimal"/>
      <w:lvlText w:val="%4."/>
      <w:lvlJc w:val="left"/>
      <w:pPr>
        <w:tabs>
          <w:tab w:val="num" w:pos="2088"/>
        </w:tabs>
        <w:ind w:left="2088" w:hanging="360"/>
      </w:pPr>
    </w:lvl>
    <w:lvl w:ilvl="4" w:tplc="04090019" w:tentative="1">
      <w:start w:val="1"/>
      <w:numFmt w:val="lowerLetter"/>
      <w:lvlText w:val="%5."/>
      <w:lvlJc w:val="left"/>
      <w:pPr>
        <w:tabs>
          <w:tab w:val="num" w:pos="2808"/>
        </w:tabs>
        <w:ind w:left="2808" w:hanging="360"/>
      </w:pPr>
    </w:lvl>
    <w:lvl w:ilvl="5" w:tplc="0409001B" w:tentative="1">
      <w:start w:val="1"/>
      <w:numFmt w:val="lowerRoman"/>
      <w:lvlText w:val="%6."/>
      <w:lvlJc w:val="right"/>
      <w:pPr>
        <w:tabs>
          <w:tab w:val="num" w:pos="3528"/>
        </w:tabs>
        <w:ind w:left="3528" w:hanging="180"/>
      </w:pPr>
    </w:lvl>
    <w:lvl w:ilvl="6" w:tplc="0409000F" w:tentative="1">
      <w:start w:val="1"/>
      <w:numFmt w:val="decimal"/>
      <w:lvlText w:val="%7."/>
      <w:lvlJc w:val="left"/>
      <w:pPr>
        <w:tabs>
          <w:tab w:val="num" w:pos="4248"/>
        </w:tabs>
        <w:ind w:left="4248" w:hanging="360"/>
      </w:pPr>
    </w:lvl>
    <w:lvl w:ilvl="7" w:tplc="04090019" w:tentative="1">
      <w:start w:val="1"/>
      <w:numFmt w:val="lowerLetter"/>
      <w:lvlText w:val="%8."/>
      <w:lvlJc w:val="left"/>
      <w:pPr>
        <w:tabs>
          <w:tab w:val="num" w:pos="4968"/>
        </w:tabs>
        <w:ind w:left="4968" w:hanging="360"/>
      </w:pPr>
    </w:lvl>
    <w:lvl w:ilvl="8" w:tplc="0409001B" w:tentative="1">
      <w:start w:val="1"/>
      <w:numFmt w:val="lowerRoman"/>
      <w:lvlText w:val="%9."/>
      <w:lvlJc w:val="right"/>
      <w:pPr>
        <w:tabs>
          <w:tab w:val="num" w:pos="5688"/>
        </w:tabs>
        <w:ind w:left="5688" w:hanging="180"/>
      </w:pPr>
    </w:lvl>
  </w:abstractNum>
  <w:abstractNum w:abstractNumId="54">
    <w:nsid w:val="306137E7"/>
    <w:multiLevelType w:val="hybridMultilevel"/>
    <w:tmpl w:val="8E90AA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nsid w:val="30DC2C15"/>
    <w:multiLevelType w:val="hybridMultilevel"/>
    <w:tmpl w:val="BF12A564"/>
    <w:lvl w:ilvl="0" w:tplc="7DD843A4">
      <w:start w:val="1"/>
      <w:numFmt w:val="bullet"/>
      <w:lvlText w:val=""/>
      <w:lvlJc w:val="left"/>
      <w:pPr>
        <w:tabs>
          <w:tab w:val="num" w:pos="720"/>
        </w:tabs>
        <w:ind w:left="720" w:hanging="360"/>
      </w:pPr>
      <w:rPr>
        <w:rFonts w:ascii="Wingdings" w:hAnsi="Wingdings" w:hint="default"/>
      </w:rPr>
    </w:lvl>
    <w:lvl w:ilvl="1" w:tplc="80023408" w:tentative="1">
      <w:start w:val="1"/>
      <w:numFmt w:val="bullet"/>
      <w:lvlText w:val=""/>
      <w:lvlJc w:val="left"/>
      <w:pPr>
        <w:tabs>
          <w:tab w:val="num" w:pos="1440"/>
        </w:tabs>
        <w:ind w:left="1440" w:hanging="360"/>
      </w:pPr>
      <w:rPr>
        <w:rFonts w:ascii="Wingdings" w:hAnsi="Wingdings" w:hint="default"/>
      </w:rPr>
    </w:lvl>
    <w:lvl w:ilvl="2" w:tplc="7FBA6134" w:tentative="1">
      <w:start w:val="1"/>
      <w:numFmt w:val="bullet"/>
      <w:lvlText w:val=""/>
      <w:lvlJc w:val="left"/>
      <w:pPr>
        <w:tabs>
          <w:tab w:val="num" w:pos="2160"/>
        </w:tabs>
        <w:ind w:left="2160" w:hanging="360"/>
      </w:pPr>
      <w:rPr>
        <w:rFonts w:ascii="Wingdings" w:hAnsi="Wingdings" w:hint="default"/>
      </w:rPr>
    </w:lvl>
    <w:lvl w:ilvl="3" w:tplc="8DBAC03E" w:tentative="1">
      <w:start w:val="1"/>
      <w:numFmt w:val="bullet"/>
      <w:lvlText w:val=""/>
      <w:lvlJc w:val="left"/>
      <w:pPr>
        <w:tabs>
          <w:tab w:val="num" w:pos="2880"/>
        </w:tabs>
        <w:ind w:left="2880" w:hanging="360"/>
      </w:pPr>
      <w:rPr>
        <w:rFonts w:ascii="Wingdings" w:hAnsi="Wingdings" w:hint="default"/>
      </w:rPr>
    </w:lvl>
    <w:lvl w:ilvl="4" w:tplc="7DFA7AB4" w:tentative="1">
      <w:start w:val="1"/>
      <w:numFmt w:val="bullet"/>
      <w:lvlText w:val=""/>
      <w:lvlJc w:val="left"/>
      <w:pPr>
        <w:tabs>
          <w:tab w:val="num" w:pos="3600"/>
        </w:tabs>
        <w:ind w:left="3600" w:hanging="360"/>
      </w:pPr>
      <w:rPr>
        <w:rFonts w:ascii="Wingdings" w:hAnsi="Wingdings" w:hint="default"/>
      </w:rPr>
    </w:lvl>
    <w:lvl w:ilvl="5" w:tplc="D638A490" w:tentative="1">
      <w:start w:val="1"/>
      <w:numFmt w:val="bullet"/>
      <w:lvlText w:val=""/>
      <w:lvlJc w:val="left"/>
      <w:pPr>
        <w:tabs>
          <w:tab w:val="num" w:pos="4320"/>
        </w:tabs>
        <w:ind w:left="4320" w:hanging="360"/>
      </w:pPr>
      <w:rPr>
        <w:rFonts w:ascii="Wingdings" w:hAnsi="Wingdings" w:hint="default"/>
      </w:rPr>
    </w:lvl>
    <w:lvl w:ilvl="6" w:tplc="BCDE391C" w:tentative="1">
      <w:start w:val="1"/>
      <w:numFmt w:val="bullet"/>
      <w:lvlText w:val=""/>
      <w:lvlJc w:val="left"/>
      <w:pPr>
        <w:tabs>
          <w:tab w:val="num" w:pos="5040"/>
        </w:tabs>
        <w:ind w:left="5040" w:hanging="360"/>
      </w:pPr>
      <w:rPr>
        <w:rFonts w:ascii="Wingdings" w:hAnsi="Wingdings" w:hint="default"/>
      </w:rPr>
    </w:lvl>
    <w:lvl w:ilvl="7" w:tplc="30FA7712" w:tentative="1">
      <w:start w:val="1"/>
      <w:numFmt w:val="bullet"/>
      <w:lvlText w:val=""/>
      <w:lvlJc w:val="left"/>
      <w:pPr>
        <w:tabs>
          <w:tab w:val="num" w:pos="5760"/>
        </w:tabs>
        <w:ind w:left="5760" w:hanging="360"/>
      </w:pPr>
      <w:rPr>
        <w:rFonts w:ascii="Wingdings" w:hAnsi="Wingdings" w:hint="default"/>
      </w:rPr>
    </w:lvl>
    <w:lvl w:ilvl="8" w:tplc="66BEF43A" w:tentative="1">
      <w:start w:val="1"/>
      <w:numFmt w:val="bullet"/>
      <w:lvlText w:val=""/>
      <w:lvlJc w:val="left"/>
      <w:pPr>
        <w:tabs>
          <w:tab w:val="num" w:pos="6480"/>
        </w:tabs>
        <w:ind w:left="6480" w:hanging="360"/>
      </w:pPr>
      <w:rPr>
        <w:rFonts w:ascii="Wingdings" w:hAnsi="Wingdings" w:hint="default"/>
      </w:rPr>
    </w:lvl>
  </w:abstractNum>
  <w:abstractNum w:abstractNumId="56">
    <w:nsid w:val="311F3289"/>
    <w:multiLevelType w:val="hybridMultilevel"/>
    <w:tmpl w:val="E3B2A1B0"/>
    <w:lvl w:ilvl="0" w:tplc="5644CA02">
      <w:start w:val="1"/>
      <w:numFmt w:val="bullet"/>
      <w:lvlText w:val=""/>
      <w:lvlJc w:val="left"/>
      <w:pPr>
        <w:tabs>
          <w:tab w:val="num" w:pos="720"/>
        </w:tabs>
        <w:ind w:left="720" w:hanging="360"/>
      </w:pPr>
      <w:rPr>
        <w:rFonts w:ascii="Wingdings" w:hAnsi="Wingdings" w:hint="default"/>
      </w:rPr>
    </w:lvl>
    <w:lvl w:ilvl="1" w:tplc="5F8600A6" w:tentative="1">
      <w:start w:val="1"/>
      <w:numFmt w:val="bullet"/>
      <w:lvlText w:val=""/>
      <w:lvlJc w:val="left"/>
      <w:pPr>
        <w:tabs>
          <w:tab w:val="num" w:pos="1440"/>
        </w:tabs>
        <w:ind w:left="1440" w:hanging="360"/>
      </w:pPr>
      <w:rPr>
        <w:rFonts w:ascii="Wingdings" w:hAnsi="Wingdings" w:hint="default"/>
      </w:rPr>
    </w:lvl>
    <w:lvl w:ilvl="2" w:tplc="30441624" w:tentative="1">
      <w:start w:val="1"/>
      <w:numFmt w:val="bullet"/>
      <w:lvlText w:val=""/>
      <w:lvlJc w:val="left"/>
      <w:pPr>
        <w:tabs>
          <w:tab w:val="num" w:pos="2160"/>
        </w:tabs>
        <w:ind w:left="2160" w:hanging="360"/>
      </w:pPr>
      <w:rPr>
        <w:rFonts w:ascii="Wingdings" w:hAnsi="Wingdings" w:hint="default"/>
      </w:rPr>
    </w:lvl>
    <w:lvl w:ilvl="3" w:tplc="C0F403CE" w:tentative="1">
      <w:start w:val="1"/>
      <w:numFmt w:val="bullet"/>
      <w:lvlText w:val=""/>
      <w:lvlJc w:val="left"/>
      <w:pPr>
        <w:tabs>
          <w:tab w:val="num" w:pos="2880"/>
        </w:tabs>
        <w:ind w:left="2880" w:hanging="360"/>
      </w:pPr>
      <w:rPr>
        <w:rFonts w:ascii="Wingdings" w:hAnsi="Wingdings" w:hint="default"/>
      </w:rPr>
    </w:lvl>
    <w:lvl w:ilvl="4" w:tplc="387C7028" w:tentative="1">
      <w:start w:val="1"/>
      <w:numFmt w:val="bullet"/>
      <w:lvlText w:val=""/>
      <w:lvlJc w:val="left"/>
      <w:pPr>
        <w:tabs>
          <w:tab w:val="num" w:pos="3600"/>
        </w:tabs>
        <w:ind w:left="3600" w:hanging="360"/>
      </w:pPr>
      <w:rPr>
        <w:rFonts w:ascii="Wingdings" w:hAnsi="Wingdings" w:hint="default"/>
      </w:rPr>
    </w:lvl>
    <w:lvl w:ilvl="5" w:tplc="35B8561A" w:tentative="1">
      <w:start w:val="1"/>
      <w:numFmt w:val="bullet"/>
      <w:lvlText w:val=""/>
      <w:lvlJc w:val="left"/>
      <w:pPr>
        <w:tabs>
          <w:tab w:val="num" w:pos="4320"/>
        </w:tabs>
        <w:ind w:left="4320" w:hanging="360"/>
      </w:pPr>
      <w:rPr>
        <w:rFonts w:ascii="Wingdings" w:hAnsi="Wingdings" w:hint="default"/>
      </w:rPr>
    </w:lvl>
    <w:lvl w:ilvl="6" w:tplc="BCD4BA58" w:tentative="1">
      <w:start w:val="1"/>
      <w:numFmt w:val="bullet"/>
      <w:lvlText w:val=""/>
      <w:lvlJc w:val="left"/>
      <w:pPr>
        <w:tabs>
          <w:tab w:val="num" w:pos="5040"/>
        </w:tabs>
        <w:ind w:left="5040" w:hanging="360"/>
      </w:pPr>
      <w:rPr>
        <w:rFonts w:ascii="Wingdings" w:hAnsi="Wingdings" w:hint="default"/>
      </w:rPr>
    </w:lvl>
    <w:lvl w:ilvl="7" w:tplc="5D82A0C2" w:tentative="1">
      <w:start w:val="1"/>
      <w:numFmt w:val="bullet"/>
      <w:lvlText w:val=""/>
      <w:lvlJc w:val="left"/>
      <w:pPr>
        <w:tabs>
          <w:tab w:val="num" w:pos="5760"/>
        </w:tabs>
        <w:ind w:left="5760" w:hanging="360"/>
      </w:pPr>
      <w:rPr>
        <w:rFonts w:ascii="Wingdings" w:hAnsi="Wingdings" w:hint="default"/>
      </w:rPr>
    </w:lvl>
    <w:lvl w:ilvl="8" w:tplc="D5E689FC" w:tentative="1">
      <w:start w:val="1"/>
      <w:numFmt w:val="bullet"/>
      <w:lvlText w:val=""/>
      <w:lvlJc w:val="left"/>
      <w:pPr>
        <w:tabs>
          <w:tab w:val="num" w:pos="6480"/>
        </w:tabs>
        <w:ind w:left="6480" w:hanging="360"/>
      </w:pPr>
      <w:rPr>
        <w:rFonts w:ascii="Wingdings" w:hAnsi="Wingdings" w:hint="default"/>
      </w:rPr>
    </w:lvl>
  </w:abstractNum>
  <w:abstractNum w:abstractNumId="57">
    <w:nsid w:val="33017A50"/>
    <w:multiLevelType w:val="hybridMultilevel"/>
    <w:tmpl w:val="4A6ED478"/>
    <w:lvl w:ilvl="0" w:tplc="58DED4E4">
      <w:start w:val="1"/>
      <w:numFmt w:val="bullet"/>
      <w:lvlText w:val=""/>
      <w:lvlJc w:val="left"/>
      <w:pPr>
        <w:ind w:left="720" w:hanging="360"/>
      </w:pPr>
      <w:rPr>
        <w:rFonts w:ascii="Wingdings" w:hAnsi="Wingdings" w:hint="default"/>
      </w:rPr>
    </w:lvl>
    <w:lvl w:ilvl="1" w:tplc="E806DDEA">
      <w:start w:val="1"/>
      <w:numFmt w:val="bullet"/>
      <w:lvlText w:val="o"/>
      <w:lvlJc w:val="left"/>
      <w:pPr>
        <w:ind w:left="1440" w:hanging="360"/>
      </w:pPr>
      <w:rPr>
        <w:rFonts w:ascii="Courier New" w:hAnsi="Courier New" w:cs="Courier New" w:hint="default"/>
      </w:rPr>
    </w:lvl>
    <w:lvl w:ilvl="2" w:tplc="10A01942" w:tentative="1">
      <w:start w:val="1"/>
      <w:numFmt w:val="bullet"/>
      <w:lvlText w:val=""/>
      <w:lvlJc w:val="left"/>
      <w:pPr>
        <w:ind w:left="2160" w:hanging="360"/>
      </w:pPr>
      <w:rPr>
        <w:rFonts w:ascii="Wingdings" w:hAnsi="Wingdings" w:hint="default"/>
      </w:rPr>
    </w:lvl>
    <w:lvl w:ilvl="3" w:tplc="7632D926" w:tentative="1">
      <w:start w:val="1"/>
      <w:numFmt w:val="bullet"/>
      <w:lvlText w:val=""/>
      <w:lvlJc w:val="left"/>
      <w:pPr>
        <w:ind w:left="2880" w:hanging="360"/>
      </w:pPr>
      <w:rPr>
        <w:rFonts w:ascii="Symbol" w:hAnsi="Symbol" w:hint="default"/>
      </w:rPr>
    </w:lvl>
    <w:lvl w:ilvl="4" w:tplc="028E782A" w:tentative="1">
      <w:start w:val="1"/>
      <w:numFmt w:val="bullet"/>
      <w:lvlText w:val="o"/>
      <w:lvlJc w:val="left"/>
      <w:pPr>
        <w:ind w:left="3600" w:hanging="360"/>
      </w:pPr>
      <w:rPr>
        <w:rFonts w:ascii="Courier New" w:hAnsi="Courier New" w:cs="Courier New" w:hint="default"/>
      </w:rPr>
    </w:lvl>
    <w:lvl w:ilvl="5" w:tplc="7C403928" w:tentative="1">
      <w:start w:val="1"/>
      <w:numFmt w:val="bullet"/>
      <w:lvlText w:val=""/>
      <w:lvlJc w:val="left"/>
      <w:pPr>
        <w:ind w:left="4320" w:hanging="360"/>
      </w:pPr>
      <w:rPr>
        <w:rFonts w:ascii="Wingdings" w:hAnsi="Wingdings" w:hint="default"/>
      </w:rPr>
    </w:lvl>
    <w:lvl w:ilvl="6" w:tplc="34B6B9D8" w:tentative="1">
      <w:start w:val="1"/>
      <w:numFmt w:val="bullet"/>
      <w:lvlText w:val=""/>
      <w:lvlJc w:val="left"/>
      <w:pPr>
        <w:ind w:left="5040" w:hanging="360"/>
      </w:pPr>
      <w:rPr>
        <w:rFonts w:ascii="Symbol" w:hAnsi="Symbol" w:hint="default"/>
      </w:rPr>
    </w:lvl>
    <w:lvl w:ilvl="7" w:tplc="18B687C6" w:tentative="1">
      <w:start w:val="1"/>
      <w:numFmt w:val="bullet"/>
      <w:lvlText w:val="o"/>
      <w:lvlJc w:val="left"/>
      <w:pPr>
        <w:ind w:left="5760" w:hanging="360"/>
      </w:pPr>
      <w:rPr>
        <w:rFonts w:ascii="Courier New" w:hAnsi="Courier New" w:cs="Courier New" w:hint="default"/>
      </w:rPr>
    </w:lvl>
    <w:lvl w:ilvl="8" w:tplc="587ADA36" w:tentative="1">
      <w:start w:val="1"/>
      <w:numFmt w:val="bullet"/>
      <w:lvlText w:val=""/>
      <w:lvlJc w:val="left"/>
      <w:pPr>
        <w:ind w:left="6480" w:hanging="360"/>
      </w:pPr>
      <w:rPr>
        <w:rFonts w:ascii="Wingdings" w:hAnsi="Wingdings" w:hint="default"/>
      </w:rPr>
    </w:lvl>
  </w:abstractNum>
  <w:abstractNum w:abstractNumId="58">
    <w:nsid w:val="331F7445"/>
    <w:multiLevelType w:val="hybridMultilevel"/>
    <w:tmpl w:val="A0ECE46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nsid w:val="34FA0A67"/>
    <w:multiLevelType w:val="hybridMultilevel"/>
    <w:tmpl w:val="8DDEF43E"/>
    <w:lvl w:ilvl="0" w:tplc="D1182F06">
      <w:start w:val="1"/>
      <w:numFmt w:val="bullet"/>
      <w:lvlText w:val=""/>
      <w:lvlJc w:val="left"/>
      <w:pPr>
        <w:tabs>
          <w:tab w:val="num" w:pos="360"/>
        </w:tabs>
        <w:ind w:left="360" w:hanging="360"/>
      </w:pPr>
      <w:rPr>
        <w:rFonts w:ascii="Symbol" w:hAnsi="Symbol" w:hint="default"/>
      </w:rPr>
    </w:lvl>
    <w:lvl w:ilvl="1" w:tplc="6A107ED8" w:tentative="1">
      <w:start w:val="1"/>
      <w:numFmt w:val="bullet"/>
      <w:lvlText w:val="o"/>
      <w:lvlJc w:val="left"/>
      <w:pPr>
        <w:tabs>
          <w:tab w:val="num" w:pos="1080"/>
        </w:tabs>
        <w:ind w:left="1080" w:hanging="360"/>
      </w:pPr>
      <w:rPr>
        <w:rFonts w:ascii="Courier New" w:hAnsi="Courier New" w:hint="default"/>
      </w:rPr>
    </w:lvl>
    <w:lvl w:ilvl="2" w:tplc="B4361ED6" w:tentative="1">
      <w:start w:val="1"/>
      <w:numFmt w:val="bullet"/>
      <w:lvlText w:val=""/>
      <w:lvlJc w:val="left"/>
      <w:pPr>
        <w:tabs>
          <w:tab w:val="num" w:pos="1800"/>
        </w:tabs>
        <w:ind w:left="1800" w:hanging="360"/>
      </w:pPr>
      <w:rPr>
        <w:rFonts w:ascii="Wingdings" w:hAnsi="Wingdings" w:hint="default"/>
      </w:rPr>
    </w:lvl>
    <w:lvl w:ilvl="3" w:tplc="77B601FC" w:tentative="1">
      <w:start w:val="1"/>
      <w:numFmt w:val="bullet"/>
      <w:lvlText w:val=""/>
      <w:lvlJc w:val="left"/>
      <w:pPr>
        <w:tabs>
          <w:tab w:val="num" w:pos="2520"/>
        </w:tabs>
        <w:ind w:left="2520" w:hanging="360"/>
      </w:pPr>
      <w:rPr>
        <w:rFonts w:ascii="Symbol" w:hAnsi="Symbol" w:hint="default"/>
      </w:rPr>
    </w:lvl>
    <w:lvl w:ilvl="4" w:tplc="6B60CE00" w:tentative="1">
      <w:start w:val="1"/>
      <w:numFmt w:val="bullet"/>
      <w:lvlText w:val="o"/>
      <w:lvlJc w:val="left"/>
      <w:pPr>
        <w:tabs>
          <w:tab w:val="num" w:pos="3240"/>
        </w:tabs>
        <w:ind w:left="3240" w:hanging="360"/>
      </w:pPr>
      <w:rPr>
        <w:rFonts w:ascii="Courier New" w:hAnsi="Courier New" w:hint="default"/>
      </w:rPr>
    </w:lvl>
    <w:lvl w:ilvl="5" w:tplc="57D4BDFA" w:tentative="1">
      <w:start w:val="1"/>
      <w:numFmt w:val="bullet"/>
      <w:lvlText w:val=""/>
      <w:lvlJc w:val="left"/>
      <w:pPr>
        <w:tabs>
          <w:tab w:val="num" w:pos="3960"/>
        </w:tabs>
        <w:ind w:left="3960" w:hanging="360"/>
      </w:pPr>
      <w:rPr>
        <w:rFonts w:ascii="Wingdings" w:hAnsi="Wingdings" w:hint="default"/>
      </w:rPr>
    </w:lvl>
    <w:lvl w:ilvl="6" w:tplc="D400A378" w:tentative="1">
      <w:start w:val="1"/>
      <w:numFmt w:val="bullet"/>
      <w:lvlText w:val=""/>
      <w:lvlJc w:val="left"/>
      <w:pPr>
        <w:tabs>
          <w:tab w:val="num" w:pos="4680"/>
        </w:tabs>
        <w:ind w:left="4680" w:hanging="360"/>
      </w:pPr>
      <w:rPr>
        <w:rFonts w:ascii="Symbol" w:hAnsi="Symbol" w:hint="default"/>
      </w:rPr>
    </w:lvl>
    <w:lvl w:ilvl="7" w:tplc="AC361426" w:tentative="1">
      <w:start w:val="1"/>
      <w:numFmt w:val="bullet"/>
      <w:lvlText w:val="o"/>
      <w:lvlJc w:val="left"/>
      <w:pPr>
        <w:tabs>
          <w:tab w:val="num" w:pos="5400"/>
        </w:tabs>
        <w:ind w:left="5400" w:hanging="360"/>
      </w:pPr>
      <w:rPr>
        <w:rFonts w:ascii="Courier New" w:hAnsi="Courier New" w:hint="default"/>
      </w:rPr>
    </w:lvl>
    <w:lvl w:ilvl="8" w:tplc="4998A9A4" w:tentative="1">
      <w:start w:val="1"/>
      <w:numFmt w:val="bullet"/>
      <w:lvlText w:val=""/>
      <w:lvlJc w:val="left"/>
      <w:pPr>
        <w:tabs>
          <w:tab w:val="num" w:pos="6120"/>
        </w:tabs>
        <w:ind w:left="6120" w:hanging="360"/>
      </w:pPr>
      <w:rPr>
        <w:rFonts w:ascii="Wingdings" w:hAnsi="Wingdings" w:hint="default"/>
      </w:rPr>
    </w:lvl>
  </w:abstractNum>
  <w:abstractNum w:abstractNumId="60">
    <w:nsid w:val="35757867"/>
    <w:multiLevelType w:val="hybridMultilevel"/>
    <w:tmpl w:val="C0785F24"/>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61">
    <w:nsid w:val="36C15A69"/>
    <w:multiLevelType w:val="hybridMultilevel"/>
    <w:tmpl w:val="82F2FA1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nsid w:val="36C9024B"/>
    <w:multiLevelType w:val="hybridMultilevel"/>
    <w:tmpl w:val="30300CC0"/>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nsid w:val="3B031420"/>
    <w:multiLevelType w:val="hybridMultilevel"/>
    <w:tmpl w:val="7FAEBB42"/>
    <w:lvl w:ilvl="0" w:tplc="945C0D5C">
      <w:start w:val="1"/>
      <w:numFmt w:val="bullet"/>
      <w:lvlText w:val=""/>
      <w:lvlJc w:val="left"/>
      <w:pPr>
        <w:tabs>
          <w:tab w:val="num" w:pos="720"/>
        </w:tabs>
        <w:ind w:left="720" w:hanging="360"/>
      </w:pPr>
      <w:rPr>
        <w:rFonts w:ascii="Wingdings" w:hAnsi="Wingdings" w:hint="default"/>
      </w:rPr>
    </w:lvl>
    <w:lvl w:ilvl="1" w:tplc="CB2CDE84" w:tentative="1">
      <w:start w:val="1"/>
      <w:numFmt w:val="bullet"/>
      <w:lvlText w:val=""/>
      <w:lvlJc w:val="left"/>
      <w:pPr>
        <w:tabs>
          <w:tab w:val="num" w:pos="1440"/>
        </w:tabs>
        <w:ind w:left="1440" w:hanging="360"/>
      </w:pPr>
      <w:rPr>
        <w:rFonts w:ascii="Wingdings" w:hAnsi="Wingdings" w:hint="default"/>
      </w:rPr>
    </w:lvl>
    <w:lvl w:ilvl="2" w:tplc="26DE7862" w:tentative="1">
      <w:start w:val="1"/>
      <w:numFmt w:val="bullet"/>
      <w:lvlText w:val=""/>
      <w:lvlJc w:val="left"/>
      <w:pPr>
        <w:tabs>
          <w:tab w:val="num" w:pos="2160"/>
        </w:tabs>
        <w:ind w:left="2160" w:hanging="360"/>
      </w:pPr>
      <w:rPr>
        <w:rFonts w:ascii="Wingdings" w:hAnsi="Wingdings" w:hint="default"/>
      </w:rPr>
    </w:lvl>
    <w:lvl w:ilvl="3" w:tplc="D22EF05A" w:tentative="1">
      <w:start w:val="1"/>
      <w:numFmt w:val="bullet"/>
      <w:lvlText w:val=""/>
      <w:lvlJc w:val="left"/>
      <w:pPr>
        <w:tabs>
          <w:tab w:val="num" w:pos="2880"/>
        </w:tabs>
        <w:ind w:left="2880" w:hanging="360"/>
      </w:pPr>
      <w:rPr>
        <w:rFonts w:ascii="Wingdings" w:hAnsi="Wingdings" w:hint="default"/>
      </w:rPr>
    </w:lvl>
    <w:lvl w:ilvl="4" w:tplc="4F1408F2" w:tentative="1">
      <w:start w:val="1"/>
      <w:numFmt w:val="bullet"/>
      <w:lvlText w:val=""/>
      <w:lvlJc w:val="left"/>
      <w:pPr>
        <w:tabs>
          <w:tab w:val="num" w:pos="3600"/>
        </w:tabs>
        <w:ind w:left="3600" w:hanging="360"/>
      </w:pPr>
      <w:rPr>
        <w:rFonts w:ascii="Wingdings" w:hAnsi="Wingdings" w:hint="default"/>
      </w:rPr>
    </w:lvl>
    <w:lvl w:ilvl="5" w:tplc="854A0AD4" w:tentative="1">
      <w:start w:val="1"/>
      <w:numFmt w:val="bullet"/>
      <w:lvlText w:val=""/>
      <w:lvlJc w:val="left"/>
      <w:pPr>
        <w:tabs>
          <w:tab w:val="num" w:pos="4320"/>
        </w:tabs>
        <w:ind w:left="4320" w:hanging="360"/>
      </w:pPr>
      <w:rPr>
        <w:rFonts w:ascii="Wingdings" w:hAnsi="Wingdings" w:hint="default"/>
      </w:rPr>
    </w:lvl>
    <w:lvl w:ilvl="6" w:tplc="E3BAE950" w:tentative="1">
      <w:start w:val="1"/>
      <w:numFmt w:val="bullet"/>
      <w:lvlText w:val=""/>
      <w:lvlJc w:val="left"/>
      <w:pPr>
        <w:tabs>
          <w:tab w:val="num" w:pos="5040"/>
        </w:tabs>
        <w:ind w:left="5040" w:hanging="360"/>
      </w:pPr>
      <w:rPr>
        <w:rFonts w:ascii="Wingdings" w:hAnsi="Wingdings" w:hint="default"/>
      </w:rPr>
    </w:lvl>
    <w:lvl w:ilvl="7" w:tplc="405A3922" w:tentative="1">
      <w:start w:val="1"/>
      <w:numFmt w:val="bullet"/>
      <w:lvlText w:val=""/>
      <w:lvlJc w:val="left"/>
      <w:pPr>
        <w:tabs>
          <w:tab w:val="num" w:pos="5760"/>
        </w:tabs>
        <w:ind w:left="5760" w:hanging="360"/>
      </w:pPr>
      <w:rPr>
        <w:rFonts w:ascii="Wingdings" w:hAnsi="Wingdings" w:hint="default"/>
      </w:rPr>
    </w:lvl>
    <w:lvl w:ilvl="8" w:tplc="5C3CEB0E" w:tentative="1">
      <w:start w:val="1"/>
      <w:numFmt w:val="bullet"/>
      <w:lvlText w:val=""/>
      <w:lvlJc w:val="left"/>
      <w:pPr>
        <w:tabs>
          <w:tab w:val="num" w:pos="6480"/>
        </w:tabs>
        <w:ind w:left="6480" w:hanging="360"/>
      </w:pPr>
      <w:rPr>
        <w:rFonts w:ascii="Wingdings" w:hAnsi="Wingdings" w:hint="default"/>
      </w:rPr>
    </w:lvl>
  </w:abstractNum>
  <w:abstractNum w:abstractNumId="64">
    <w:nsid w:val="3B37694B"/>
    <w:multiLevelType w:val="hybridMultilevel"/>
    <w:tmpl w:val="7B9EDE14"/>
    <w:lvl w:ilvl="0" w:tplc="8736C950">
      <w:start w:val="1"/>
      <w:numFmt w:val="bullet"/>
      <w:lvlText w:val=""/>
      <w:lvlJc w:val="left"/>
      <w:pPr>
        <w:tabs>
          <w:tab w:val="num" w:pos="720"/>
        </w:tabs>
        <w:ind w:left="720" w:hanging="360"/>
      </w:pPr>
      <w:rPr>
        <w:rFonts w:ascii="Wingdings" w:hAnsi="Wingdings" w:hint="default"/>
      </w:rPr>
    </w:lvl>
    <w:lvl w:ilvl="1" w:tplc="7C1A5A90" w:tentative="1">
      <w:start w:val="1"/>
      <w:numFmt w:val="bullet"/>
      <w:lvlText w:val=""/>
      <w:lvlJc w:val="left"/>
      <w:pPr>
        <w:tabs>
          <w:tab w:val="num" w:pos="1440"/>
        </w:tabs>
        <w:ind w:left="1440" w:hanging="360"/>
      </w:pPr>
      <w:rPr>
        <w:rFonts w:ascii="Wingdings" w:hAnsi="Wingdings" w:hint="default"/>
      </w:rPr>
    </w:lvl>
    <w:lvl w:ilvl="2" w:tplc="C60C69D2" w:tentative="1">
      <w:start w:val="1"/>
      <w:numFmt w:val="bullet"/>
      <w:lvlText w:val=""/>
      <w:lvlJc w:val="left"/>
      <w:pPr>
        <w:tabs>
          <w:tab w:val="num" w:pos="2160"/>
        </w:tabs>
        <w:ind w:left="2160" w:hanging="360"/>
      </w:pPr>
      <w:rPr>
        <w:rFonts w:ascii="Wingdings" w:hAnsi="Wingdings" w:hint="default"/>
      </w:rPr>
    </w:lvl>
    <w:lvl w:ilvl="3" w:tplc="16AADCE6" w:tentative="1">
      <w:start w:val="1"/>
      <w:numFmt w:val="bullet"/>
      <w:lvlText w:val=""/>
      <w:lvlJc w:val="left"/>
      <w:pPr>
        <w:tabs>
          <w:tab w:val="num" w:pos="2880"/>
        </w:tabs>
        <w:ind w:left="2880" w:hanging="360"/>
      </w:pPr>
      <w:rPr>
        <w:rFonts w:ascii="Wingdings" w:hAnsi="Wingdings" w:hint="default"/>
      </w:rPr>
    </w:lvl>
    <w:lvl w:ilvl="4" w:tplc="FA3C5A16" w:tentative="1">
      <w:start w:val="1"/>
      <w:numFmt w:val="bullet"/>
      <w:lvlText w:val=""/>
      <w:lvlJc w:val="left"/>
      <w:pPr>
        <w:tabs>
          <w:tab w:val="num" w:pos="3600"/>
        </w:tabs>
        <w:ind w:left="3600" w:hanging="360"/>
      </w:pPr>
      <w:rPr>
        <w:rFonts w:ascii="Wingdings" w:hAnsi="Wingdings" w:hint="default"/>
      </w:rPr>
    </w:lvl>
    <w:lvl w:ilvl="5" w:tplc="7E226A88" w:tentative="1">
      <w:start w:val="1"/>
      <w:numFmt w:val="bullet"/>
      <w:lvlText w:val=""/>
      <w:lvlJc w:val="left"/>
      <w:pPr>
        <w:tabs>
          <w:tab w:val="num" w:pos="4320"/>
        </w:tabs>
        <w:ind w:left="4320" w:hanging="360"/>
      </w:pPr>
      <w:rPr>
        <w:rFonts w:ascii="Wingdings" w:hAnsi="Wingdings" w:hint="default"/>
      </w:rPr>
    </w:lvl>
    <w:lvl w:ilvl="6" w:tplc="39A4A4EC" w:tentative="1">
      <w:start w:val="1"/>
      <w:numFmt w:val="bullet"/>
      <w:lvlText w:val=""/>
      <w:lvlJc w:val="left"/>
      <w:pPr>
        <w:tabs>
          <w:tab w:val="num" w:pos="5040"/>
        </w:tabs>
        <w:ind w:left="5040" w:hanging="360"/>
      </w:pPr>
      <w:rPr>
        <w:rFonts w:ascii="Wingdings" w:hAnsi="Wingdings" w:hint="default"/>
      </w:rPr>
    </w:lvl>
    <w:lvl w:ilvl="7" w:tplc="99AA7908" w:tentative="1">
      <w:start w:val="1"/>
      <w:numFmt w:val="bullet"/>
      <w:lvlText w:val=""/>
      <w:lvlJc w:val="left"/>
      <w:pPr>
        <w:tabs>
          <w:tab w:val="num" w:pos="5760"/>
        </w:tabs>
        <w:ind w:left="5760" w:hanging="360"/>
      </w:pPr>
      <w:rPr>
        <w:rFonts w:ascii="Wingdings" w:hAnsi="Wingdings" w:hint="default"/>
      </w:rPr>
    </w:lvl>
    <w:lvl w:ilvl="8" w:tplc="B9187648" w:tentative="1">
      <w:start w:val="1"/>
      <w:numFmt w:val="bullet"/>
      <w:lvlText w:val=""/>
      <w:lvlJc w:val="left"/>
      <w:pPr>
        <w:tabs>
          <w:tab w:val="num" w:pos="6480"/>
        </w:tabs>
        <w:ind w:left="6480" w:hanging="360"/>
      </w:pPr>
      <w:rPr>
        <w:rFonts w:ascii="Wingdings" w:hAnsi="Wingdings" w:hint="default"/>
      </w:rPr>
    </w:lvl>
  </w:abstractNum>
  <w:abstractNum w:abstractNumId="65">
    <w:nsid w:val="3B70789B"/>
    <w:multiLevelType w:val="hybridMultilevel"/>
    <w:tmpl w:val="5600A730"/>
    <w:lvl w:ilvl="0" w:tplc="42EE1E08">
      <w:start w:val="1"/>
      <w:numFmt w:val="bullet"/>
      <w:lvlText w:val=""/>
      <w:lvlJc w:val="left"/>
      <w:pPr>
        <w:tabs>
          <w:tab w:val="num" w:pos="648"/>
        </w:tabs>
        <w:ind w:left="648" w:hanging="360"/>
      </w:pPr>
      <w:rPr>
        <w:rFonts w:ascii="Symbol" w:hAnsi="Symbol" w:hint="default"/>
      </w:rPr>
    </w:lvl>
    <w:lvl w:ilvl="1" w:tplc="6622A144" w:tentative="1">
      <w:start w:val="1"/>
      <w:numFmt w:val="lowerLetter"/>
      <w:lvlText w:val="%2."/>
      <w:lvlJc w:val="left"/>
      <w:pPr>
        <w:tabs>
          <w:tab w:val="num" w:pos="648"/>
        </w:tabs>
        <w:ind w:left="648" w:hanging="360"/>
      </w:pPr>
    </w:lvl>
    <w:lvl w:ilvl="2" w:tplc="4336FCEC" w:tentative="1">
      <w:start w:val="1"/>
      <w:numFmt w:val="lowerRoman"/>
      <w:lvlText w:val="%3."/>
      <w:lvlJc w:val="right"/>
      <w:pPr>
        <w:tabs>
          <w:tab w:val="num" w:pos="1368"/>
        </w:tabs>
        <w:ind w:left="1368" w:hanging="180"/>
      </w:pPr>
    </w:lvl>
    <w:lvl w:ilvl="3" w:tplc="9E52481C" w:tentative="1">
      <w:start w:val="1"/>
      <w:numFmt w:val="decimal"/>
      <w:lvlText w:val="%4."/>
      <w:lvlJc w:val="left"/>
      <w:pPr>
        <w:tabs>
          <w:tab w:val="num" w:pos="2088"/>
        </w:tabs>
        <w:ind w:left="2088" w:hanging="360"/>
      </w:pPr>
    </w:lvl>
    <w:lvl w:ilvl="4" w:tplc="E99E197A" w:tentative="1">
      <w:start w:val="1"/>
      <w:numFmt w:val="lowerLetter"/>
      <w:lvlText w:val="%5."/>
      <w:lvlJc w:val="left"/>
      <w:pPr>
        <w:tabs>
          <w:tab w:val="num" w:pos="2808"/>
        </w:tabs>
        <w:ind w:left="2808" w:hanging="360"/>
      </w:pPr>
    </w:lvl>
    <w:lvl w:ilvl="5" w:tplc="DFAC8DB6" w:tentative="1">
      <w:start w:val="1"/>
      <w:numFmt w:val="lowerRoman"/>
      <w:lvlText w:val="%6."/>
      <w:lvlJc w:val="right"/>
      <w:pPr>
        <w:tabs>
          <w:tab w:val="num" w:pos="3528"/>
        </w:tabs>
        <w:ind w:left="3528" w:hanging="180"/>
      </w:pPr>
    </w:lvl>
    <w:lvl w:ilvl="6" w:tplc="2490EBF0" w:tentative="1">
      <w:start w:val="1"/>
      <w:numFmt w:val="decimal"/>
      <w:lvlText w:val="%7."/>
      <w:lvlJc w:val="left"/>
      <w:pPr>
        <w:tabs>
          <w:tab w:val="num" w:pos="4248"/>
        </w:tabs>
        <w:ind w:left="4248" w:hanging="360"/>
      </w:pPr>
    </w:lvl>
    <w:lvl w:ilvl="7" w:tplc="D31ECAF8" w:tentative="1">
      <w:start w:val="1"/>
      <w:numFmt w:val="lowerLetter"/>
      <w:lvlText w:val="%8."/>
      <w:lvlJc w:val="left"/>
      <w:pPr>
        <w:tabs>
          <w:tab w:val="num" w:pos="4968"/>
        </w:tabs>
        <w:ind w:left="4968" w:hanging="360"/>
      </w:pPr>
    </w:lvl>
    <w:lvl w:ilvl="8" w:tplc="34C01944" w:tentative="1">
      <w:start w:val="1"/>
      <w:numFmt w:val="lowerRoman"/>
      <w:lvlText w:val="%9."/>
      <w:lvlJc w:val="right"/>
      <w:pPr>
        <w:tabs>
          <w:tab w:val="num" w:pos="5688"/>
        </w:tabs>
        <w:ind w:left="5688" w:hanging="180"/>
      </w:pPr>
    </w:lvl>
  </w:abstractNum>
  <w:abstractNum w:abstractNumId="66">
    <w:nsid w:val="3D202FFD"/>
    <w:multiLevelType w:val="hybridMultilevel"/>
    <w:tmpl w:val="519894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D9F401F"/>
    <w:multiLevelType w:val="hybridMultilevel"/>
    <w:tmpl w:val="6994ABDC"/>
    <w:lvl w:ilvl="0" w:tplc="0409000B">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nsid w:val="3F377390"/>
    <w:multiLevelType w:val="hybridMultilevel"/>
    <w:tmpl w:val="68B08A22"/>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69">
    <w:nsid w:val="4186717D"/>
    <w:multiLevelType w:val="hybridMultilevel"/>
    <w:tmpl w:val="1284BB8E"/>
    <w:lvl w:ilvl="0" w:tplc="04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nsid w:val="41DA1309"/>
    <w:multiLevelType w:val="hybridMultilevel"/>
    <w:tmpl w:val="E028DF98"/>
    <w:lvl w:ilvl="0" w:tplc="04090001">
      <w:start w:val="1"/>
      <w:numFmt w:val="lowerRoman"/>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1">
    <w:nsid w:val="41F46AB3"/>
    <w:multiLevelType w:val="hybridMultilevel"/>
    <w:tmpl w:val="6804D442"/>
    <w:lvl w:ilvl="0" w:tplc="0409001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2">
    <w:nsid w:val="422C58F7"/>
    <w:multiLevelType w:val="hybridMultilevel"/>
    <w:tmpl w:val="8E028438"/>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nsid w:val="44245B94"/>
    <w:multiLevelType w:val="multilevel"/>
    <w:tmpl w:val="A420F318"/>
    <w:lvl w:ilvl="0">
      <w:start w:val="1"/>
      <w:numFmt w:val="decimal"/>
      <w:pStyle w:val="cog-h1"/>
      <w:lvlText w:val="%1"/>
      <w:lvlJc w:val="left"/>
      <w:pPr>
        <w:tabs>
          <w:tab w:val="num" w:pos="720"/>
        </w:tabs>
        <w:ind w:left="720" w:hanging="720"/>
      </w:pPr>
      <w:rPr>
        <w:rFonts w:ascii="Arial" w:hAnsi="Arial" w:hint="default"/>
        <w:b/>
        <w:i w:val="0"/>
        <w:color w:val="000080"/>
        <w:sz w:val="28"/>
      </w:rPr>
    </w:lvl>
    <w:lvl w:ilvl="1">
      <w:start w:val="1"/>
      <w:numFmt w:val="decimal"/>
      <w:pStyle w:val="Cog-H2"/>
      <w:lvlText w:val="%1.%2"/>
      <w:lvlJc w:val="left"/>
      <w:pPr>
        <w:tabs>
          <w:tab w:val="num" w:pos="720"/>
        </w:tabs>
        <w:ind w:left="720" w:hanging="720"/>
      </w:pPr>
      <w:rPr>
        <w:rFonts w:ascii="Arial" w:hAnsi="Arial" w:hint="default"/>
        <w:b/>
        <w:i w:val="0"/>
        <w:color w:val="0000FF"/>
        <w:sz w:val="24"/>
      </w:rPr>
    </w:lvl>
    <w:lvl w:ilvl="2">
      <w:start w:val="1"/>
      <w:numFmt w:val="decimal"/>
      <w:pStyle w:val="Cog-H3"/>
      <w:lvlText w:val="%1.%2.%3"/>
      <w:lvlJc w:val="left"/>
      <w:pPr>
        <w:tabs>
          <w:tab w:val="num" w:pos="720"/>
        </w:tabs>
        <w:ind w:left="72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74">
    <w:nsid w:val="44943232"/>
    <w:multiLevelType w:val="hybridMultilevel"/>
    <w:tmpl w:val="B0C6234C"/>
    <w:lvl w:ilvl="0" w:tplc="9536B508">
      <w:start w:val="1"/>
      <w:numFmt w:val="bullet"/>
      <w:lvlText w:val=""/>
      <w:lvlJc w:val="left"/>
      <w:pPr>
        <w:tabs>
          <w:tab w:val="num" w:pos="360"/>
        </w:tabs>
        <w:ind w:left="360" w:hanging="360"/>
      </w:pPr>
      <w:rPr>
        <w:rFonts w:ascii="Symbol" w:hAnsi="Symbol" w:hint="default"/>
      </w:rPr>
    </w:lvl>
    <w:lvl w:ilvl="1" w:tplc="7362D6D4" w:tentative="1">
      <w:start w:val="1"/>
      <w:numFmt w:val="bullet"/>
      <w:lvlText w:val="o"/>
      <w:lvlJc w:val="left"/>
      <w:pPr>
        <w:tabs>
          <w:tab w:val="num" w:pos="1080"/>
        </w:tabs>
        <w:ind w:left="1080" w:hanging="360"/>
      </w:pPr>
      <w:rPr>
        <w:rFonts w:ascii="Courier New" w:hAnsi="Courier New" w:cs="Courier New" w:hint="default"/>
      </w:rPr>
    </w:lvl>
    <w:lvl w:ilvl="2" w:tplc="0ED2FD64" w:tentative="1">
      <w:start w:val="1"/>
      <w:numFmt w:val="bullet"/>
      <w:lvlText w:val=""/>
      <w:lvlJc w:val="left"/>
      <w:pPr>
        <w:tabs>
          <w:tab w:val="num" w:pos="1800"/>
        </w:tabs>
        <w:ind w:left="1800" w:hanging="360"/>
      </w:pPr>
      <w:rPr>
        <w:rFonts w:ascii="Wingdings" w:hAnsi="Wingdings" w:hint="default"/>
      </w:rPr>
    </w:lvl>
    <w:lvl w:ilvl="3" w:tplc="AE206D80" w:tentative="1">
      <w:start w:val="1"/>
      <w:numFmt w:val="bullet"/>
      <w:lvlText w:val=""/>
      <w:lvlJc w:val="left"/>
      <w:pPr>
        <w:tabs>
          <w:tab w:val="num" w:pos="2520"/>
        </w:tabs>
        <w:ind w:left="2520" w:hanging="360"/>
      </w:pPr>
      <w:rPr>
        <w:rFonts w:ascii="Symbol" w:hAnsi="Symbol" w:hint="default"/>
      </w:rPr>
    </w:lvl>
    <w:lvl w:ilvl="4" w:tplc="5E94A8FA" w:tentative="1">
      <w:start w:val="1"/>
      <w:numFmt w:val="bullet"/>
      <w:lvlText w:val="o"/>
      <w:lvlJc w:val="left"/>
      <w:pPr>
        <w:tabs>
          <w:tab w:val="num" w:pos="3240"/>
        </w:tabs>
        <w:ind w:left="3240" w:hanging="360"/>
      </w:pPr>
      <w:rPr>
        <w:rFonts w:ascii="Courier New" w:hAnsi="Courier New" w:cs="Courier New" w:hint="default"/>
      </w:rPr>
    </w:lvl>
    <w:lvl w:ilvl="5" w:tplc="EF145FEA" w:tentative="1">
      <w:start w:val="1"/>
      <w:numFmt w:val="bullet"/>
      <w:lvlText w:val=""/>
      <w:lvlJc w:val="left"/>
      <w:pPr>
        <w:tabs>
          <w:tab w:val="num" w:pos="3960"/>
        </w:tabs>
        <w:ind w:left="3960" w:hanging="360"/>
      </w:pPr>
      <w:rPr>
        <w:rFonts w:ascii="Wingdings" w:hAnsi="Wingdings" w:hint="default"/>
      </w:rPr>
    </w:lvl>
    <w:lvl w:ilvl="6" w:tplc="0086685A" w:tentative="1">
      <w:start w:val="1"/>
      <w:numFmt w:val="bullet"/>
      <w:lvlText w:val=""/>
      <w:lvlJc w:val="left"/>
      <w:pPr>
        <w:tabs>
          <w:tab w:val="num" w:pos="4680"/>
        </w:tabs>
        <w:ind w:left="4680" w:hanging="360"/>
      </w:pPr>
      <w:rPr>
        <w:rFonts w:ascii="Symbol" w:hAnsi="Symbol" w:hint="default"/>
      </w:rPr>
    </w:lvl>
    <w:lvl w:ilvl="7" w:tplc="E572C51E" w:tentative="1">
      <w:start w:val="1"/>
      <w:numFmt w:val="bullet"/>
      <w:lvlText w:val="o"/>
      <w:lvlJc w:val="left"/>
      <w:pPr>
        <w:tabs>
          <w:tab w:val="num" w:pos="5400"/>
        </w:tabs>
        <w:ind w:left="5400" w:hanging="360"/>
      </w:pPr>
      <w:rPr>
        <w:rFonts w:ascii="Courier New" w:hAnsi="Courier New" w:cs="Courier New" w:hint="default"/>
      </w:rPr>
    </w:lvl>
    <w:lvl w:ilvl="8" w:tplc="A3E05AA8" w:tentative="1">
      <w:start w:val="1"/>
      <w:numFmt w:val="bullet"/>
      <w:lvlText w:val=""/>
      <w:lvlJc w:val="left"/>
      <w:pPr>
        <w:tabs>
          <w:tab w:val="num" w:pos="6120"/>
        </w:tabs>
        <w:ind w:left="6120" w:hanging="360"/>
      </w:pPr>
      <w:rPr>
        <w:rFonts w:ascii="Wingdings" w:hAnsi="Wingdings" w:hint="default"/>
      </w:rPr>
    </w:lvl>
  </w:abstractNum>
  <w:abstractNum w:abstractNumId="75">
    <w:nsid w:val="44BE788A"/>
    <w:multiLevelType w:val="hybridMultilevel"/>
    <w:tmpl w:val="23501ABC"/>
    <w:lvl w:ilvl="0" w:tplc="0409000D">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6">
    <w:nsid w:val="46377BC3"/>
    <w:multiLevelType w:val="hybridMultilevel"/>
    <w:tmpl w:val="6D6E6D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7">
    <w:nsid w:val="46C82CBF"/>
    <w:multiLevelType w:val="hybridMultilevel"/>
    <w:tmpl w:val="98243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nsid w:val="47B4019E"/>
    <w:multiLevelType w:val="multilevel"/>
    <w:tmpl w:val="A394F510"/>
    <w:lvl w:ilvl="0">
      <w:start w:val="1"/>
      <w:numFmt w:val="bullet"/>
      <w:pStyle w:val="Cog-Bullet"/>
      <w:lvlText w:val=""/>
      <w:lvlJc w:val="left"/>
      <w:pPr>
        <w:tabs>
          <w:tab w:val="num" w:pos="-1440"/>
        </w:tabs>
        <w:ind w:left="-1440" w:hanging="360"/>
      </w:pPr>
      <w:rPr>
        <w:rFonts w:ascii="Wingdings" w:hAnsi="Wingdings" w:hint="default"/>
        <w:sz w:val="16"/>
      </w:rPr>
    </w:lvl>
    <w:lvl w:ilvl="1">
      <w:start w:val="1"/>
      <w:numFmt w:val="bullet"/>
      <w:lvlText w:val=""/>
      <w:lvlJc w:val="left"/>
      <w:pPr>
        <w:tabs>
          <w:tab w:val="num" w:pos="-720"/>
        </w:tabs>
        <w:ind w:left="-720" w:hanging="360"/>
      </w:pPr>
      <w:rPr>
        <w:rFonts w:ascii="Wingdings" w:hAnsi="Wingdings" w:hint="default"/>
        <w:sz w:val="16"/>
      </w:rPr>
    </w:lvl>
    <w:lvl w:ilvl="2">
      <w:start w:val="1"/>
      <w:numFmt w:val="bullet"/>
      <w:lvlText w:val=""/>
      <w:lvlJc w:val="left"/>
      <w:pPr>
        <w:tabs>
          <w:tab w:val="num" w:pos="0"/>
        </w:tabs>
        <w:ind w:left="0" w:hanging="360"/>
      </w:pPr>
      <w:rPr>
        <w:rFonts w:ascii="Wingdings" w:hAnsi="Wingdings" w:hint="default"/>
      </w:rPr>
    </w:lvl>
    <w:lvl w:ilvl="3">
      <w:start w:val="1"/>
      <w:numFmt w:val="bullet"/>
      <w:lvlText w:val=""/>
      <w:lvlJc w:val="left"/>
      <w:pPr>
        <w:tabs>
          <w:tab w:val="num" w:pos="720"/>
        </w:tabs>
        <w:ind w:left="720" w:hanging="360"/>
      </w:pPr>
      <w:rPr>
        <w:rFonts w:ascii="Symbol" w:hAnsi="Symbol" w:hint="default"/>
      </w:rPr>
    </w:lvl>
    <w:lvl w:ilvl="4">
      <w:start w:val="1"/>
      <w:numFmt w:val="bullet"/>
      <w:lvlText w:val="o"/>
      <w:lvlJc w:val="left"/>
      <w:pPr>
        <w:tabs>
          <w:tab w:val="num" w:pos="1440"/>
        </w:tabs>
        <w:ind w:left="144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600"/>
        </w:tabs>
        <w:ind w:left="3600" w:hanging="360"/>
      </w:pPr>
      <w:rPr>
        <w:rFonts w:ascii="Courier New" w:hAnsi="Courier New" w:hint="default"/>
      </w:rPr>
    </w:lvl>
    <w:lvl w:ilvl="8">
      <w:start w:val="1"/>
      <w:numFmt w:val="bullet"/>
      <w:lvlText w:val=""/>
      <w:lvlJc w:val="left"/>
      <w:pPr>
        <w:tabs>
          <w:tab w:val="num" w:pos="4320"/>
        </w:tabs>
        <w:ind w:left="4320" w:hanging="360"/>
      </w:pPr>
      <w:rPr>
        <w:rFonts w:ascii="Wingdings" w:hAnsi="Wingdings" w:hint="default"/>
      </w:rPr>
    </w:lvl>
  </w:abstractNum>
  <w:abstractNum w:abstractNumId="79">
    <w:nsid w:val="48470FA7"/>
    <w:multiLevelType w:val="hybridMultilevel"/>
    <w:tmpl w:val="71042CBA"/>
    <w:lvl w:ilvl="0" w:tplc="CC3A5CD2">
      <w:start w:val="1"/>
      <w:numFmt w:val="lowerRoman"/>
      <w:lvlText w:val="%1."/>
      <w:lvlJc w:val="right"/>
      <w:pPr>
        <w:tabs>
          <w:tab w:val="num" w:pos="720"/>
        </w:tabs>
        <w:ind w:left="720" w:hanging="360"/>
      </w:pPr>
    </w:lvl>
    <w:lvl w:ilvl="1" w:tplc="68088316" w:tentative="1">
      <w:start w:val="1"/>
      <w:numFmt w:val="lowerLetter"/>
      <w:lvlText w:val="%2."/>
      <w:lvlJc w:val="left"/>
      <w:pPr>
        <w:tabs>
          <w:tab w:val="num" w:pos="1440"/>
        </w:tabs>
        <w:ind w:left="1440" w:hanging="360"/>
      </w:pPr>
    </w:lvl>
    <w:lvl w:ilvl="2" w:tplc="88545F18" w:tentative="1">
      <w:start w:val="1"/>
      <w:numFmt w:val="lowerRoman"/>
      <w:lvlText w:val="%3."/>
      <w:lvlJc w:val="right"/>
      <w:pPr>
        <w:tabs>
          <w:tab w:val="num" w:pos="2160"/>
        </w:tabs>
        <w:ind w:left="2160" w:hanging="180"/>
      </w:pPr>
    </w:lvl>
    <w:lvl w:ilvl="3" w:tplc="B6627F86" w:tentative="1">
      <w:start w:val="1"/>
      <w:numFmt w:val="decimal"/>
      <w:lvlText w:val="%4."/>
      <w:lvlJc w:val="left"/>
      <w:pPr>
        <w:tabs>
          <w:tab w:val="num" w:pos="2880"/>
        </w:tabs>
        <w:ind w:left="2880" w:hanging="360"/>
      </w:pPr>
    </w:lvl>
    <w:lvl w:ilvl="4" w:tplc="B5F2831A" w:tentative="1">
      <w:start w:val="1"/>
      <w:numFmt w:val="lowerLetter"/>
      <w:lvlText w:val="%5."/>
      <w:lvlJc w:val="left"/>
      <w:pPr>
        <w:tabs>
          <w:tab w:val="num" w:pos="3600"/>
        </w:tabs>
        <w:ind w:left="3600" w:hanging="360"/>
      </w:pPr>
    </w:lvl>
    <w:lvl w:ilvl="5" w:tplc="F38E2F72" w:tentative="1">
      <w:start w:val="1"/>
      <w:numFmt w:val="lowerRoman"/>
      <w:lvlText w:val="%6."/>
      <w:lvlJc w:val="right"/>
      <w:pPr>
        <w:tabs>
          <w:tab w:val="num" w:pos="4320"/>
        </w:tabs>
        <w:ind w:left="4320" w:hanging="180"/>
      </w:pPr>
    </w:lvl>
    <w:lvl w:ilvl="6" w:tplc="9E20C440" w:tentative="1">
      <w:start w:val="1"/>
      <w:numFmt w:val="decimal"/>
      <w:lvlText w:val="%7."/>
      <w:lvlJc w:val="left"/>
      <w:pPr>
        <w:tabs>
          <w:tab w:val="num" w:pos="5040"/>
        </w:tabs>
        <w:ind w:left="5040" w:hanging="360"/>
      </w:pPr>
    </w:lvl>
    <w:lvl w:ilvl="7" w:tplc="85E28EEE" w:tentative="1">
      <w:start w:val="1"/>
      <w:numFmt w:val="lowerLetter"/>
      <w:lvlText w:val="%8."/>
      <w:lvlJc w:val="left"/>
      <w:pPr>
        <w:tabs>
          <w:tab w:val="num" w:pos="5760"/>
        </w:tabs>
        <w:ind w:left="5760" w:hanging="360"/>
      </w:pPr>
    </w:lvl>
    <w:lvl w:ilvl="8" w:tplc="BACE000E" w:tentative="1">
      <w:start w:val="1"/>
      <w:numFmt w:val="lowerRoman"/>
      <w:lvlText w:val="%9."/>
      <w:lvlJc w:val="right"/>
      <w:pPr>
        <w:tabs>
          <w:tab w:val="num" w:pos="6480"/>
        </w:tabs>
        <w:ind w:left="6480" w:hanging="180"/>
      </w:pPr>
    </w:lvl>
  </w:abstractNum>
  <w:abstractNum w:abstractNumId="80">
    <w:nsid w:val="48582065"/>
    <w:multiLevelType w:val="hybridMultilevel"/>
    <w:tmpl w:val="E1CE5F06"/>
    <w:lvl w:ilvl="0" w:tplc="0409001B">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bullet"/>
      <w:lvlText w:val="o"/>
      <w:lvlJc w:val="left"/>
      <w:pPr>
        <w:tabs>
          <w:tab w:val="num" w:pos="2520"/>
        </w:tabs>
        <w:ind w:left="2520" w:hanging="360"/>
      </w:pPr>
      <w:rPr>
        <w:rFonts w:ascii="Courier New" w:hAnsi="Courier New"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1">
    <w:nsid w:val="48632FA7"/>
    <w:multiLevelType w:val="hybridMultilevel"/>
    <w:tmpl w:val="AA086F6E"/>
    <w:lvl w:ilvl="0" w:tplc="04090001">
      <w:start w:val="1"/>
      <w:numFmt w:val="lowerRoman"/>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2">
    <w:nsid w:val="48872436"/>
    <w:multiLevelType w:val="hybridMultilevel"/>
    <w:tmpl w:val="DFDED396"/>
    <w:lvl w:ilvl="0" w:tplc="0409001B">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48BB7225"/>
    <w:multiLevelType w:val="hybridMultilevel"/>
    <w:tmpl w:val="979222AA"/>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84">
    <w:nsid w:val="49255C70"/>
    <w:multiLevelType w:val="hybridMultilevel"/>
    <w:tmpl w:val="FCFCE874"/>
    <w:lvl w:ilvl="0" w:tplc="04090001">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
      <w:lvlJc w:val="left"/>
      <w:pPr>
        <w:tabs>
          <w:tab w:val="num" w:pos="1440"/>
        </w:tabs>
        <w:ind w:left="1440" w:hanging="360"/>
      </w:pPr>
      <w:rPr>
        <w:rFonts w:ascii="Wingdings" w:hAnsi="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Wingdings" w:hAnsi="Wingdings" w:hint="default"/>
      </w:rPr>
    </w:lvl>
    <w:lvl w:ilvl="4" w:tplc="04090019" w:tentative="1">
      <w:start w:val="1"/>
      <w:numFmt w:val="bullet"/>
      <w:lvlText w:val=""/>
      <w:lvlJc w:val="left"/>
      <w:pPr>
        <w:tabs>
          <w:tab w:val="num" w:pos="3600"/>
        </w:tabs>
        <w:ind w:left="3600" w:hanging="360"/>
      </w:pPr>
      <w:rPr>
        <w:rFonts w:ascii="Wingdings" w:hAnsi="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Wingdings" w:hAnsi="Wingdings" w:hint="default"/>
      </w:rPr>
    </w:lvl>
    <w:lvl w:ilvl="7" w:tplc="04090019" w:tentative="1">
      <w:start w:val="1"/>
      <w:numFmt w:val="bullet"/>
      <w:lvlText w:val=""/>
      <w:lvlJc w:val="left"/>
      <w:pPr>
        <w:tabs>
          <w:tab w:val="num" w:pos="5760"/>
        </w:tabs>
        <w:ind w:left="5760" w:hanging="360"/>
      </w:pPr>
      <w:rPr>
        <w:rFonts w:ascii="Wingdings" w:hAnsi="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5">
    <w:nsid w:val="494D5C7F"/>
    <w:multiLevelType w:val="hybridMultilevel"/>
    <w:tmpl w:val="E828CDA4"/>
    <w:lvl w:ilvl="0" w:tplc="FFFFFFFF">
      <w:start w:val="1"/>
      <w:numFmt w:val="bullet"/>
      <w:lvlText w:val=""/>
      <w:lvlJc w:val="left"/>
      <w:pPr>
        <w:tabs>
          <w:tab w:val="num" w:pos="360"/>
        </w:tabs>
        <w:ind w:left="360" w:hanging="360"/>
      </w:pPr>
      <w:rPr>
        <w:rFonts w:ascii="Wingdings" w:hAnsi="Wingdings" w:hint="default"/>
        <w:sz w:val="3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6">
    <w:nsid w:val="49FC7E6F"/>
    <w:multiLevelType w:val="multilevel"/>
    <w:tmpl w:val="9AF42430"/>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pStyle w:val="Heading3"/>
      <w:lvlText w:val="%1.%2.%3."/>
      <w:lvlJc w:val="left"/>
      <w:pPr>
        <w:tabs>
          <w:tab w:val="num" w:pos="6444"/>
        </w:tabs>
        <w:ind w:left="644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7">
    <w:nsid w:val="4AF2797D"/>
    <w:multiLevelType w:val="hybridMultilevel"/>
    <w:tmpl w:val="EEB07476"/>
    <w:lvl w:ilvl="0" w:tplc="FC3E886A">
      <w:start w:val="1"/>
      <w:numFmt w:val="bullet"/>
      <w:lvlText w:val=""/>
      <w:lvlJc w:val="left"/>
      <w:pPr>
        <w:tabs>
          <w:tab w:val="num" w:pos="720"/>
        </w:tabs>
        <w:ind w:left="720" w:hanging="360"/>
      </w:pPr>
      <w:rPr>
        <w:rFonts w:ascii="Symbol" w:hAnsi="Symbol" w:hint="default"/>
      </w:rPr>
    </w:lvl>
    <w:lvl w:ilvl="1" w:tplc="C80ABC88">
      <w:start w:val="1"/>
      <w:numFmt w:val="lowerLetter"/>
      <w:lvlText w:val="%2."/>
      <w:lvlJc w:val="left"/>
      <w:pPr>
        <w:tabs>
          <w:tab w:val="num" w:pos="1440"/>
        </w:tabs>
        <w:ind w:left="1440" w:hanging="360"/>
      </w:pPr>
      <w:rPr>
        <w:b w:val="0"/>
      </w:rPr>
    </w:lvl>
    <w:lvl w:ilvl="2" w:tplc="3FF61786" w:tentative="1">
      <w:start w:val="1"/>
      <w:numFmt w:val="lowerRoman"/>
      <w:lvlText w:val="%3."/>
      <w:lvlJc w:val="right"/>
      <w:pPr>
        <w:tabs>
          <w:tab w:val="num" w:pos="2160"/>
        </w:tabs>
        <w:ind w:left="2160" w:hanging="180"/>
      </w:pPr>
    </w:lvl>
    <w:lvl w:ilvl="3" w:tplc="DAC2F612" w:tentative="1">
      <w:start w:val="1"/>
      <w:numFmt w:val="decimal"/>
      <w:lvlText w:val="%4."/>
      <w:lvlJc w:val="left"/>
      <w:pPr>
        <w:tabs>
          <w:tab w:val="num" w:pos="2880"/>
        </w:tabs>
        <w:ind w:left="2880" w:hanging="360"/>
      </w:pPr>
    </w:lvl>
    <w:lvl w:ilvl="4" w:tplc="D55E0AD2" w:tentative="1">
      <w:start w:val="1"/>
      <w:numFmt w:val="lowerLetter"/>
      <w:lvlText w:val="%5."/>
      <w:lvlJc w:val="left"/>
      <w:pPr>
        <w:tabs>
          <w:tab w:val="num" w:pos="3600"/>
        </w:tabs>
        <w:ind w:left="3600" w:hanging="360"/>
      </w:pPr>
    </w:lvl>
    <w:lvl w:ilvl="5" w:tplc="8DBE33D4" w:tentative="1">
      <w:start w:val="1"/>
      <w:numFmt w:val="lowerRoman"/>
      <w:lvlText w:val="%6."/>
      <w:lvlJc w:val="right"/>
      <w:pPr>
        <w:tabs>
          <w:tab w:val="num" w:pos="4320"/>
        </w:tabs>
        <w:ind w:left="4320" w:hanging="180"/>
      </w:pPr>
    </w:lvl>
    <w:lvl w:ilvl="6" w:tplc="98A44B70" w:tentative="1">
      <w:start w:val="1"/>
      <w:numFmt w:val="decimal"/>
      <w:lvlText w:val="%7."/>
      <w:lvlJc w:val="left"/>
      <w:pPr>
        <w:tabs>
          <w:tab w:val="num" w:pos="5040"/>
        </w:tabs>
        <w:ind w:left="5040" w:hanging="360"/>
      </w:pPr>
    </w:lvl>
    <w:lvl w:ilvl="7" w:tplc="A04CF52A" w:tentative="1">
      <w:start w:val="1"/>
      <w:numFmt w:val="lowerLetter"/>
      <w:lvlText w:val="%8."/>
      <w:lvlJc w:val="left"/>
      <w:pPr>
        <w:tabs>
          <w:tab w:val="num" w:pos="5760"/>
        </w:tabs>
        <w:ind w:left="5760" w:hanging="360"/>
      </w:pPr>
    </w:lvl>
    <w:lvl w:ilvl="8" w:tplc="E808375C" w:tentative="1">
      <w:start w:val="1"/>
      <w:numFmt w:val="lowerRoman"/>
      <w:lvlText w:val="%9."/>
      <w:lvlJc w:val="right"/>
      <w:pPr>
        <w:tabs>
          <w:tab w:val="num" w:pos="6480"/>
        </w:tabs>
        <w:ind w:left="6480" w:hanging="180"/>
      </w:pPr>
    </w:lvl>
  </w:abstractNum>
  <w:abstractNum w:abstractNumId="88">
    <w:nsid w:val="4BA77BB5"/>
    <w:multiLevelType w:val="hybridMultilevel"/>
    <w:tmpl w:val="5CA222C8"/>
    <w:lvl w:ilvl="0" w:tplc="04090001">
      <w:start w:val="1"/>
      <w:numFmt w:val="bullet"/>
      <w:lvlText w:val=""/>
      <w:lvlJc w:val="left"/>
      <w:pPr>
        <w:tabs>
          <w:tab w:val="num" w:pos="1620"/>
        </w:tabs>
        <w:ind w:left="1620" w:hanging="360"/>
      </w:pPr>
      <w:rPr>
        <w:rFonts w:ascii="Wingdings" w:hAnsi="Wingdings"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89">
    <w:nsid w:val="4D405591"/>
    <w:multiLevelType w:val="hybridMultilevel"/>
    <w:tmpl w:val="E2F6765A"/>
    <w:lvl w:ilvl="0" w:tplc="04090001">
      <w:start w:val="1"/>
      <w:numFmt w:val="lowerRoman"/>
      <w:lvlText w:val="%1."/>
      <w:lvlJc w:val="right"/>
      <w:pPr>
        <w:tabs>
          <w:tab w:val="num" w:pos="720"/>
        </w:tabs>
        <w:ind w:left="720" w:hanging="360"/>
      </w:pPr>
    </w:lvl>
    <w:lvl w:ilvl="1" w:tplc="7E2CE6D6"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4D7827CC"/>
    <w:multiLevelType w:val="hybridMultilevel"/>
    <w:tmpl w:val="007CD33C"/>
    <w:lvl w:ilvl="0" w:tplc="0409001B">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91">
    <w:nsid w:val="4DCD70C8"/>
    <w:multiLevelType w:val="hybridMultilevel"/>
    <w:tmpl w:val="D362E058"/>
    <w:lvl w:ilvl="0" w:tplc="04090001">
      <w:start w:val="1"/>
      <w:numFmt w:val="lowerRoman"/>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2">
    <w:nsid w:val="4E4C773E"/>
    <w:multiLevelType w:val="hybridMultilevel"/>
    <w:tmpl w:val="C6D8D864"/>
    <w:lvl w:ilvl="0" w:tplc="0409001B">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
      <w:lvlJc w:val="left"/>
      <w:pPr>
        <w:tabs>
          <w:tab w:val="num" w:pos="1440"/>
        </w:tabs>
        <w:ind w:left="1440" w:hanging="360"/>
      </w:pPr>
      <w:rPr>
        <w:rFonts w:ascii="Wingdings" w:hAnsi="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Wingdings" w:hAnsi="Wingdings" w:hint="default"/>
      </w:rPr>
    </w:lvl>
    <w:lvl w:ilvl="4" w:tplc="04090019" w:tentative="1">
      <w:start w:val="1"/>
      <w:numFmt w:val="bullet"/>
      <w:lvlText w:val=""/>
      <w:lvlJc w:val="left"/>
      <w:pPr>
        <w:tabs>
          <w:tab w:val="num" w:pos="3600"/>
        </w:tabs>
        <w:ind w:left="3600" w:hanging="360"/>
      </w:pPr>
      <w:rPr>
        <w:rFonts w:ascii="Wingdings" w:hAnsi="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Wingdings" w:hAnsi="Wingdings" w:hint="default"/>
      </w:rPr>
    </w:lvl>
    <w:lvl w:ilvl="7" w:tplc="04090019" w:tentative="1">
      <w:start w:val="1"/>
      <w:numFmt w:val="bullet"/>
      <w:lvlText w:val=""/>
      <w:lvlJc w:val="left"/>
      <w:pPr>
        <w:tabs>
          <w:tab w:val="num" w:pos="5760"/>
        </w:tabs>
        <w:ind w:left="5760" w:hanging="360"/>
      </w:pPr>
      <w:rPr>
        <w:rFonts w:ascii="Wingdings" w:hAnsi="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3">
    <w:nsid w:val="4F0E0AE7"/>
    <w:multiLevelType w:val="hybridMultilevel"/>
    <w:tmpl w:val="C4C44B0A"/>
    <w:lvl w:ilvl="0" w:tplc="FEC43412">
      <w:start w:val="1"/>
      <w:numFmt w:val="bullet"/>
      <w:lvlText w:val=""/>
      <w:lvlJc w:val="left"/>
      <w:pPr>
        <w:tabs>
          <w:tab w:val="num" w:pos="1080"/>
        </w:tabs>
        <w:ind w:left="1080" w:hanging="360"/>
      </w:pPr>
      <w:rPr>
        <w:rFonts w:ascii="Symbol" w:hAnsi="Symbol" w:hint="default"/>
        <w:sz w:val="18"/>
        <w:szCs w:val="18"/>
      </w:rPr>
    </w:lvl>
    <w:lvl w:ilvl="1" w:tplc="FC5C1424" w:tentative="1">
      <w:start w:val="1"/>
      <w:numFmt w:val="bullet"/>
      <w:lvlText w:val="o"/>
      <w:lvlJc w:val="left"/>
      <w:pPr>
        <w:tabs>
          <w:tab w:val="num" w:pos="1440"/>
        </w:tabs>
        <w:ind w:left="1440" w:hanging="360"/>
      </w:pPr>
      <w:rPr>
        <w:rFonts w:ascii="Courier New" w:hAnsi="Courier New" w:cs="Courier New" w:hint="default"/>
      </w:rPr>
    </w:lvl>
    <w:lvl w:ilvl="2" w:tplc="11D4313E" w:tentative="1">
      <w:start w:val="1"/>
      <w:numFmt w:val="bullet"/>
      <w:lvlText w:val=""/>
      <w:lvlJc w:val="left"/>
      <w:pPr>
        <w:tabs>
          <w:tab w:val="num" w:pos="2160"/>
        </w:tabs>
        <w:ind w:left="2160" w:hanging="360"/>
      </w:pPr>
      <w:rPr>
        <w:rFonts w:ascii="Wingdings" w:hAnsi="Wingdings" w:hint="default"/>
      </w:rPr>
    </w:lvl>
    <w:lvl w:ilvl="3" w:tplc="8974A48A" w:tentative="1">
      <w:start w:val="1"/>
      <w:numFmt w:val="bullet"/>
      <w:lvlText w:val=""/>
      <w:lvlJc w:val="left"/>
      <w:pPr>
        <w:tabs>
          <w:tab w:val="num" w:pos="2880"/>
        </w:tabs>
        <w:ind w:left="2880" w:hanging="360"/>
      </w:pPr>
      <w:rPr>
        <w:rFonts w:ascii="Symbol" w:hAnsi="Symbol" w:hint="default"/>
      </w:rPr>
    </w:lvl>
    <w:lvl w:ilvl="4" w:tplc="CB9A89DC" w:tentative="1">
      <w:start w:val="1"/>
      <w:numFmt w:val="bullet"/>
      <w:lvlText w:val="o"/>
      <w:lvlJc w:val="left"/>
      <w:pPr>
        <w:tabs>
          <w:tab w:val="num" w:pos="3600"/>
        </w:tabs>
        <w:ind w:left="3600" w:hanging="360"/>
      </w:pPr>
      <w:rPr>
        <w:rFonts w:ascii="Courier New" w:hAnsi="Courier New" w:cs="Courier New" w:hint="default"/>
      </w:rPr>
    </w:lvl>
    <w:lvl w:ilvl="5" w:tplc="48E01D2E" w:tentative="1">
      <w:start w:val="1"/>
      <w:numFmt w:val="bullet"/>
      <w:lvlText w:val=""/>
      <w:lvlJc w:val="left"/>
      <w:pPr>
        <w:tabs>
          <w:tab w:val="num" w:pos="4320"/>
        </w:tabs>
        <w:ind w:left="4320" w:hanging="360"/>
      </w:pPr>
      <w:rPr>
        <w:rFonts w:ascii="Wingdings" w:hAnsi="Wingdings" w:hint="default"/>
      </w:rPr>
    </w:lvl>
    <w:lvl w:ilvl="6" w:tplc="E6B89CC4" w:tentative="1">
      <w:start w:val="1"/>
      <w:numFmt w:val="bullet"/>
      <w:lvlText w:val=""/>
      <w:lvlJc w:val="left"/>
      <w:pPr>
        <w:tabs>
          <w:tab w:val="num" w:pos="5040"/>
        </w:tabs>
        <w:ind w:left="5040" w:hanging="360"/>
      </w:pPr>
      <w:rPr>
        <w:rFonts w:ascii="Symbol" w:hAnsi="Symbol" w:hint="default"/>
      </w:rPr>
    </w:lvl>
    <w:lvl w:ilvl="7" w:tplc="70BC5B60" w:tentative="1">
      <w:start w:val="1"/>
      <w:numFmt w:val="bullet"/>
      <w:lvlText w:val="o"/>
      <w:lvlJc w:val="left"/>
      <w:pPr>
        <w:tabs>
          <w:tab w:val="num" w:pos="5760"/>
        </w:tabs>
        <w:ind w:left="5760" w:hanging="360"/>
      </w:pPr>
      <w:rPr>
        <w:rFonts w:ascii="Courier New" w:hAnsi="Courier New" w:cs="Courier New" w:hint="default"/>
      </w:rPr>
    </w:lvl>
    <w:lvl w:ilvl="8" w:tplc="F120072C" w:tentative="1">
      <w:start w:val="1"/>
      <w:numFmt w:val="bullet"/>
      <w:lvlText w:val=""/>
      <w:lvlJc w:val="left"/>
      <w:pPr>
        <w:tabs>
          <w:tab w:val="num" w:pos="6480"/>
        </w:tabs>
        <w:ind w:left="6480" w:hanging="360"/>
      </w:pPr>
      <w:rPr>
        <w:rFonts w:ascii="Wingdings" w:hAnsi="Wingdings" w:hint="default"/>
      </w:rPr>
    </w:lvl>
  </w:abstractNum>
  <w:abstractNum w:abstractNumId="94">
    <w:nsid w:val="4F1405B2"/>
    <w:multiLevelType w:val="hybridMultilevel"/>
    <w:tmpl w:val="549683B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50905E3D"/>
    <w:multiLevelType w:val="multilevel"/>
    <w:tmpl w:val="926A6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0C31F57"/>
    <w:multiLevelType w:val="hybridMultilevel"/>
    <w:tmpl w:val="84D8F8FA"/>
    <w:lvl w:ilvl="0" w:tplc="F91C57AC">
      <w:start w:val="1"/>
      <w:numFmt w:val="decimal"/>
      <w:lvlText w:val="%1."/>
      <w:lvlJc w:val="left"/>
      <w:pPr>
        <w:ind w:left="720" w:hanging="360"/>
      </w:pPr>
      <w:rPr>
        <w:rFonts w:hint="default"/>
      </w:rPr>
    </w:lvl>
    <w:lvl w:ilvl="1" w:tplc="F6302A86" w:tentative="1">
      <w:start w:val="1"/>
      <w:numFmt w:val="lowerLetter"/>
      <w:lvlText w:val="%2."/>
      <w:lvlJc w:val="left"/>
      <w:pPr>
        <w:ind w:left="1440" w:hanging="360"/>
      </w:pPr>
    </w:lvl>
    <w:lvl w:ilvl="2" w:tplc="C7604068" w:tentative="1">
      <w:start w:val="1"/>
      <w:numFmt w:val="lowerRoman"/>
      <w:lvlText w:val="%3."/>
      <w:lvlJc w:val="right"/>
      <w:pPr>
        <w:ind w:left="2160" w:hanging="180"/>
      </w:pPr>
    </w:lvl>
    <w:lvl w:ilvl="3" w:tplc="3782F97C" w:tentative="1">
      <w:start w:val="1"/>
      <w:numFmt w:val="decimal"/>
      <w:lvlText w:val="%4."/>
      <w:lvlJc w:val="left"/>
      <w:pPr>
        <w:ind w:left="2880" w:hanging="360"/>
      </w:pPr>
    </w:lvl>
    <w:lvl w:ilvl="4" w:tplc="C0341B52" w:tentative="1">
      <w:start w:val="1"/>
      <w:numFmt w:val="lowerLetter"/>
      <w:lvlText w:val="%5."/>
      <w:lvlJc w:val="left"/>
      <w:pPr>
        <w:ind w:left="3600" w:hanging="360"/>
      </w:pPr>
    </w:lvl>
    <w:lvl w:ilvl="5" w:tplc="65480994" w:tentative="1">
      <w:start w:val="1"/>
      <w:numFmt w:val="lowerRoman"/>
      <w:lvlText w:val="%6."/>
      <w:lvlJc w:val="right"/>
      <w:pPr>
        <w:ind w:left="4320" w:hanging="180"/>
      </w:pPr>
    </w:lvl>
    <w:lvl w:ilvl="6" w:tplc="D2F0C704" w:tentative="1">
      <w:start w:val="1"/>
      <w:numFmt w:val="decimal"/>
      <w:lvlText w:val="%7."/>
      <w:lvlJc w:val="left"/>
      <w:pPr>
        <w:ind w:left="5040" w:hanging="360"/>
      </w:pPr>
    </w:lvl>
    <w:lvl w:ilvl="7" w:tplc="9DB255AC" w:tentative="1">
      <w:start w:val="1"/>
      <w:numFmt w:val="lowerLetter"/>
      <w:lvlText w:val="%8."/>
      <w:lvlJc w:val="left"/>
      <w:pPr>
        <w:ind w:left="5760" w:hanging="360"/>
      </w:pPr>
    </w:lvl>
    <w:lvl w:ilvl="8" w:tplc="1ACECB74" w:tentative="1">
      <w:start w:val="1"/>
      <w:numFmt w:val="lowerRoman"/>
      <w:lvlText w:val="%9."/>
      <w:lvlJc w:val="right"/>
      <w:pPr>
        <w:ind w:left="6480" w:hanging="180"/>
      </w:pPr>
    </w:lvl>
  </w:abstractNum>
  <w:abstractNum w:abstractNumId="97">
    <w:nsid w:val="52D27904"/>
    <w:multiLevelType w:val="hybridMultilevel"/>
    <w:tmpl w:val="AD1A43E4"/>
    <w:lvl w:ilvl="0" w:tplc="E49E3888">
      <w:start w:val="1"/>
      <w:numFmt w:val="bullet"/>
      <w:lvlText w:val=""/>
      <w:lvlJc w:val="left"/>
      <w:pPr>
        <w:tabs>
          <w:tab w:val="num" w:pos="360"/>
        </w:tabs>
        <w:ind w:left="360" w:hanging="360"/>
      </w:pPr>
      <w:rPr>
        <w:rFonts w:ascii="Symbol" w:hAnsi="Symbol" w:hint="default"/>
      </w:rPr>
    </w:lvl>
    <w:lvl w:ilvl="1" w:tplc="06A42BCC" w:tentative="1">
      <w:start w:val="1"/>
      <w:numFmt w:val="lowerLetter"/>
      <w:lvlText w:val="%2."/>
      <w:lvlJc w:val="left"/>
      <w:pPr>
        <w:tabs>
          <w:tab w:val="num" w:pos="1440"/>
        </w:tabs>
        <w:ind w:left="1440" w:hanging="360"/>
      </w:pPr>
    </w:lvl>
    <w:lvl w:ilvl="2" w:tplc="A226FF10" w:tentative="1">
      <w:start w:val="1"/>
      <w:numFmt w:val="lowerRoman"/>
      <w:lvlText w:val="%3."/>
      <w:lvlJc w:val="right"/>
      <w:pPr>
        <w:tabs>
          <w:tab w:val="num" w:pos="2160"/>
        </w:tabs>
        <w:ind w:left="2160" w:hanging="180"/>
      </w:pPr>
    </w:lvl>
    <w:lvl w:ilvl="3" w:tplc="98884300" w:tentative="1">
      <w:start w:val="1"/>
      <w:numFmt w:val="decimal"/>
      <w:lvlText w:val="%4."/>
      <w:lvlJc w:val="left"/>
      <w:pPr>
        <w:tabs>
          <w:tab w:val="num" w:pos="2880"/>
        </w:tabs>
        <w:ind w:left="2880" w:hanging="360"/>
      </w:pPr>
    </w:lvl>
    <w:lvl w:ilvl="4" w:tplc="C67C2718" w:tentative="1">
      <w:start w:val="1"/>
      <w:numFmt w:val="lowerLetter"/>
      <w:lvlText w:val="%5."/>
      <w:lvlJc w:val="left"/>
      <w:pPr>
        <w:tabs>
          <w:tab w:val="num" w:pos="3600"/>
        </w:tabs>
        <w:ind w:left="3600" w:hanging="360"/>
      </w:pPr>
    </w:lvl>
    <w:lvl w:ilvl="5" w:tplc="396AF3FA" w:tentative="1">
      <w:start w:val="1"/>
      <w:numFmt w:val="lowerRoman"/>
      <w:lvlText w:val="%6."/>
      <w:lvlJc w:val="right"/>
      <w:pPr>
        <w:tabs>
          <w:tab w:val="num" w:pos="4320"/>
        </w:tabs>
        <w:ind w:left="4320" w:hanging="180"/>
      </w:pPr>
    </w:lvl>
    <w:lvl w:ilvl="6" w:tplc="4264519C" w:tentative="1">
      <w:start w:val="1"/>
      <w:numFmt w:val="decimal"/>
      <w:lvlText w:val="%7."/>
      <w:lvlJc w:val="left"/>
      <w:pPr>
        <w:tabs>
          <w:tab w:val="num" w:pos="5040"/>
        </w:tabs>
        <w:ind w:left="5040" w:hanging="360"/>
      </w:pPr>
    </w:lvl>
    <w:lvl w:ilvl="7" w:tplc="2A869E60" w:tentative="1">
      <w:start w:val="1"/>
      <w:numFmt w:val="lowerLetter"/>
      <w:lvlText w:val="%8."/>
      <w:lvlJc w:val="left"/>
      <w:pPr>
        <w:tabs>
          <w:tab w:val="num" w:pos="5760"/>
        </w:tabs>
        <w:ind w:left="5760" w:hanging="360"/>
      </w:pPr>
    </w:lvl>
    <w:lvl w:ilvl="8" w:tplc="6AC8D6D2" w:tentative="1">
      <w:start w:val="1"/>
      <w:numFmt w:val="lowerRoman"/>
      <w:lvlText w:val="%9."/>
      <w:lvlJc w:val="right"/>
      <w:pPr>
        <w:tabs>
          <w:tab w:val="num" w:pos="6480"/>
        </w:tabs>
        <w:ind w:left="6480" w:hanging="180"/>
      </w:pPr>
    </w:lvl>
  </w:abstractNum>
  <w:abstractNum w:abstractNumId="98">
    <w:nsid w:val="537B6C86"/>
    <w:multiLevelType w:val="hybridMultilevel"/>
    <w:tmpl w:val="FBC68946"/>
    <w:lvl w:ilvl="0" w:tplc="0409000F">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9">
    <w:nsid w:val="55113AAC"/>
    <w:multiLevelType w:val="hybridMultilevel"/>
    <w:tmpl w:val="2DC692C6"/>
    <w:lvl w:ilvl="0" w:tplc="ECDC4EB6">
      <w:start w:val="1"/>
      <w:numFmt w:val="bullet"/>
      <w:lvlText w:val=""/>
      <w:lvlJc w:val="left"/>
      <w:pPr>
        <w:tabs>
          <w:tab w:val="num" w:pos="360"/>
        </w:tabs>
        <w:ind w:left="360" w:hanging="360"/>
      </w:pPr>
      <w:rPr>
        <w:rFonts w:ascii="Symbol" w:hAnsi="Symbol" w:hint="default"/>
      </w:rPr>
    </w:lvl>
    <w:lvl w:ilvl="1" w:tplc="F79CA98E">
      <w:start w:val="1"/>
      <w:numFmt w:val="bullet"/>
      <w:lvlText w:val="o"/>
      <w:lvlJc w:val="left"/>
      <w:pPr>
        <w:tabs>
          <w:tab w:val="num" w:pos="1080"/>
        </w:tabs>
        <w:ind w:left="1080" w:hanging="360"/>
      </w:pPr>
      <w:rPr>
        <w:rFonts w:ascii="Courier New" w:hAnsi="Courier New" w:cs="Courier New" w:hint="default"/>
      </w:rPr>
    </w:lvl>
    <w:lvl w:ilvl="2" w:tplc="57A4A3E6">
      <w:start w:val="1"/>
      <w:numFmt w:val="bullet"/>
      <w:lvlText w:val=""/>
      <w:lvlJc w:val="left"/>
      <w:pPr>
        <w:tabs>
          <w:tab w:val="num" w:pos="1800"/>
        </w:tabs>
        <w:ind w:left="1800" w:hanging="360"/>
      </w:pPr>
      <w:rPr>
        <w:rFonts w:ascii="Wingdings" w:hAnsi="Wingdings" w:hint="default"/>
      </w:rPr>
    </w:lvl>
    <w:lvl w:ilvl="3" w:tplc="34807D5A">
      <w:start w:val="1"/>
      <w:numFmt w:val="bullet"/>
      <w:lvlText w:val=""/>
      <w:lvlJc w:val="left"/>
      <w:pPr>
        <w:tabs>
          <w:tab w:val="num" w:pos="2520"/>
        </w:tabs>
        <w:ind w:left="2520" w:hanging="360"/>
      </w:pPr>
      <w:rPr>
        <w:rFonts w:ascii="Symbol" w:hAnsi="Symbol" w:hint="default"/>
      </w:rPr>
    </w:lvl>
    <w:lvl w:ilvl="4" w:tplc="42763AD8" w:tentative="1">
      <w:start w:val="1"/>
      <w:numFmt w:val="bullet"/>
      <w:lvlText w:val="o"/>
      <w:lvlJc w:val="left"/>
      <w:pPr>
        <w:tabs>
          <w:tab w:val="num" w:pos="3240"/>
        </w:tabs>
        <w:ind w:left="3240" w:hanging="360"/>
      </w:pPr>
      <w:rPr>
        <w:rFonts w:ascii="Courier New" w:hAnsi="Courier New" w:cs="Courier New" w:hint="default"/>
      </w:rPr>
    </w:lvl>
    <w:lvl w:ilvl="5" w:tplc="FA96DA44" w:tentative="1">
      <w:start w:val="1"/>
      <w:numFmt w:val="bullet"/>
      <w:lvlText w:val=""/>
      <w:lvlJc w:val="left"/>
      <w:pPr>
        <w:tabs>
          <w:tab w:val="num" w:pos="3960"/>
        </w:tabs>
        <w:ind w:left="3960" w:hanging="360"/>
      </w:pPr>
      <w:rPr>
        <w:rFonts w:ascii="Wingdings" w:hAnsi="Wingdings" w:hint="default"/>
      </w:rPr>
    </w:lvl>
    <w:lvl w:ilvl="6" w:tplc="0EB6C924" w:tentative="1">
      <w:start w:val="1"/>
      <w:numFmt w:val="bullet"/>
      <w:lvlText w:val=""/>
      <w:lvlJc w:val="left"/>
      <w:pPr>
        <w:tabs>
          <w:tab w:val="num" w:pos="4680"/>
        </w:tabs>
        <w:ind w:left="4680" w:hanging="360"/>
      </w:pPr>
      <w:rPr>
        <w:rFonts w:ascii="Symbol" w:hAnsi="Symbol" w:hint="default"/>
      </w:rPr>
    </w:lvl>
    <w:lvl w:ilvl="7" w:tplc="1F3EEA8C" w:tentative="1">
      <w:start w:val="1"/>
      <w:numFmt w:val="bullet"/>
      <w:lvlText w:val="o"/>
      <w:lvlJc w:val="left"/>
      <w:pPr>
        <w:tabs>
          <w:tab w:val="num" w:pos="5400"/>
        </w:tabs>
        <w:ind w:left="5400" w:hanging="360"/>
      </w:pPr>
      <w:rPr>
        <w:rFonts w:ascii="Courier New" w:hAnsi="Courier New" w:cs="Courier New" w:hint="default"/>
      </w:rPr>
    </w:lvl>
    <w:lvl w:ilvl="8" w:tplc="94BA1396" w:tentative="1">
      <w:start w:val="1"/>
      <w:numFmt w:val="bullet"/>
      <w:lvlText w:val=""/>
      <w:lvlJc w:val="left"/>
      <w:pPr>
        <w:tabs>
          <w:tab w:val="num" w:pos="6120"/>
        </w:tabs>
        <w:ind w:left="6120" w:hanging="360"/>
      </w:pPr>
      <w:rPr>
        <w:rFonts w:ascii="Wingdings" w:hAnsi="Wingdings" w:hint="default"/>
      </w:rPr>
    </w:lvl>
  </w:abstractNum>
  <w:abstractNum w:abstractNumId="100">
    <w:nsid w:val="59316DF9"/>
    <w:multiLevelType w:val="hybridMultilevel"/>
    <w:tmpl w:val="96641F3A"/>
    <w:lvl w:ilvl="0" w:tplc="0409000D">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1">
    <w:nsid w:val="5AE55B8E"/>
    <w:multiLevelType w:val="hybridMultilevel"/>
    <w:tmpl w:val="9ED4A7D0"/>
    <w:lvl w:ilvl="0" w:tplc="7FCE6810">
      <w:start w:val="1"/>
      <w:numFmt w:val="bullet"/>
      <w:lvlText w:val=""/>
      <w:lvlJc w:val="left"/>
      <w:pPr>
        <w:tabs>
          <w:tab w:val="num" w:pos="360"/>
        </w:tabs>
        <w:ind w:left="360" w:hanging="360"/>
      </w:pPr>
      <w:rPr>
        <w:rFonts w:ascii="Symbol" w:hAnsi="Symbol" w:hint="default"/>
      </w:rPr>
    </w:lvl>
    <w:lvl w:ilvl="1" w:tplc="CDA4BDAC">
      <w:start w:val="1"/>
      <w:numFmt w:val="bullet"/>
      <w:lvlText w:val="o"/>
      <w:lvlJc w:val="left"/>
      <w:pPr>
        <w:tabs>
          <w:tab w:val="num" w:pos="1080"/>
        </w:tabs>
        <w:ind w:left="1080" w:hanging="360"/>
      </w:pPr>
      <w:rPr>
        <w:rFonts w:ascii="Courier New" w:hAnsi="Courier New" w:cs="Courier New" w:hint="default"/>
      </w:rPr>
    </w:lvl>
    <w:lvl w:ilvl="2" w:tplc="F828CC0E" w:tentative="1">
      <w:start w:val="1"/>
      <w:numFmt w:val="bullet"/>
      <w:lvlText w:val=""/>
      <w:lvlJc w:val="left"/>
      <w:pPr>
        <w:tabs>
          <w:tab w:val="num" w:pos="1800"/>
        </w:tabs>
        <w:ind w:left="1800" w:hanging="360"/>
      </w:pPr>
      <w:rPr>
        <w:rFonts w:ascii="Wingdings" w:hAnsi="Wingdings" w:hint="default"/>
      </w:rPr>
    </w:lvl>
    <w:lvl w:ilvl="3" w:tplc="E4284E4E" w:tentative="1">
      <w:start w:val="1"/>
      <w:numFmt w:val="bullet"/>
      <w:lvlText w:val=""/>
      <w:lvlJc w:val="left"/>
      <w:pPr>
        <w:tabs>
          <w:tab w:val="num" w:pos="2520"/>
        </w:tabs>
        <w:ind w:left="2520" w:hanging="360"/>
      </w:pPr>
      <w:rPr>
        <w:rFonts w:ascii="Symbol" w:hAnsi="Symbol" w:hint="default"/>
      </w:rPr>
    </w:lvl>
    <w:lvl w:ilvl="4" w:tplc="9B1AC544" w:tentative="1">
      <w:start w:val="1"/>
      <w:numFmt w:val="bullet"/>
      <w:lvlText w:val="o"/>
      <w:lvlJc w:val="left"/>
      <w:pPr>
        <w:tabs>
          <w:tab w:val="num" w:pos="3240"/>
        </w:tabs>
        <w:ind w:left="3240" w:hanging="360"/>
      </w:pPr>
      <w:rPr>
        <w:rFonts w:ascii="Courier New" w:hAnsi="Courier New" w:cs="Courier New" w:hint="default"/>
      </w:rPr>
    </w:lvl>
    <w:lvl w:ilvl="5" w:tplc="79344806" w:tentative="1">
      <w:start w:val="1"/>
      <w:numFmt w:val="bullet"/>
      <w:lvlText w:val=""/>
      <w:lvlJc w:val="left"/>
      <w:pPr>
        <w:tabs>
          <w:tab w:val="num" w:pos="3960"/>
        </w:tabs>
        <w:ind w:left="3960" w:hanging="360"/>
      </w:pPr>
      <w:rPr>
        <w:rFonts w:ascii="Wingdings" w:hAnsi="Wingdings" w:hint="default"/>
      </w:rPr>
    </w:lvl>
    <w:lvl w:ilvl="6" w:tplc="860841CE" w:tentative="1">
      <w:start w:val="1"/>
      <w:numFmt w:val="bullet"/>
      <w:lvlText w:val=""/>
      <w:lvlJc w:val="left"/>
      <w:pPr>
        <w:tabs>
          <w:tab w:val="num" w:pos="4680"/>
        </w:tabs>
        <w:ind w:left="4680" w:hanging="360"/>
      </w:pPr>
      <w:rPr>
        <w:rFonts w:ascii="Symbol" w:hAnsi="Symbol" w:hint="default"/>
      </w:rPr>
    </w:lvl>
    <w:lvl w:ilvl="7" w:tplc="0BF648F6" w:tentative="1">
      <w:start w:val="1"/>
      <w:numFmt w:val="bullet"/>
      <w:lvlText w:val="o"/>
      <w:lvlJc w:val="left"/>
      <w:pPr>
        <w:tabs>
          <w:tab w:val="num" w:pos="5400"/>
        </w:tabs>
        <w:ind w:left="5400" w:hanging="360"/>
      </w:pPr>
      <w:rPr>
        <w:rFonts w:ascii="Courier New" w:hAnsi="Courier New" w:cs="Courier New" w:hint="default"/>
      </w:rPr>
    </w:lvl>
    <w:lvl w:ilvl="8" w:tplc="87A41E18" w:tentative="1">
      <w:start w:val="1"/>
      <w:numFmt w:val="bullet"/>
      <w:lvlText w:val=""/>
      <w:lvlJc w:val="left"/>
      <w:pPr>
        <w:tabs>
          <w:tab w:val="num" w:pos="6120"/>
        </w:tabs>
        <w:ind w:left="6120" w:hanging="360"/>
      </w:pPr>
      <w:rPr>
        <w:rFonts w:ascii="Wingdings" w:hAnsi="Wingdings" w:hint="default"/>
      </w:rPr>
    </w:lvl>
  </w:abstractNum>
  <w:abstractNum w:abstractNumId="102">
    <w:nsid w:val="5AF113C5"/>
    <w:multiLevelType w:val="hybridMultilevel"/>
    <w:tmpl w:val="3DE86A36"/>
    <w:lvl w:ilvl="0" w:tplc="FFFFFFFF">
      <w:start w:val="1"/>
      <w:numFmt w:val="bullet"/>
      <w:lvlText w:val="o"/>
      <w:lvlJc w:val="left"/>
      <w:pPr>
        <w:tabs>
          <w:tab w:val="num" w:pos="2430"/>
        </w:tabs>
        <w:ind w:left="2430" w:hanging="360"/>
      </w:pPr>
      <w:rPr>
        <w:rFonts w:ascii="Courier New" w:hAnsi="Courier New" w:cs="Courier New" w:hint="default"/>
      </w:rPr>
    </w:lvl>
    <w:lvl w:ilvl="1" w:tplc="FFFFFFFF">
      <w:start w:val="1"/>
      <w:numFmt w:val="bullet"/>
      <w:lvlText w:val="o"/>
      <w:lvlJc w:val="left"/>
      <w:pPr>
        <w:tabs>
          <w:tab w:val="num" w:pos="3150"/>
        </w:tabs>
        <w:ind w:left="3150" w:hanging="360"/>
      </w:pPr>
      <w:rPr>
        <w:rFonts w:ascii="Courier New" w:hAnsi="Courier New" w:cs="Courier New" w:hint="default"/>
      </w:rPr>
    </w:lvl>
    <w:lvl w:ilvl="2" w:tplc="FFFFFFFF" w:tentative="1">
      <w:start w:val="1"/>
      <w:numFmt w:val="bullet"/>
      <w:lvlText w:val=""/>
      <w:lvlJc w:val="left"/>
      <w:pPr>
        <w:tabs>
          <w:tab w:val="num" w:pos="3870"/>
        </w:tabs>
        <w:ind w:left="3870" w:hanging="360"/>
      </w:pPr>
      <w:rPr>
        <w:rFonts w:ascii="Wingdings" w:hAnsi="Wingdings" w:hint="default"/>
      </w:rPr>
    </w:lvl>
    <w:lvl w:ilvl="3" w:tplc="FFFFFFFF" w:tentative="1">
      <w:start w:val="1"/>
      <w:numFmt w:val="bullet"/>
      <w:lvlText w:val=""/>
      <w:lvlJc w:val="left"/>
      <w:pPr>
        <w:tabs>
          <w:tab w:val="num" w:pos="4590"/>
        </w:tabs>
        <w:ind w:left="4590" w:hanging="360"/>
      </w:pPr>
      <w:rPr>
        <w:rFonts w:ascii="Symbol" w:hAnsi="Symbol" w:hint="default"/>
      </w:rPr>
    </w:lvl>
    <w:lvl w:ilvl="4" w:tplc="FFFFFFFF" w:tentative="1">
      <w:start w:val="1"/>
      <w:numFmt w:val="bullet"/>
      <w:lvlText w:val="o"/>
      <w:lvlJc w:val="left"/>
      <w:pPr>
        <w:tabs>
          <w:tab w:val="num" w:pos="5310"/>
        </w:tabs>
        <w:ind w:left="5310" w:hanging="360"/>
      </w:pPr>
      <w:rPr>
        <w:rFonts w:ascii="Courier New" w:hAnsi="Courier New" w:cs="Courier New" w:hint="default"/>
      </w:rPr>
    </w:lvl>
    <w:lvl w:ilvl="5" w:tplc="FFFFFFFF" w:tentative="1">
      <w:start w:val="1"/>
      <w:numFmt w:val="bullet"/>
      <w:lvlText w:val=""/>
      <w:lvlJc w:val="left"/>
      <w:pPr>
        <w:tabs>
          <w:tab w:val="num" w:pos="6030"/>
        </w:tabs>
        <w:ind w:left="6030" w:hanging="360"/>
      </w:pPr>
      <w:rPr>
        <w:rFonts w:ascii="Wingdings" w:hAnsi="Wingdings" w:hint="default"/>
      </w:rPr>
    </w:lvl>
    <w:lvl w:ilvl="6" w:tplc="FFFFFFFF" w:tentative="1">
      <w:start w:val="1"/>
      <w:numFmt w:val="bullet"/>
      <w:lvlText w:val=""/>
      <w:lvlJc w:val="left"/>
      <w:pPr>
        <w:tabs>
          <w:tab w:val="num" w:pos="6750"/>
        </w:tabs>
        <w:ind w:left="6750" w:hanging="360"/>
      </w:pPr>
      <w:rPr>
        <w:rFonts w:ascii="Symbol" w:hAnsi="Symbol" w:hint="default"/>
      </w:rPr>
    </w:lvl>
    <w:lvl w:ilvl="7" w:tplc="FFFFFFFF" w:tentative="1">
      <w:start w:val="1"/>
      <w:numFmt w:val="bullet"/>
      <w:lvlText w:val="o"/>
      <w:lvlJc w:val="left"/>
      <w:pPr>
        <w:tabs>
          <w:tab w:val="num" w:pos="7470"/>
        </w:tabs>
        <w:ind w:left="7470" w:hanging="360"/>
      </w:pPr>
      <w:rPr>
        <w:rFonts w:ascii="Courier New" w:hAnsi="Courier New" w:cs="Courier New" w:hint="default"/>
      </w:rPr>
    </w:lvl>
    <w:lvl w:ilvl="8" w:tplc="FFFFFFFF" w:tentative="1">
      <w:start w:val="1"/>
      <w:numFmt w:val="bullet"/>
      <w:lvlText w:val=""/>
      <w:lvlJc w:val="left"/>
      <w:pPr>
        <w:tabs>
          <w:tab w:val="num" w:pos="8190"/>
        </w:tabs>
        <w:ind w:left="8190" w:hanging="360"/>
      </w:pPr>
      <w:rPr>
        <w:rFonts w:ascii="Wingdings" w:hAnsi="Wingdings" w:hint="default"/>
      </w:rPr>
    </w:lvl>
  </w:abstractNum>
  <w:abstractNum w:abstractNumId="103">
    <w:nsid w:val="5C840175"/>
    <w:multiLevelType w:val="hybridMultilevel"/>
    <w:tmpl w:val="456E05D6"/>
    <w:lvl w:ilvl="0" w:tplc="3748243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
      <w:lvlJc w:val="left"/>
      <w:pPr>
        <w:tabs>
          <w:tab w:val="num" w:pos="1440"/>
        </w:tabs>
        <w:ind w:left="1440" w:hanging="360"/>
      </w:pPr>
      <w:rPr>
        <w:rFonts w:ascii="Wingdings" w:hAnsi="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Wingdings" w:hAnsi="Wingdings" w:hint="default"/>
      </w:rPr>
    </w:lvl>
    <w:lvl w:ilvl="4" w:tplc="04090019" w:tentative="1">
      <w:start w:val="1"/>
      <w:numFmt w:val="bullet"/>
      <w:lvlText w:val=""/>
      <w:lvlJc w:val="left"/>
      <w:pPr>
        <w:tabs>
          <w:tab w:val="num" w:pos="3600"/>
        </w:tabs>
        <w:ind w:left="3600" w:hanging="360"/>
      </w:pPr>
      <w:rPr>
        <w:rFonts w:ascii="Wingdings" w:hAnsi="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Wingdings" w:hAnsi="Wingdings" w:hint="default"/>
      </w:rPr>
    </w:lvl>
    <w:lvl w:ilvl="7" w:tplc="04090019" w:tentative="1">
      <w:start w:val="1"/>
      <w:numFmt w:val="bullet"/>
      <w:lvlText w:val=""/>
      <w:lvlJc w:val="left"/>
      <w:pPr>
        <w:tabs>
          <w:tab w:val="num" w:pos="5760"/>
        </w:tabs>
        <w:ind w:left="5760" w:hanging="360"/>
      </w:pPr>
      <w:rPr>
        <w:rFonts w:ascii="Wingdings" w:hAnsi="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4">
    <w:nsid w:val="5CCB301E"/>
    <w:multiLevelType w:val="hybridMultilevel"/>
    <w:tmpl w:val="529A338E"/>
    <w:lvl w:ilvl="0" w:tplc="4B3821C2">
      <w:start w:val="1"/>
      <w:numFmt w:val="bullet"/>
      <w:lvlText w:val=""/>
      <w:lvlJc w:val="left"/>
      <w:pPr>
        <w:tabs>
          <w:tab w:val="num" w:pos="720"/>
        </w:tabs>
        <w:ind w:left="720" w:hanging="360"/>
      </w:pPr>
      <w:rPr>
        <w:rFonts w:ascii="Wingdings" w:hAnsi="Wingdings" w:hint="default"/>
      </w:rPr>
    </w:lvl>
    <w:lvl w:ilvl="1" w:tplc="555E6E40">
      <w:start w:val="167"/>
      <w:numFmt w:val="bullet"/>
      <w:lvlText w:val="»"/>
      <w:lvlJc w:val="left"/>
      <w:pPr>
        <w:tabs>
          <w:tab w:val="num" w:pos="1440"/>
        </w:tabs>
        <w:ind w:left="1440" w:hanging="360"/>
      </w:pPr>
      <w:rPr>
        <w:rFonts w:ascii="Verdana" w:hAnsi="Verdana" w:hint="default"/>
      </w:rPr>
    </w:lvl>
    <w:lvl w:ilvl="2" w:tplc="21728DC2">
      <w:start w:val="1"/>
      <w:numFmt w:val="bullet"/>
      <w:lvlText w:val="-"/>
      <w:lvlJc w:val="left"/>
      <w:pPr>
        <w:ind w:left="2160" w:hanging="360"/>
      </w:pPr>
      <w:rPr>
        <w:rFonts w:ascii="Arial" w:eastAsia="Times New Roman" w:hAnsi="Arial" w:cs="Arial" w:hint="default"/>
      </w:rPr>
    </w:lvl>
    <w:lvl w:ilvl="3" w:tplc="B99890C6" w:tentative="1">
      <w:start w:val="1"/>
      <w:numFmt w:val="bullet"/>
      <w:lvlText w:val=""/>
      <w:lvlJc w:val="left"/>
      <w:pPr>
        <w:tabs>
          <w:tab w:val="num" w:pos="2880"/>
        </w:tabs>
        <w:ind w:left="2880" w:hanging="360"/>
      </w:pPr>
      <w:rPr>
        <w:rFonts w:ascii="Wingdings" w:hAnsi="Wingdings" w:hint="default"/>
      </w:rPr>
    </w:lvl>
    <w:lvl w:ilvl="4" w:tplc="60306776" w:tentative="1">
      <w:start w:val="1"/>
      <w:numFmt w:val="bullet"/>
      <w:lvlText w:val=""/>
      <w:lvlJc w:val="left"/>
      <w:pPr>
        <w:tabs>
          <w:tab w:val="num" w:pos="3600"/>
        </w:tabs>
        <w:ind w:left="3600" w:hanging="360"/>
      </w:pPr>
      <w:rPr>
        <w:rFonts w:ascii="Wingdings" w:hAnsi="Wingdings" w:hint="default"/>
      </w:rPr>
    </w:lvl>
    <w:lvl w:ilvl="5" w:tplc="99F27AF0" w:tentative="1">
      <w:start w:val="1"/>
      <w:numFmt w:val="bullet"/>
      <w:lvlText w:val=""/>
      <w:lvlJc w:val="left"/>
      <w:pPr>
        <w:tabs>
          <w:tab w:val="num" w:pos="4320"/>
        </w:tabs>
        <w:ind w:left="4320" w:hanging="360"/>
      </w:pPr>
      <w:rPr>
        <w:rFonts w:ascii="Wingdings" w:hAnsi="Wingdings" w:hint="default"/>
      </w:rPr>
    </w:lvl>
    <w:lvl w:ilvl="6" w:tplc="B7B4FC88" w:tentative="1">
      <w:start w:val="1"/>
      <w:numFmt w:val="bullet"/>
      <w:lvlText w:val=""/>
      <w:lvlJc w:val="left"/>
      <w:pPr>
        <w:tabs>
          <w:tab w:val="num" w:pos="5040"/>
        </w:tabs>
        <w:ind w:left="5040" w:hanging="360"/>
      </w:pPr>
      <w:rPr>
        <w:rFonts w:ascii="Wingdings" w:hAnsi="Wingdings" w:hint="default"/>
      </w:rPr>
    </w:lvl>
    <w:lvl w:ilvl="7" w:tplc="784803F6" w:tentative="1">
      <w:start w:val="1"/>
      <w:numFmt w:val="bullet"/>
      <w:lvlText w:val=""/>
      <w:lvlJc w:val="left"/>
      <w:pPr>
        <w:tabs>
          <w:tab w:val="num" w:pos="5760"/>
        </w:tabs>
        <w:ind w:left="5760" w:hanging="360"/>
      </w:pPr>
      <w:rPr>
        <w:rFonts w:ascii="Wingdings" w:hAnsi="Wingdings" w:hint="default"/>
      </w:rPr>
    </w:lvl>
    <w:lvl w:ilvl="8" w:tplc="70ACD008" w:tentative="1">
      <w:start w:val="1"/>
      <w:numFmt w:val="bullet"/>
      <w:lvlText w:val=""/>
      <w:lvlJc w:val="left"/>
      <w:pPr>
        <w:tabs>
          <w:tab w:val="num" w:pos="6480"/>
        </w:tabs>
        <w:ind w:left="6480" w:hanging="360"/>
      </w:pPr>
      <w:rPr>
        <w:rFonts w:ascii="Wingdings" w:hAnsi="Wingdings" w:hint="default"/>
      </w:rPr>
    </w:lvl>
  </w:abstractNum>
  <w:abstractNum w:abstractNumId="105">
    <w:nsid w:val="5D304231"/>
    <w:multiLevelType w:val="hybridMultilevel"/>
    <w:tmpl w:val="45181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E140232"/>
    <w:multiLevelType w:val="hybridMultilevel"/>
    <w:tmpl w:val="C8422706"/>
    <w:lvl w:ilvl="0" w:tplc="04090003">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nsid w:val="5E2B635A"/>
    <w:multiLevelType w:val="hybridMultilevel"/>
    <w:tmpl w:val="A0185DC4"/>
    <w:lvl w:ilvl="0" w:tplc="4BB83586">
      <w:start w:val="1"/>
      <w:numFmt w:val="bullet"/>
      <w:lvlText w:val=""/>
      <w:lvlJc w:val="left"/>
      <w:pPr>
        <w:tabs>
          <w:tab w:val="num" w:pos="360"/>
        </w:tabs>
        <w:ind w:left="360" w:hanging="360"/>
      </w:pPr>
      <w:rPr>
        <w:rFonts w:ascii="Symbol" w:hAnsi="Symbol" w:hint="default"/>
      </w:rPr>
    </w:lvl>
    <w:lvl w:ilvl="1" w:tplc="AD32D2A6" w:tentative="1">
      <w:start w:val="1"/>
      <w:numFmt w:val="bullet"/>
      <w:lvlText w:val="o"/>
      <w:lvlJc w:val="left"/>
      <w:pPr>
        <w:tabs>
          <w:tab w:val="num" w:pos="1080"/>
        </w:tabs>
        <w:ind w:left="1080" w:hanging="360"/>
      </w:pPr>
      <w:rPr>
        <w:rFonts w:ascii="Courier New" w:hAnsi="Courier New" w:cs="Courier New" w:hint="default"/>
      </w:rPr>
    </w:lvl>
    <w:lvl w:ilvl="2" w:tplc="449476B8" w:tentative="1">
      <w:start w:val="1"/>
      <w:numFmt w:val="bullet"/>
      <w:lvlText w:val=""/>
      <w:lvlJc w:val="left"/>
      <w:pPr>
        <w:tabs>
          <w:tab w:val="num" w:pos="1800"/>
        </w:tabs>
        <w:ind w:left="1800" w:hanging="360"/>
      </w:pPr>
      <w:rPr>
        <w:rFonts w:ascii="Wingdings" w:hAnsi="Wingdings" w:hint="default"/>
      </w:rPr>
    </w:lvl>
    <w:lvl w:ilvl="3" w:tplc="6E5AEFDA" w:tentative="1">
      <w:start w:val="1"/>
      <w:numFmt w:val="bullet"/>
      <w:lvlText w:val=""/>
      <w:lvlJc w:val="left"/>
      <w:pPr>
        <w:tabs>
          <w:tab w:val="num" w:pos="2520"/>
        </w:tabs>
        <w:ind w:left="2520" w:hanging="360"/>
      </w:pPr>
      <w:rPr>
        <w:rFonts w:ascii="Symbol" w:hAnsi="Symbol" w:hint="default"/>
      </w:rPr>
    </w:lvl>
    <w:lvl w:ilvl="4" w:tplc="1FBCF388" w:tentative="1">
      <w:start w:val="1"/>
      <w:numFmt w:val="bullet"/>
      <w:lvlText w:val="o"/>
      <w:lvlJc w:val="left"/>
      <w:pPr>
        <w:tabs>
          <w:tab w:val="num" w:pos="3240"/>
        </w:tabs>
        <w:ind w:left="3240" w:hanging="360"/>
      </w:pPr>
      <w:rPr>
        <w:rFonts w:ascii="Courier New" w:hAnsi="Courier New" w:cs="Courier New" w:hint="default"/>
      </w:rPr>
    </w:lvl>
    <w:lvl w:ilvl="5" w:tplc="4580CB46" w:tentative="1">
      <w:start w:val="1"/>
      <w:numFmt w:val="bullet"/>
      <w:lvlText w:val=""/>
      <w:lvlJc w:val="left"/>
      <w:pPr>
        <w:tabs>
          <w:tab w:val="num" w:pos="3960"/>
        </w:tabs>
        <w:ind w:left="3960" w:hanging="360"/>
      </w:pPr>
      <w:rPr>
        <w:rFonts w:ascii="Wingdings" w:hAnsi="Wingdings" w:hint="default"/>
      </w:rPr>
    </w:lvl>
    <w:lvl w:ilvl="6" w:tplc="C0622034" w:tentative="1">
      <w:start w:val="1"/>
      <w:numFmt w:val="bullet"/>
      <w:lvlText w:val=""/>
      <w:lvlJc w:val="left"/>
      <w:pPr>
        <w:tabs>
          <w:tab w:val="num" w:pos="4680"/>
        </w:tabs>
        <w:ind w:left="4680" w:hanging="360"/>
      </w:pPr>
      <w:rPr>
        <w:rFonts w:ascii="Symbol" w:hAnsi="Symbol" w:hint="default"/>
      </w:rPr>
    </w:lvl>
    <w:lvl w:ilvl="7" w:tplc="E9027EFE" w:tentative="1">
      <w:start w:val="1"/>
      <w:numFmt w:val="bullet"/>
      <w:lvlText w:val="o"/>
      <w:lvlJc w:val="left"/>
      <w:pPr>
        <w:tabs>
          <w:tab w:val="num" w:pos="5400"/>
        </w:tabs>
        <w:ind w:left="5400" w:hanging="360"/>
      </w:pPr>
      <w:rPr>
        <w:rFonts w:ascii="Courier New" w:hAnsi="Courier New" w:cs="Courier New" w:hint="default"/>
      </w:rPr>
    </w:lvl>
    <w:lvl w:ilvl="8" w:tplc="49EA0968" w:tentative="1">
      <w:start w:val="1"/>
      <w:numFmt w:val="bullet"/>
      <w:lvlText w:val=""/>
      <w:lvlJc w:val="left"/>
      <w:pPr>
        <w:tabs>
          <w:tab w:val="num" w:pos="6120"/>
        </w:tabs>
        <w:ind w:left="6120" w:hanging="360"/>
      </w:pPr>
      <w:rPr>
        <w:rFonts w:ascii="Wingdings" w:hAnsi="Wingdings" w:hint="default"/>
      </w:rPr>
    </w:lvl>
  </w:abstractNum>
  <w:abstractNum w:abstractNumId="108">
    <w:nsid w:val="5E8D0E32"/>
    <w:multiLevelType w:val="hybridMultilevel"/>
    <w:tmpl w:val="9482B3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5ED26DEA"/>
    <w:multiLevelType w:val="hybridMultilevel"/>
    <w:tmpl w:val="01B49AEA"/>
    <w:lvl w:ilvl="0" w:tplc="0409000F">
      <w:start w:val="1"/>
      <w:numFmt w:val="bullet"/>
      <w:lvlText w:val=""/>
      <w:lvlJc w:val="left"/>
      <w:pPr>
        <w:ind w:left="720" w:hanging="360"/>
      </w:pPr>
      <w:rPr>
        <w:rFonts w:ascii="Wingdings" w:hAnsi="Wingdings"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10">
    <w:nsid w:val="5F2854E4"/>
    <w:multiLevelType w:val="hybridMultilevel"/>
    <w:tmpl w:val="E1E47E6A"/>
    <w:lvl w:ilvl="0" w:tplc="0409000B">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1">
    <w:nsid w:val="5F89512B"/>
    <w:multiLevelType w:val="hybridMultilevel"/>
    <w:tmpl w:val="3360671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2">
    <w:nsid w:val="61B2231B"/>
    <w:multiLevelType w:val="hybridMultilevel"/>
    <w:tmpl w:val="113A5CB8"/>
    <w:lvl w:ilvl="0" w:tplc="04090001">
      <w:start w:val="1"/>
      <w:numFmt w:val="lowerRoman"/>
      <w:lvlText w:val="%1."/>
      <w:lvlJc w:val="right"/>
      <w:pPr>
        <w:tabs>
          <w:tab w:val="num" w:pos="720"/>
        </w:tabs>
        <w:ind w:left="720" w:hanging="360"/>
      </w:pPr>
    </w:lvl>
    <w:lvl w:ilvl="1" w:tplc="4ECE8EC6" w:tentative="1">
      <w:start w:val="1"/>
      <w:numFmt w:val="lowerLetter"/>
      <w:lvlText w:val="%2."/>
      <w:lvlJc w:val="left"/>
      <w:pPr>
        <w:tabs>
          <w:tab w:val="num" w:pos="1440"/>
        </w:tabs>
        <w:ind w:left="1440" w:hanging="360"/>
      </w:pPr>
    </w:lvl>
    <w:lvl w:ilvl="2" w:tplc="BE266C18" w:tentative="1">
      <w:start w:val="1"/>
      <w:numFmt w:val="lowerRoman"/>
      <w:lvlText w:val="%3."/>
      <w:lvlJc w:val="right"/>
      <w:pPr>
        <w:tabs>
          <w:tab w:val="num" w:pos="2160"/>
        </w:tabs>
        <w:ind w:left="2160" w:hanging="180"/>
      </w:pPr>
    </w:lvl>
    <w:lvl w:ilvl="3" w:tplc="71B6B140" w:tentative="1">
      <w:start w:val="1"/>
      <w:numFmt w:val="decimal"/>
      <w:lvlText w:val="%4."/>
      <w:lvlJc w:val="left"/>
      <w:pPr>
        <w:tabs>
          <w:tab w:val="num" w:pos="2880"/>
        </w:tabs>
        <w:ind w:left="2880" w:hanging="360"/>
      </w:pPr>
    </w:lvl>
    <w:lvl w:ilvl="4" w:tplc="8BCEF87A" w:tentative="1">
      <w:start w:val="1"/>
      <w:numFmt w:val="lowerLetter"/>
      <w:lvlText w:val="%5."/>
      <w:lvlJc w:val="left"/>
      <w:pPr>
        <w:tabs>
          <w:tab w:val="num" w:pos="3600"/>
        </w:tabs>
        <w:ind w:left="3600" w:hanging="360"/>
      </w:pPr>
    </w:lvl>
    <w:lvl w:ilvl="5" w:tplc="FBD83674" w:tentative="1">
      <w:start w:val="1"/>
      <w:numFmt w:val="lowerRoman"/>
      <w:lvlText w:val="%6."/>
      <w:lvlJc w:val="right"/>
      <w:pPr>
        <w:tabs>
          <w:tab w:val="num" w:pos="4320"/>
        </w:tabs>
        <w:ind w:left="4320" w:hanging="180"/>
      </w:pPr>
    </w:lvl>
    <w:lvl w:ilvl="6" w:tplc="724C5080" w:tentative="1">
      <w:start w:val="1"/>
      <w:numFmt w:val="decimal"/>
      <w:lvlText w:val="%7."/>
      <w:lvlJc w:val="left"/>
      <w:pPr>
        <w:tabs>
          <w:tab w:val="num" w:pos="5040"/>
        </w:tabs>
        <w:ind w:left="5040" w:hanging="360"/>
      </w:pPr>
    </w:lvl>
    <w:lvl w:ilvl="7" w:tplc="CD8ACADE" w:tentative="1">
      <w:start w:val="1"/>
      <w:numFmt w:val="lowerLetter"/>
      <w:lvlText w:val="%8."/>
      <w:lvlJc w:val="left"/>
      <w:pPr>
        <w:tabs>
          <w:tab w:val="num" w:pos="5760"/>
        </w:tabs>
        <w:ind w:left="5760" w:hanging="360"/>
      </w:pPr>
    </w:lvl>
    <w:lvl w:ilvl="8" w:tplc="363058AA" w:tentative="1">
      <w:start w:val="1"/>
      <w:numFmt w:val="lowerRoman"/>
      <w:lvlText w:val="%9."/>
      <w:lvlJc w:val="right"/>
      <w:pPr>
        <w:tabs>
          <w:tab w:val="num" w:pos="6480"/>
        </w:tabs>
        <w:ind w:left="6480" w:hanging="180"/>
      </w:pPr>
    </w:lvl>
  </w:abstractNum>
  <w:abstractNum w:abstractNumId="113">
    <w:nsid w:val="66505E1F"/>
    <w:multiLevelType w:val="hybridMultilevel"/>
    <w:tmpl w:val="05B4310C"/>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67CB2CCC"/>
    <w:multiLevelType w:val="hybridMultilevel"/>
    <w:tmpl w:val="49BC1F1A"/>
    <w:lvl w:ilvl="0" w:tplc="0409001B">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rPr>
        <w:rFonts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15">
    <w:nsid w:val="684E42CD"/>
    <w:multiLevelType w:val="hybridMultilevel"/>
    <w:tmpl w:val="FA9AA898"/>
    <w:lvl w:ilvl="0" w:tplc="04090001">
      <w:start w:val="1"/>
      <w:numFmt w:val="bullet"/>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nsid w:val="685558B5"/>
    <w:multiLevelType w:val="hybridMultilevel"/>
    <w:tmpl w:val="9B26AF14"/>
    <w:lvl w:ilvl="0" w:tplc="04090001">
      <w:start w:val="1"/>
      <w:numFmt w:val="lowerRoman"/>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17">
    <w:nsid w:val="68596C84"/>
    <w:multiLevelType w:val="hybridMultilevel"/>
    <w:tmpl w:val="1A8E2576"/>
    <w:lvl w:ilvl="0" w:tplc="0409001B">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69B173D4"/>
    <w:multiLevelType w:val="hybridMultilevel"/>
    <w:tmpl w:val="A106F4E8"/>
    <w:lvl w:ilvl="0" w:tplc="0409000F">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9">
    <w:nsid w:val="6A934742"/>
    <w:multiLevelType w:val="hybridMultilevel"/>
    <w:tmpl w:val="07B8687A"/>
    <w:lvl w:ilvl="0" w:tplc="FFFFFFFF">
      <w:start w:val="1"/>
      <w:numFmt w:val="bullet"/>
      <w:lvlText w:val=""/>
      <w:lvlJc w:val="left"/>
      <w:pPr>
        <w:tabs>
          <w:tab w:val="num" w:pos="1080"/>
        </w:tabs>
        <w:ind w:left="1080" w:hanging="360"/>
      </w:pPr>
      <w:rPr>
        <w:rFonts w:ascii="Symbol" w:hAnsi="Symbol" w:hint="default"/>
        <w:sz w:val="18"/>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nsid w:val="6BA14A99"/>
    <w:multiLevelType w:val="hybridMultilevel"/>
    <w:tmpl w:val="F29AB096"/>
    <w:lvl w:ilvl="0" w:tplc="0409000D">
      <w:start w:val="1"/>
      <w:numFmt w:val="bullet"/>
      <w:lvlText w:val=""/>
      <w:lvlJc w:val="left"/>
      <w:pPr>
        <w:tabs>
          <w:tab w:val="num" w:pos="1620"/>
        </w:tabs>
        <w:ind w:left="1620" w:hanging="360"/>
      </w:pPr>
      <w:rPr>
        <w:rFonts w:ascii="Symbol" w:hAnsi="Symbol" w:hint="default"/>
        <w:sz w:val="20"/>
      </w:rPr>
    </w:lvl>
    <w:lvl w:ilvl="1" w:tplc="04090003">
      <w:start w:val="1"/>
      <w:numFmt w:val="bullet"/>
      <w:lvlText w:val=""/>
      <w:lvlJc w:val="left"/>
      <w:pPr>
        <w:tabs>
          <w:tab w:val="num" w:pos="1944"/>
        </w:tabs>
        <w:ind w:left="1944" w:hanging="360"/>
      </w:pPr>
      <w:rPr>
        <w:rFonts w:ascii="Symbol" w:hAnsi="Symbol" w:hint="default"/>
        <w:sz w:val="20"/>
      </w:rPr>
    </w:lvl>
    <w:lvl w:ilvl="2" w:tplc="04090005">
      <w:start w:val="1"/>
      <w:numFmt w:val="bullet"/>
      <w:lvlText w:val=""/>
      <w:lvlJc w:val="left"/>
      <w:pPr>
        <w:tabs>
          <w:tab w:val="num" w:pos="2664"/>
        </w:tabs>
        <w:ind w:left="2664" w:hanging="360"/>
      </w:pPr>
      <w:rPr>
        <w:rFonts w:ascii="Wingdings" w:hAnsi="Wingdings" w:hint="default"/>
      </w:rPr>
    </w:lvl>
    <w:lvl w:ilvl="3" w:tplc="0409000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121">
    <w:nsid w:val="6BD35ADE"/>
    <w:multiLevelType w:val="hybridMultilevel"/>
    <w:tmpl w:val="7658AAC0"/>
    <w:lvl w:ilvl="0" w:tplc="FFFFFFFF">
      <w:start w:val="1"/>
      <w:numFmt w:val="decimal"/>
      <w:lvlText w:val="%1."/>
      <w:lvlJc w:val="left"/>
      <w:pPr>
        <w:tabs>
          <w:tab w:val="num" w:pos="2160"/>
        </w:tabs>
        <w:ind w:left="2160" w:hanging="360"/>
      </w:pPr>
    </w:lvl>
    <w:lvl w:ilvl="1" w:tplc="04090003" w:tentative="1">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122">
    <w:nsid w:val="6BFA30E7"/>
    <w:multiLevelType w:val="hybridMultilevel"/>
    <w:tmpl w:val="B4885BC2"/>
    <w:lvl w:ilvl="0" w:tplc="2D02FA7C">
      <w:start w:val="1"/>
      <w:numFmt w:val="lowerRoman"/>
      <w:lvlText w:val="%1."/>
      <w:lvlJc w:val="right"/>
      <w:pPr>
        <w:tabs>
          <w:tab w:val="num" w:pos="720"/>
        </w:tabs>
        <w:ind w:left="720" w:hanging="360"/>
      </w:pPr>
    </w:lvl>
    <w:lvl w:ilvl="1" w:tplc="317835FC" w:tentative="1">
      <w:start w:val="1"/>
      <w:numFmt w:val="lowerLetter"/>
      <w:lvlText w:val="%2."/>
      <w:lvlJc w:val="left"/>
      <w:pPr>
        <w:tabs>
          <w:tab w:val="num" w:pos="1440"/>
        </w:tabs>
        <w:ind w:left="1440" w:hanging="360"/>
      </w:pPr>
    </w:lvl>
    <w:lvl w:ilvl="2" w:tplc="4BC2A320" w:tentative="1">
      <w:start w:val="1"/>
      <w:numFmt w:val="lowerRoman"/>
      <w:lvlText w:val="%3."/>
      <w:lvlJc w:val="right"/>
      <w:pPr>
        <w:tabs>
          <w:tab w:val="num" w:pos="2160"/>
        </w:tabs>
        <w:ind w:left="2160" w:hanging="180"/>
      </w:pPr>
    </w:lvl>
    <w:lvl w:ilvl="3" w:tplc="6D88956C" w:tentative="1">
      <w:start w:val="1"/>
      <w:numFmt w:val="decimal"/>
      <w:lvlText w:val="%4."/>
      <w:lvlJc w:val="left"/>
      <w:pPr>
        <w:tabs>
          <w:tab w:val="num" w:pos="2880"/>
        </w:tabs>
        <w:ind w:left="2880" w:hanging="360"/>
      </w:pPr>
    </w:lvl>
    <w:lvl w:ilvl="4" w:tplc="BD365288" w:tentative="1">
      <w:start w:val="1"/>
      <w:numFmt w:val="lowerLetter"/>
      <w:lvlText w:val="%5."/>
      <w:lvlJc w:val="left"/>
      <w:pPr>
        <w:tabs>
          <w:tab w:val="num" w:pos="3600"/>
        </w:tabs>
        <w:ind w:left="3600" w:hanging="360"/>
      </w:pPr>
    </w:lvl>
    <w:lvl w:ilvl="5" w:tplc="C3CC25D4" w:tentative="1">
      <w:start w:val="1"/>
      <w:numFmt w:val="lowerRoman"/>
      <w:lvlText w:val="%6."/>
      <w:lvlJc w:val="right"/>
      <w:pPr>
        <w:tabs>
          <w:tab w:val="num" w:pos="4320"/>
        </w:tabs>
        <w:ind w:left="4320" w:hanging="180"/>
      </w:pPr>
    </w:lvl>
    <w:lvl w:ilvl="6" w:tplc="A2C6F62C" w:tentative="1">
      <w:start w:val="1"/>
      <w:numFmt w:val="decimal"/>
      <w:lvlText w:val="%7."/>
      <w:lvlJc w:val="left"/>
      <w:pPr>
        <w:tabs>
          <w:tab w:val="num" w:pos="5040"/>
        </w:tabs>
        <w:ind w:left="5040" w:hanging="360"/>
      </w:pPr>
    </w:lvl>
    <w:lvl w:ilvl="7" w:tplc="BB4851CA" w:tentative="1">
      <w:start w:val="1"/>
      <w:numFmt w:val="lowerLetter"/>
      <w:lvlText w:val="%8."/>
      <w:lvlJc w:val="left"/>
      <w:pPr>
        <w:tabs>
          <w:tab w:val="num" w:pos="5760"/>
        </w:tabs>
        <w:ind w:left="5760" w:hanging="360"/>
      </w:pPr>
    </w:lvl>
    <w:lvl w:ilvl="8" w:tplc="35709662" w:tentative="1">
      <w:start w:val="1"/>
      <w:numFmt w:val="lowerRoman"/>
      <w:lvlText w:val="%9."/>
      <w:lvlJc w:val="right"/>
      <w:pPr>
        <w:tabs>
          <w:tab w:val="num" w:pos="6480"/>
        </w:tabs>
        <w:ind w:left="6480" w:hanging="180"/>
      </w:pPr>
    </w:lvl>
  </w:abstractNum>
  <w:abstractNum w:abstractNumId="123">
    <w:nsid w:val="6CB41355"/>
    <w:multiLevelType w:val="hybridMultilevel"/>
    <w:tmpl w:val="CDEA32B4"/>
    <w:lvl w:ilvl="0" w:tplc="0409001B">
      <w:start w:val="1"/>
      <w:numFmt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24">
    <w:nsid w:val="6CE550E4"/>
    <w:multiLevelType w:val="hybridMultilevel"/>
    <w:tmpl w:val="058C2930"/>
    <w:lvl w:ilvl="0" w:tplc="8E5E2170">
      <w:start w:val="1"/>
      <w:numFmt w:val="bullet"/>
      <w:lvlText w:val=""/>
      <w:lvlJc w:val="left"/>
      <w:pPr>
        <w:tabs>
          <w:tab w:val="num" w:pos="720"/>
        </w:tabs>
        <w:ind w:left="720" w:hanging="360"/>
      </w:pPr>
      <w:rPr>
        <w:rFonts w:ascii="Wingdings" w:hAnsi="Wingdings" w:hint="default"/>
      </w:rPr>
    </w:lvl>
    <w:lvl w:ilvl="1" w:tplc="37344CA2" w:tentative="1">
      <w:start w:val="1"/>
      <w:numFmt w:val="bullet"/>
      <w:lvlText w:val="o"/>
      <w:lvlJc w:val="left"/>
      <w:pPr>
        <w:tabs>
          <w:tab w:val="num" w:pos="1440"/>
        </w:tabs>
        <w:ind w:left="1440" w:hanging="360"/>
      </w:pPr>
      <w:rPr>
        <w:rFonts w:ascii="Courier New" w:hAnsi="Courier New" w:cs="Courier New" w:hint="default"/>
      </w:rPr>
    </w:lvl>
    <w:lvl w:ilvl="2" w:tplc="3424B13C" w:tentative="1">
      <w:start w:val="1"/>
      <w:numFmt w:val="bullet"/>
      <w:lvlText w:val=""/>
      <w:lvlJc w:val="left"/>
      <w:pPr>
        <w:tabs>
          <w:tab w:val="num" w:pos="2160"/>
        </w:tabs>
        <w:ind w:left="2160" w:hanging="360"/>
      </w:pPr>
      <w:rPr>
        <w:rFonts w:ascii="Wingdings" w:hAnsi="Wingdings" w:hint="default"/>
      </w:rPr>
    </w:lvl>
    <w:lvl w:ilvl="3" w:tplc="F5BCE28C" w:tentative="1">
      <w:start w:val="1"/>
      <w:numFmt w:val="bullet"/>
      <w:lvlText w:val=""/>
      <w:lvlJc w:val="left"/>
      <w:pPr>
        <w:tabs>
          <w:tab w:val="num" w:pos="2880"/>
        </w:tabs>
        <w:ind w:left="2880" w:hanging="360"/>
      </w:pPr>
      <w:rPr>
        <w:rFonts w:ascii="Symbol" w:hAnsi="Symbol" w:hint="default"/>
      </w:rPr>
    </w:lvl>
    <w:lvl w:ilvl="4" w:tplc="D0A49F3E" w:tentative="1">
      <w:start w:val="1"/>
      <w:numFmt w:val="bullet"/>
      <w:lvlText w:val="o"/>
      <w:lvlJc w:val="left"/>
      <w:pPr>
        <w:tabs>
          <w:tab w:val="num" w:pos="3600"/>
        </w:tabs>
        <w:ind w:left="3600" w:hanging="360"/>
      </w:pPr>
      <w:rPr>
        <w:rFonts w:ascii="Courier New" w:hAnsi="Courier New" w:cs="Courier New" w:hint="default"/>
      </w:rPr>
    </w:lvl>
    <w:lvl w:ilvl="5" w:tplc="B9F20A38" w:tentative="1">
      <w:start w:val="1"/>
      <w:numFmt w:val="bullet"/>
      <w:lvlText w:val=""/>
      <w:lvlJc w:val="left"/>
      <w:pPr>
        <w:tabs>
          <w:tab w:val="num" w:pos="4320"/>
        </w:tabs>
        <w:ind w:left="4320" w:hanging="360"/>
      </w:pPr>
      <w:rPr>
        <w:rFonts w:ascii="Wingdings" w:hAnsi="Wingdings" w:hint="default"/>
      </w:rPr>
    </w:lvl>
    <w:lvl w:ilvl="6" w:tplc="61D0D86A" w:tentative="1">
      <w:start w:val="1"/>
      <w:numFmt w:val="bullet"/>
      <w:lvlText w:val=""/>
      <w:lvlJc w:val="left"/>
      <w:pPr>
        <w:tabs>
          <w:tab w:val="num" w:pos="5040"/>
        </w:tabs>
        <w:ind w:left="5040" w:hanging="360"/>
      </w:pPr>
      <w:rPr>
        <w:rFonts w:ascii="Symbol" w:hAnsi="Symbol" w:hint="default"/>
      </w:rPr>
    </w:lvl>
    <w:lvl w:ilvl="7" w:tplc="171878D8" w:tentative="1">
      <w:start w:val="1"/>
      <w:numFmt w:val="bullet"/>
      <w:lvlText w:val="o"/>
      <w:lvlJc w:val="left"/>
      <w:pPr>
        <w:tabs>
          <w:tab w:val="num" w:pos="5760"/>
        </w:tabs>
        <w:ind w:left="5760" w:hanging="360"/>
      </w:pPr>
      <w:rPr>
        <w:rFonts w:ascii="Courier New" w:hAnsi="Courier New" w:cs="Courier New" w:hint="default"/>
      </w:rPr>
    </w:lvl>
    <w:lvl w:ilvl="8" w:tplc="86E43FE8" w:tentative="1">
      <w:start w:val="1"/>
      <w:numFmt w:val="bullet"/>
      <w:lvlText w:val=""/>
      <w:lvlJc w:val="left"/>
      <w:pPr>
        <w:tabs>
          <w:tab w:val="num" w:pos="6480"/>
        </w:tabs>
        <w:ind w:left="6480" w:hanging="360"/>
      </w:pPr>
      <w:rPr>
        <w:rFonts w:ascii="Wingdings" w:hAnsi="Wingdings" w:hint="default"/>
      </w:rPr>
    </w:lvl>
  </w:abstractNum>
  <w:abstractNum w:abstractNumId="125">
    <w:nsid w:val="6D5C2D79"/>
    <w:multiLevelType w:val="hybridMultilevel"/>
    <w:tmpl w:val="5882DC66"/>
    <w:lvl w:ilvl="0" w:tplc="04090001">
      <w:start w:val="1"/>
      <w:numFmt w:val="decimal"/>
      <w:lvlText w:val="%1."/>
      <w:lvlJc w:val="left"/>
      <w:pPr>
        <w:ind w:left="75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6">
    <w:nsid w:val="6EE05AE2"/>
    <w:multiLevelType w:val="hybridMultilevel"/>
    <w:tmpl w:val="B9881508"/>
    <w:lvl w:ilvl="0" w:tplc="0409000F">
      <w:start w:val="1"/>
      <w:numFmt w:val="bullet"/>
      <w:lvlText w:val=""/>
      <w:lvlJc w:val="left"/>
      <w:pPr>
        <w:ind w:left="720" w:hanging="360"/>
      </w:pPr>
      <w:rPr>
        <w:rFonts w:ascii="Wingdings" w:hAnsi="Wingdings" w:hint="default"/>
      </w:rPr>
    </w:lvl>
    <w:lvl w:ilvl="1" w:tplc="04090019">
      <w:start w:val="1"/>
      <w:numFmt w:val="bullet"/>
      <w:lvlText w:val=""/>
      <w:lvlJc w:val="left"/>
      <w:pPr>
        <w:ind w:left="1440" w:hanging="360"/>
      </w:pPr>
      <w:rPr>
        <w:rFonts w:ascii="Wingdings" w:hAnsi="Wingdings" w:hint="default"/>
        <w:sz w:val="16"/>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27">
    <w:nsid w:val="73A2562E"/>
    <w:multiLevelType w:val="hybridMultilevel"/>
    <w:tmpl w:val="E38E722E"/>
    <w:lvl w:ilvl="0" w:tplc="0409000B">
      <w:start w:val="1"/>
      <w:numFmt w:val="lowerRoman"/>
      <w:lvlText w:val="%1."/>
      <w:lvlJc w:val="right"/>
      <w:pPr>
        <w:tabs>
          <w:tab w:val="num" w:pos="720"/>
        </w:tabs>
        <w:ind w:left="720" w:hanging="360"/>
      </w:pPr>
    </w:lvl>
    <w:lvl w:ilvl="1" w:tplc="896C666E"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28">
    <w:nsid w:val="749C654A"/>
    <w:multiLevelType w:val="hybridMultilevel"/>
    <w:tmpl w:val="1F7898EA"/>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nsid w:val="762B2D50"/>
    <w:multiLevelType w:val="multilevel"/>
    <w:tmpl w:val="21FE8294"/>
    <w:lvl w:ilvl="0">
      <w:start w:val="1"/>
      <w:numFmt w:val="bullet"/>
      <w:lvlText w:val=""/>
      <w:lvlJc w:val="left"/>
      <w:pPr>
        <w:tabs>
          <w:tab w:val="num" w:pos="1296"/>
        </w:tabs>
        <w:ind w:left="1296" w:hanging="360"/>
      </w:pPr>
      <w:rPr>
        <w:rFonts w:ascii="Symbol" w:hAnsi="Symbol" w:hint="default"/>
        <w:sz w:val="20"/>
      </w:rPr>
    </w:lvl>
    <w:lvl w:ilvl="1" w:tentative="1">
      <w:start w:val="1"/>
      <w:numFmt w:val="bullet"/>
      <w:lvlText w:val="o"/>
      <w:lvlJc w:val="left"/>
      <w:pPr>
        <w:tabs>
          <w:tab w:val="num" w:pos="2016"/>
        </w:tabs>
        <w:ind w:left="2016" w:hanging="360"/>
      </w:pPr>
      <w:rPr>
        <w:rFonts w:ascii="Courier New" w:hAnsi="Courier New" w:hint="default"/>
        <w:sz w:val="20"/>
      </w:rPr>
    </w:lvl>
    <w:lvl w:ilvl="2" w:tentative="1">
      <w:start w:val="1"/>
      <w:numFmt w:val="bullet"/>
      <w:lvlText w:val=""/>
      <w:lvlJc w:val="left"/>
      <w:pPr>
        <w:tabs>
          <w:tab w:val="num" w:pos="2736"/>
        </w:tabs>
        <w:ind w:left="2736" w:hanging="360"/>
      </w:pPr>
      <w:rPr>
        <w:rFonts w:ascii="Wingdings" w:hAnsi="Wingdings" w:hint="default"/>
        <w:sz w:val="20"/>
      </w:rPr>
    </w:lvl>
    <w:lvl w:ilvl="3" w:tentative="1">
      <w:start w:val="1"/>
      <w:numFmt w:val="bullet"/>
      <w:lvlText w:val=""/>
      <w:lvlJc w:val="left"/>
      <w:pPr>
        <w:tabs>
          <w:tab w:val="num" w:pos="3456"/>
        </w:tabs>
        <w:ind w:left="3456" w:hanging="360"/>
      </w:pPr>
      <w:rPr>
        <w:rFonts w:ascii="Wingdings" w:hAnsi="Wingdings" w:hint="default"/>
        <w:sz w:val="20"/>
      </w:rPr>
    </w:lvl>
    <w:lvl w:ilvl="4" w:tentative="1">
      <w:start w:val="1"/>
      <w:numFmt w:val="bullet"/>
      <w:lvlText w:val=""/>
      <w:lvlJc w:val="left"/>
      <w:pPr>
        <w:tabs>
          <w:tab w:val="num" w:pos="4176"/>
        </w:tabs>
        <w:ind w:left="4176" w:hanging="360"/>
      </w:pPr>
      <w:rPr>
        <w:rFonts w:ascii="Wingdings" w:hAnsi="Wingdings" w:hint="default"/>
        <w:sz w:val="20"/>
      </w:rPr>
    </w:lvl>
    <w:lvl w:ilvl="5" w:tentative="1">
      <w:start w:val="1"/>
      <w:numFmt w:val="bullet"/>
      <w:lvlText w:val=""/>
      <w:lvlJc w:val="left"/>
      <w:pPr>
        <w:tabs>
          <w:tab w:val="num" w:pos="4896"/>
        </w:tabs>
        <w:ind w:left="4896" w:hanging="360"/>
      </w:pPr>
      <w:rPr>
        <w:rFonts w:ascii="Wingdings" w:hAnsi="Wingdings" w:hint="default"/>
        <w:sz w:val="20"/>
      </w:rPr>
    </w:lvl>
    <w:lvl w:ilvl="6" w:tentative="1">
      <w:start w:val="1"/>
      <w:numFmt w:val="bullet"/>
      <w:lvlText w:val=""/>
      <w:lvlJc w:val="left"/>
      <w:pPr>
        <w:tabs>
          <w:tab w:val="num" w:pos="5616"/>
        </w:tabs>
        <w:ind w:left="5616" w:hanging="360"/>
      </w:pPr>
      <w:rPr>
        <w:rFonts w:ascii="Wingdings" w:hAnsi="Wingdings" w:hint="default"/>
        <w:sz w:val="20"/>
      </w:rPr>
    </w:lvl>
    <w:lvl w:ilvl="7" w:tentative="1">
      <w:start w:val="1"/>
      <w:numFmt w:val="bullet"/>
      <w:lvlText w:val=""/>
      <w:lvlJc w:val="left"/>
      <w:pPr>
        <w:tabs>
          <w:tab w:val="num" w:pos="6336"/>
        </w:tabs>
        <w:ind w:left="6336" w:hanging="360"/>
      </w:pPr>
      <w:rPr>
        <w:rFonts w:ascii="Wingdings" w:hAnsi="Wingdings" w:hint="default"/>
        <w:sz w:val="20"/>
      </w:rPr>
    </w:lvl>
    <w:lvl w:ilvl="8" w:tentative="1">
      <w:start w:val="1"/>
      <w:numFmt w:val="bullet"/>
      <w:lvlText w:val=""/>
      <w:lvlJc w:val="left"/>
      <w:pPr>
        <w:tabs>
          <w:tab w:val="num" w:pos="7056"/>
        </w:tabs>
        <w:ind w:left="7056" w:hanging="360"/>
      </w:pPr>
      <w:rPr>
        <w:rFonts w:ascii="Wingdings" w:hAnsi="Wingdings" w:hint="default"/>
        <w:sz w:val="20"/>
      </w:rPr>
    </w:lvl>
  </w:abstractNum>
  <w:abstractNum w:abstractNumId="130">
    <w:nsid w:val="76AF623B"/>
    <w:multiLevelType w:val="hybridMultilevel"/>
    <w:tmpl w:val="6744148E"/>
    <w:lvl w:ilvl="0" w:tplc="6AE2C5DE">
      <w:start w:val="1"/>
      <w:numFmt w:val="decimal"/>
      <w:lvlText w:val="%1."/>
      <w:lvlJc w:val="left"/>
      <w:pPr>
        <w:tabs>
          <w:tab w:val="num" w:pos="720"/>
        </w:tabs>
        <w:ind w:left="720" w:hanging="360"/>
      </w:pPr>
      <w:rPr>
        <w:rFonts w:hint="default"/>
      </w:rPr>
    </w:lvl>
    <w:lvl w:ilvl="1" w:tplc="5CC44D7A" w:tentative="1">
      <w:start w:val="1"/>
      <w:numFmt w:val="lowerLetter"/>
      <w:lvlText w:val="%2."/>
      <w:lvlJc w:val="left"/>
      <w:pPr>
        <w:tabs>
          <w:tab w:val="num" w:pos="1440"/>
        </w:tabs>
        <w:ind w:left="1440" w:hanging="360"/>
      </w:pPr>
    </w:lvl>
    <w:lvl w:ilvl="2" w:tplc="9A2AA374" w:tentative="1">
      <w:start w:val="1"/>
      <w:numFmt w:val="lowerRoman"/>
      <w:lvlText w:val="%3."/>
      <w:lvlJc w:val="right"/>
      <w:pPr>
        <w:tabs>
          <w:tab w:val="num" w:pos="2160"/>
        </w:tabs>
        <w:ind w:left="2160" w:hanging="180"/>
      </w:pPr>
    </w:lvl>
    <w:lvl w:ilvl="3" w:tplc="14A699A4" w:tentative="1">
      <w:start w:val="1"/>
      <w:numFmt w:val="decimal"/>
      <w:lvlText w:val="%4."/>
      <w:lvlJc w:val="left"/>
      <w:pPr>
        <w:tabs>
          <w:tab w:val="num" w:pos="2880"/>
        </w:tabs>
        <w:ind w:left="2880" w:hanging="360"/>
      </w:pPr>
    </w:lvl>
    <w:lvl w:ilvl="4" w:tplc="B0FC4DC8" w:tentative="1">
      <w:start w:val="1"/>
      <w:numFmt w:val="lowerLetter"/>
      <w:lvlText w:val="%5."/>
      <w:lvlJc w:val="left"/>
      <w:pPr>
        <w:tabs>
          <w:tab w:val="num" w:pos="3600"/>
        </w:tabs>
        <w:ind w:left="3600" w:hanging="360"/>
      </w:pPr>
    </w:lvl>
    <w:lvl w:ilvl="5" w:tplc="44803614" w:tentative="1">
      <w:start w:val="1"/>
      <w:numFmt w:val="lowerRoman"/>
      <w:lvlText w:val="%6."/>
      <w:lvlJc w:val="right"/>
      <w:pPr>
        <w:tabs>
          <w:tab w:val="num" w:pos="4320"/>
        </w:tabs>
        <w:ind w:left="4320" w:hanging="180"/>
      </w:pPr>
    </w:lvl>
    <w:lvl w:ilvl="6" w:tplc="2AAA28FE" w:tentative="1">
      <w:start w:val="1"/>
      <w:numFmt w:val="decimal"/>
      <w:lvlText w:val="%7."/>
      <w:lvlJc w:val="left"/>
      <w:pPr>
        <w:tabs>
          <w:tab w:val="num" w:pos="5040"/>
        </w:tabs>
        <w:ind w:left="5040" w:hanging="360"/>
      </w:pPr>
    </w:lvl>
    <w:lvl w:ilvl="7" w:tplc="193EC218" w:tentative="1">
      <w:start w:val="1"/>
      <w:numFmt w:val="lowerLetter"/>
      <w:lvlText w:val="%8."/>
      <w:lvlJc w:val="left"/>
      <w:pPr>
        <w:tabs>
          <w:tab w:val="num" w:pos="5760"/>
        </w:tabs>
        <w:ind w:left="5760" w:hanging="360"/>
      </w:pPr>
    </w:lvl>
    <w:lvl w:ilvl="8" w:tplc="9766B880" w:tentative="1">
      <w:start w:val="1"/>
      <w:numFmt w:val="lowerRoman"/>
      <w:lvlText w:val="%9."/>
      <w:lvlJc w:val="right"/>
      <w:pPr>
        <w:tabs>
          <w:tab w:val="num" w:pos="6480"/>
        </w:tabs>
        <w:ind w:left="6480" w:hanging="180"/>
      </w:pPr>
    </w:lvl>
  </w:abstractNum>
  <w:abstractNum w:abstractNumId="131">
    <w:nsid w:val="772C14F0"/>
    <w:multiLevelType w:val="hybridMultilevel"/>
    <w:tmpl w:val="F5CE8B04"/>
    <w:lvl w:ilvl="0" w:tplc="A7867318">
      <w:start w:val="1"/>
      <w:numFmt w:val="bullet"/>
      <w:lvlText w:val=""/>
      <w:lvlJc w:val="left"/>
      <w:pPr>
        <w:tabs>
          <w:tab w:val="num" w:pos="1080"/>
        </w:tabs>
        <w:ind w:left="1080" w:hanging="360"/>
      </w:pPr>
      <w:rPr>
        <w:rFonts w:ascii="Symbol" w:hAnsi="Symbol" w:hint="default"/>
        <w:sz w:val="18"/>
        <w:szCs w:val="18"/>
      </w:rPr>
    </w:lvl>
    <w:lvl w:ilvl="1" w:tplc="BEDEC1EC" w:tentative="1">
      <w:start w:val="1"/>
      <w:numFmt w:val="bullet"/>
      <w:lvlText w:val="o"/>
      <w:lvlJc w:val="left"/>
      <w:pPr>
        <w:tabs>
          <w:tab w:val="num" w:pos="1440"/>
        </w:tabs>
        <w:ind w:left="1440" w:hanging="360"/>
      </w:pPr>
      <w:rPr>
        <w:rFonts w:ascii="Courier New" w:hAnsi="Courier New" w:cs="Courier New" w:hint="default"/>
      </w:rPr>
    </w:lvl>
    <w:lvl w:ilvl="2" w:tplc="FEE07EF6" w:tentative="1">
      <w:start w:val="1"/>
      <w:numFmt w:val="bullet"/>
      <w:lvlText w:val=""/>
      <w:lvlJc w:val="left"/>
      <w:pPr>
        <w:tabs>
          <w:tab w:val="num" w:pos="2160"/>
        </w:tabs>
        <w:ind w:left="2160" w:hanging="360"/>
      </w:pPr>
      <w:rPr>
        <w:rFonts w:ascii="Wingdings" w:hAnsi="Wingdings" w:hint="default"/>
      </w:rPr>
    </w:lvl>
    <w:lvl w:ilvl="3" w:tplc="2D4C1C80" w:tentative="1">
      <w:start w:val="1"/>
      <w:numFmt w:val="bullet"/>
      <w:lvlText w:val=""/>
      <w:lvlJc w:val="left"/>
      <w:pPr>
        <w:tabs>
          <w:tab w:val="num" w:pos="2880"/>
        </w:tabs>
        <w:ind w:left="2880" w:hanging="360"/>
      </w:pPr>
      <w:rPr>
        <w:rFonts w:ascii="Symbol" w:hAnsi="Symbol" w:hint="default"/>
      </w:rPr>
    </w:lvl>
    <w:lvl w:ilvl="4" w:tplc="A33E0200" w:tentative="1">
      <w:start w:val="1"/>
      <w:numFmt w:val="bullet"/>
      <w:lvlText w:val="o"/>
      <w:lvlJc w:val="left"/>
      <w:pPr>
        <w:tabs>
          <w:tab w:val="num" w:pos="3600"/>
        </w:tabs>
        <w:ind w:left="3600" w:hanging="360"/>
      </w:pPr>
      <w:rPr>
        <w:rFonts w:ascii="Courier New" w:hAnsi="Courier New" w:cs="Courier New" w:hint="default"/>
      </w:rPr>
    </w:lvl>
    <w:lvl w:ilvl="5" w:tplc="3A202E5E" w:tentative="1">
      <w:start w:val="1"/>
      <w:numFmt w:val="bullet"/>
      <w:lvlText w:val=""/>
      <w:lvlJc w:val="left"/>
      <w:pPr>
        <w:tabs>
          <w:tab w:val="num" w:pos="4320"/>
        </w:tabs>
        <w:ind w:left="4320" w:hanging="360"/>
      </w:pPr>
      <w:rPr>
        <w:rFonts w:ascii="Wingdings" w:hAnsi="Wingdings" w:hint="default"/>
      </w:rPr>
    </w:lvl>
    <w:lvl w:ilvl="6" w:tplc="1234A076" w:tentative="1">
      <w:start w:val="1"/>
      <w:numFmt w:val="bullet"/>
      <w:lvlText w:val=""/>
      <w:lvlJc w:val="left"/>
      <w:pPr>
        <w:tabs>
          <w:tab w:val="num" w:pos="5040"/>
        </w:tabs>
        <w:ind w:left="5040" w:hanging="360"/>
      </w:pPr>
      <w:rPr>
        <w:rFonts w:ascii="Symbol" w:hAnsi="Symbol" w:hint="default"/>
      </w:rPr>
    </w:lvl>
    <w:lvl w:ilvl="7" w:tplc="3B6E5DAC" w:tentative="1">
      <w:start w:val="1"/>
      <w:numFmt w:val="bullet"/>
      <w:lvlText w:val="o"/>
      <w:lvlJc w:val="left"/>
      <w:pPr>
        <w:tabs>
          <w:tab w:val="num" w:pos="5760"/>
        </w:tabs>
        <w:ind w:left="5760" w:hanging="360"/>
      </w:pPr>
      <w:rPr>
        <w:rFonts w:ascii="Courier New" w:hAnsi="Courier New" w:cs="Courier New" w:hint="default"/>
      </w:rPr>
    </w:lvl>
    <w:lvl w:ilvl="8" w:tplc="F7588864" w:tentative="1">
      <w:start w:val="1"/>
      <w:numFmt w:val="bullet"/>
      <w:lvlText w:val=""/>
      <w:lvlJc w:val="left"/>
      <w:pPr>
        <w:tabs>
          <w:tab w:val="num" w:pos="6480"/>
        </w:tabs>
        <w:ind w:left="6480" w:hanging="360"/>
      </w:pPr>
      <w:rPr>
        <w:rFonts w:ascii="Wingdings" w:hAnsi="Wingdings" w:hint="default"/>
      </w:rPr>
    </w:lvl>
  </w:abstractNum>
  <w:abstractNum w:abstractNumId="132">
    <w:nsid w:val="77496B3B"/>
    <w:multiLevelType w:val="hybridMultilevel"/>
    <w:tmpl w:val="E54E9808"/>
    <w:lvl w:ilvl="0" w:tplc="0409000F">
      <w:start w:val="1"/>
      <w:numFmt w:val="bullet"/>
      <w:pStyle w:val="Cog-bullet0"/>
      <w:lvlText w:val=""/>
      <w:lvlJc w:val="left"/>
      <w:pPr>
        <w:tabs>
          <w:tab w:val="num" w:pos="360"/>
        </w:tabs>
        <w:ind w:left="360" w:hanging="360"/>
      </w:pPr>
      <w:rPr>
        <w:rFonts w:ascii="Wingdings" w:hAnsi="Wingdings" w:hint="default"/>
      </w:rPr>
    </w:lvl>
    <w:lvl w:ilvl="1" w:tplc="04090019">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33">
    <w:nsid w:val="77693CF3"/>
    <w:multiLevelType w:val="hybridMultilevel"/>
    <w:tmpl w:val="046E312E"/>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
      <w:lvlJc w:val="left"/>
      <w:pPr>
        <w:tabs>
          <w:tab w:val="num" w:pos="3600"/>
        </w:tabs>
        <w:ind w:left="3600" w:hanging="360"/>
      </w:pPr>
      <w:rPr>
        <w:rFonts w:ascii="Wingdings" w:hAnsi="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Wingdings" w:hAnsi="Wingdings" w:hint="default"/>
      </w:rPr>
    </w:lvl>
    <w:lvl w:ilvl="7" w:tplc="04090003" w:tentative="1">
      <w:start w:val="1"/>
      <w:numFmt w:val="bullet"/>
      <w:lvlText w:val=""/>
      <w:lvlJc w:val="left"/>
      <w:pPr>
        <w:tabs>
          <w:tab w:val="num" w:pos="5760"/>
        </w:tabs>
        <w:ind w:left="5760" w:hanging="360"/>
      </w:pPr>
      <w:rPr>
        <w:rFonts w:ascii="Wingdings" w:hAnsi="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nsid w:val="7836769B"/>
    <w:multiLevelType w:val="hybridMultilevel"/>
    <w:tmpl w:val="EC82C256"/>
    <w:lvl w:ilvl="0" w:tplc="23C00344">
      <w:start w:val="1"/>
      <w:numFmt w:val="bullet"/>
      <w:lvlText w:val=""/>
      <w:lvlJc w:val="left"/>
      <w:pPr>
        <w:ind w:left="720" w:hanging="360"/>
      </w:pPr>
      <w:rPr>
        <w:rFonts w:ascii="Wingdings" w:hAnsi="Wingdings" w:hint="default"/>
      </w:rPr>
    </w:lvl>
    <w:lvl w:ilvl="1" w:tplc="823A7510">
      <w:start w:val="1"/>
      <w:numFmt w:val="bullet"/>
      <w:lvlText w:val="o"/>
      <w:lvlJc w:val="left"/>
      <w:pPr>
        <w:ind w:left="1440" w:hanging="360"/>
      </w:pPr>
      <w:rPr>
        <w:rFonts w:ascii="Courier New" w:hAnsi="Courier New" w:cs="Courier New" w:hint="default"/>
      </w:rPr>
    </w:lvl>
    <w:lvl w:ilvl="2" w:tplc="51A46EF8" w:tentative="1">
      <w:start w:val="1"/>
      <w:numFmt w:val="bullet"/>
      <w:lvlText w:val=""/>
      <w:lvlJc w:val="left"/>
      <w:pPr>
        <w:ind w:left="2160" w:hanging="360"/>
      </w:pPr>
      <w:rPr>
        <w:rFonts w:ascii="Wingdings" w:hAnsi="Wingdings" w:hint="default"/>
      </w:rPr>
    </w:lvl>
    <w:lvl w:ilvl="3" w:tplc="AAE6BF24" w:tentative="1">
      <w:start w:val="1"/>
      <w:numFmt w:val="bullet"/>
      <w:lvlText w:val=""/>
      <w:lvlJc w:val="left"/>
      <w:pPr>
        <w:ind w:left="2880" w:hanging="360"/>
      </w:pPr>
      <w:rPr>
        <w:rFonts w:ascii="Symbol" w:hAnsi="Symbol" w:hint="default"/>
      </w:rPr>
    </w:lvl>
    <w:lvl w:ilvl="4" w:tplc="3E20C306" w:tentative="1">
      <w:start w:val="1"/>
      <w:numFmt w:val="bullet"/>
      <w:lvlText w:val="o"/>
      <w:lvlJc w:val="left"/>
      <w:pPr>
        <w:ind w:left="3600" w:hanging="360"/>
      </w:pPr>
      <w:rPr>
        <w:rFonts w:ascii="Courier New" w:hAnsi="Courier New" w:cs="Courier New" w:hint="default"/>
      </w:rPr>
    </w:lvl>
    <w:lvl w:ilvl="5" w:tplc="408CCCA6" w:tentative="1">
      <w:start w:val="1"/>
      <w:numFmt w:val="bullet"/>
      <w:lvlText w:val=""/>
      <w:lvlJc w:val="left"/>
      <w:pPr>
        <w:ind w:left="4320" w:hanging="360"/>
      </w:pPr>
      <w:rPr>
        <w:rFonts w:ascii="Wingdings" w:hAnsi="Wingdings" w:hint="default"/>
      </w:rPr>
    </w:lvl>
    <w:lvl w:ilvl="6" w:tplc="8EF8261C" w:tentative="1">
      <w:start w:val="1"/>
      <w:numFmt w:val="bullet"/>
      <w:lvlText w:val=""/>
      <w:lvlJc w:val="left"/>
      <w:pPr>
        <w:ind w:left="5040" w:hanging="360"/>
      </w:pPr>
      <w:rPr>
        <w:rFonts w:ascii="Symbol" w:hAnsi="Symbol" w:hint="default"/>
      </w:rPr>
    </w:lvl>
    <w:lvl w:ilvl="7" w:tplc="5838B492" w:tentative="1">
      <w:start w:val="1"/>
      <w:numFmt w:val="bullet"/>
      <w:lvlText w:val="o"/>
      <w:lvlJc w:val="left"/>
      <w:pPr>
        <w:ind w:left="5760" w:hanging="360"/>
      </w:pPr>
      <w:rPr>
        <w:rFonts w:ascii="Courier New" w:hAnsi="Courier New" w:cs="Courier New" w:hint="default"/>
      </w:rPr>
    </w:lvl>
    <w:lvl w:ilvl="8" w:tplc="F95E3460" w:tentative="1">
      <w:start w:val="1"/>
      <w:numFmt w:val="bullet"/>
      <w:lvlText w:val=""/>
      <w:lvlJc w:val="left"/>
      <w:pPr>
        <w:ind w:left="6480" w:hanging="360"/>
      </w:pPr>
      <w:rPr>
        <w:rFonts w:ascii="Wingdings" w:hAnsi="Wingdings" w:hint="default"/>
      </w:rPr>
    </w:lvl>
  </w:abstractNum>
  <w:abstractNum w:abstractNumId="135">
    <w:nsid w:val="796E4989"/>
    <w:multiLevelType w:val="hybridMultilevel"/>
    <w:tmpl w:val="8A9627D0"/>
    <w:lvl w:ilvl="0" w:tplc="0409000B">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6">
    <w:nsid w:val="7A184D64"/>
    <w:multiLevelType w:val="hybridMultilevel"/>
    <w:tmpl w:val="9904A0AC"/>
    <w:lvl w:ilvl="0" w:tplc="0409000F">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7CA049D4"/>
    <w:multiLevelType w:val="singleLevel"/>
    <w:tmpl w:val="86DAEB9A"/>
    <w:lvl w:ilvl="0">
      <w:start w:val="1"/>
      <w:numFmt w:val="bullet"/>
      <w:pStyle w:val="List-Bulleted"/>
      <w:lvlText w:val=""/>
      <w:lvlJc w:val="left"/>
      <w:pPr>
        <w:tabs>
          <w:tab w:val="num" w:pos="2520"/>
        </w:tabs>
        <w:ind w:left="2520" w:hanging="360"/>
      </w:pPr>
      <w:rPr>
        <w:rFonts w:ascii="Symbol" w:hAnsi="Symbol" w:hint="default"/>
      </w:rPr>
    </w:lvl>
  </w:abstractNum>
  <w:abstractNum w:abstractNumId="138">
    <w:nsid w:val="7CFA4733"/>
    <w:multiLevelType w:val="hybridMultilevel"/>
    <w:tmpl w:val="6BBEDB92"/>
    <w:lvl w:ilvl="0" w:tplc="FF446CAE">
      <w:start w:val="1"/>
      <w:numFmt w:val="bullet"/>
      <w:lvlText w:val=""/>
      <w:lvlJc w:val="left"/>
      <w:pPr>
        <w:tabs>
          <w:tab w:val="num" w:pos="720"/>
        </w:tabs>
        <w:ind w:left="720" w:hanging="360"/>
      </w:pPr>
      <w:rPr>
        <w:rFonts w:ascii="Symbol" w:hAnsi="Symbol" w:hint="default"/>
      </w:rPr>
    </w:lvl>
    <w:lvl w:ilvl="1" w:tplc="BBD20250" w:tentative="1">
      <w:start w:val="1"/>
      <w:numFmt w:val="bullet"/>
      <w:lvlText w:val="o"/>
      <w:lvlJc w:val="left"/>
      <w:pPr>
        <w:tabs>
          <w:tab w:val="num" w:pos="1440"/>
        </w:tabs>
        <w:ind w:left="1440" w:hanging="360"/>
      </w:pPr>
      <w:rPr>
        <w:rFonts w:ascii="Courier New" w:hAnsi="Courier New" w:cs="Courier New" w:hint="default"/>
      </w:rPr>
    </w:lvl>
    <w:lvl w:ilvl="2" w:tplc="F2C64EC2" w:tentative="1">
      <w:start w:val="1"/>
      <w:numFmt w:val="bullet"/>
      <w:lvlText w:val=""/>
      <w:lvlJc w:val="left"/>
      <w:pPr>
        <w:tabs>
          <w:tab w:val="num" w:pos="2160"/>
        </w:tabs>
        <w:ind w:left="2160" w:hanging="360"/>
      </w:pPr>
      <w:rPr>
        <w:rFonts w:ascii="Wingdings" w:hAnsi="Wingdings" w:hint="default"/>
      </w:rPr>
    </w:lvl>
    <w:lvl w:ilvl="3" w:tplc="F75C5094" w:tentative="1">
      <w:start w:val="1"/>
      <w:numFmt w:val="bullet"/>
      <w:lvlText w:val=""/>
      <w:lvlJc w:val="left"/>
      <w:pPr>
        <w:tabs>
          <w:tab w:val="num" w:pos="2880"/>
        </w:tabs>
        <w:ind w:left="2880" w:hanging="360"/>
      </w:pPr>
      <w:rPr>
        <w:rFonts w:ascii="Symbol" w:hAnsi="Symbol" w:hint="default"/>
      </w:rPr>
    </w:lvl>
    <w:lvl w:ilvl="4" w:tplc="D5CA3054" w:tentative="1">
      <w:start w:val="1"/>
      <w:numFmt w:val="bullet"/>
      <w:lvlText w:val="o"/>
      <w:lvlJc w:val="left"/>
      <w:pPr>
        <w:tabs>
          <w:tab w:val="num" w:pos="3600"/>
        </w:tabs>
        <w:ind w:left="3600" w:hanging="360"/>
      </w:pPr>
      <w:rPr>
        <w:rFonts w:ascii="Courier New" w:hAnsi="Courier New" w:cs="Courier New" w:hint="default"/>
      </w:rPr>
    </w:lvl>
    <w:lvl w:ilvl="5" w:tplc="911C5E9C" w:tentative="1">
      <w:start w:val="1"/>
      <w:numFmt w:val="bullet"/>
      <w:lvlText w:val=""/>
      <w:lvlJc w:val="left"/>
      <w:pPr>
        <w:tabs>
          <w:tab w:val="num" w:pos="4320"/>
        </w:tabs>
        <w:ind w:left="4320" w:hanging="360"/>
      </w:pPr>
      <w:rPr>
        <w:rFonts w:ascii="Wingdings" w:hAnsi="Wingdings" w:hint="default"/>
      </w:rPr>
    </w:lvl>
    <w:lvl w:ilvl="6" w:tplc="FBF6ADBC" w:tentative="1">
      <w:start w:val="1"/>
      <w:numFmt w:val="bullet"/>
      <w:lvlText w:val=""/>
      <w:lvlJc w:val="left"/>
      <w:pPr>
        <w:tabs>
          <w:tab w:val="num" w:pos="5040"/>
        </w:tabs>
        <w:ind w:left="5040" w:hanging="360"/>
      </w:pPr>
      <w:rPr>
        <w:rFonts w:ascii="Symbol" w:hAnsi="Symbol" w:hint="default"/>
      </w:rPr>
    </w:lvl>
    <w:lvl w:ilvl="7" w:tplc="B61E1142" w:tentative="1">
      <w:start w:val="1"/>
      <w:numFmt w:val="bullet"/>
      <w:lvlText w:val="o"/>
      <w:lvlJc w:val="left"/>
      <w:pPr>
        <w:tabs>
          <w:tab w:val="num" w:pos="5760"/>
        </w:tabs>
        <w:ind w:left="5760" w:hanging="360"/>
      </w:pPr>
      <w:rPr>
        <w:rFonts w:ascii="Courier New" w:hAnsi="Courier New" w:cs="Courier New" w:hint="default"/>
      </w:rPr>
    </w:lvl>
    <w:lvl w:ilvl="8" w:tplc="5C64024A" w:tentative="1">
      <w:start w:val="1"/>
      <w:numFmt w:val="bullet"/>
      <w:lvlText w:val=""/>
      <w:lvlJc w:val="left"/>
      <w:pPr>
        <w:tabs>
          <w:tab w:val="num" w:pos="6480"/>
        </w:tabs>
        <w:ind w:left="6480" w:hanging="360"/>
      </w:pPr>
      <w:rPr>
        <w:rFonts w:ascii="Wingdings" w:hAnsi="Wingdings" w:hint="default"/>
      </w:rPr>
    </w:lvl>
  </w:abstractNum>
  <w:abstractNum w:abstractNumId="139">
    <w:nsid w:val="7FD73A9B"/>
    <w:multiLevelType w:val="hybridMultilevel"/>
    <w:tmpl w:val="1A4675E4"/>
    <w:lvl w:ilvl="0" w:tplc="0409000D">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48"/>
  </w:num>
  <w:num w:numId="3">
    <w:abstractNumId w:val="78"/>
  </w:num>
  <w:num w:numId="4">
    <w:abstractNumId w:val="2"/>
  </w:num>
  <w:num w:numId="5">
    <w:abstractNumId w:val="101"/>
  </w:num>
  <w:num w:numId="6">
    <w:abstractNumId w:val="114"/>
  </w:num>
  <w:num w:numId="7">
    <w:abstractNumId w:val="107"/>
  </w:num>
  <w:num w:numId="8">
    <w:abstractNumId w:val="41"/>
  </w:num>
  <w:num w:numId="9">
    <w:abstractNumId w:val="120"/>
  </w:num>
  <w:num w:numId="10">
    <w:abstractNumId w:val="73"/>
  </w:num>
  <w:num w:numId="11">
    <w:abstractNumId w:val="132"/>
  </w:num>
  <w:num w:numId="12">
    <w:abstractNumId w:val="34"/>
  </w:num>
  <w:num w:numId="13">
    <w:abstractNumId w:val="130"/>
  </w:num>
  <w:num w:numId="14">
    <w:abstractNumId w:val="86"/>
  </w:num>
  <w:num w:numId="15">
    <w:abstractNumId w:val="129"/>
  </w:num>
  <w:num w:numId="16">
    <w:abstractNumId w:val="20"/>
  </w:num>
  <w:num w:numId="17">
    <w:abstractNumId w:val="4"/>
  </w:num>
  <w:num w:numId="18">
    <w:abstractNumId w:val="111"/>
  </w:num>
  <w:num w:numId="19">
    <w:abstractNumId w:val="0"/>
  </w:num>
  <w:num w:numId="20">
    <w:abstractNumId w:val="37"/>
  </w:num>
  <w:num w:numId="21">
    <w:abstractNumId w:val="47"/>
  </w:num>
  <w:num w:numId="22">
    <w:abstractNumId w:val="68"/>
  </w:num>
  <w:num w:numId="23">
    <w:abstractNumId w:val="27"/>
  </w:num>
  <w:num w:numId="24">
    <w:abstractNumId w:val="74"/>
  </w:num>
  <w:num w:numId="25">
    <w:abstractNumId w:val="38"/>
  </w:num>
  <w:num w:numId="26">
    <w:abstractNumId w:val="39"/>
  </w:num>
  <w:num w:numId="27">
    <w:abstractNumId w:val="8"/>
  </w:num>
  <w:num w:numId="28">
    <w:abstractNumId w:val="29"/>
  </w:num>
  <w:num w:numId="29">
    <w:abstractNumId w:val="60"/>
  </w:num>
  <w:num w:numId="30">
    <w:abstractNumId w:val="67"/>
  </w:num>
  <w:num w:numId="31">
    <w:abstractNumId w:val="75"/>
  </w:num>
  <w:num w:numId="32">
    <w:abstractNumId w:val="139"/>
  </w:num>
  <w:num w:numId="33">
    <w:abstractNumId w:val="5"/>
  </w:num>
  <w:num w:numId="34">
    <w:abstractNumId w:val="135"/>
  </w:num>
  <w:num w:numId="35">
    <w:abstractNumId w:val="80"/>
  </w:num>
  <w:num w:numId="36">
    <w:abstractNumId w:val="99"/>
  </w:num>
  <w:num w:numId="37">
    <w:abstractNumId w:val="35"/>
  </w:num>
  <w:num w:numId="38">
    <w:abstractNumId w:val="138"/>
  </w:num>
  <w:num w:numId="39">
    <w:abstractNumId w:val="77"/>
  </w:num>
  <w:num w:numId="40">
    <w:abstractNumId w:val="87"/>
  </w:num>
  <w:num w:numId="41">
    <w:abstractNumId w:val="65"/>
  </w:num>
  <w:num w:numId="42">
    <w:abstractNumId w:val="53"/>
  </w:num>
  <w:num w:numId="43">
    <w:abstractNumId w:val="82"/>
  </w:num>
  <w:num w:numId="44">
    <w:abstractNumId w:val="97"/>
  </w:num>
  <w:num w:numId="45">
    <w:abstractNumId w:val="106"/>
  </w:num>
  <w:num w:numId="46">
    <w:abstractNumId w:val="108"/>
  </w:num>
  <w:num w:numId="47">
    <w:abstractNumId w:val="13"/>
  </w:num>
  <w:num w:numId="48">
    <w:abstractNumId w:val="104"/>
  </w:num>
  <w:num w:numId="49">
    <w:abstractNumId w:val="15"/>
  </w:num>
  <w:num w:numId="50">
    <w:abstractNumId w:val="71"/>
  </w:num>
  <w:num w:numId="51">
    <w:abstractNumId w:val="102"/>
  </w:num>
  <w:num w:numId="52">
    <w:abstractNumId w:val="88"/>
  </w:num>
  <w:num w:numId="53">
    <w:abstractNumId w:val="95"/>
  </w:num>
  <w:num w:numId="54">
    <w:abstractNumId w:val="31"/>
  </w:num>
  <w:num w:numId="55">
    <w:abstractNumId w:val="98"/>
  </w:num>
  <w:num w:numId="56">
    <w:abstractNumId w:val="32"/>
  </w:num>
  <w:num w:numId="57">
    <w:abstractNumId w:val="28"/>
  </w:num>
  <w:num w:numId="58">
    <w:abstractNumId w:val="33"/>
  </w:num>
  <w:num w:numId="59">
    <w:abstractNumId w:val="96"/>
  </w:num>
  <w:num w:numId="60">
    <w:abstractNumId w:val="124"/>
  </w:num>
  <w:num w:numId="61">
    <w:abstractNumId w:val="118"/>
  </w:num>
  <w:num w:numId="62">
    <w:abstractNumId w:val="115"/>
  </w:num>
  <w:num w:numId="63">
    <w:abstractNumId w:val="44"/>
  </w:num>
  <w:num w:numId="64">
    <w:abstractNumId w:val="131"/>
  </w:num>
  <w:num w:numId="65">
    <w:abstractNumId w:val="93"/>
  </w:num>
  <w:num w:numId="66">
    <w:abstractNumId w:val="12"/>
  </w:num>
  <w:num w:numId="67">
    <w:abstractNumId w:val="119"/>
  </w:num>
  <w:num w:numId="68">
    <w:abstractNumId w:val="69"/>
  </w:num>
  <w:num w:numId="69">
    <w:abstractNumId w:val="100"/>
  </w:num>
  <w:num w:numId="70">
    <w:abstractNumId w:val="121"/>
  </w:num>
  <w:num w:numId="71">
    <w:abstractNumId w:val="19"/>
  </w:num>
  <w:num w:numId="72">
    <w:abstractNumId w:val="26"/>
  </w:num>
  <w:num w:numId="73">
    <w:abstractNumId w:val="11"/>
  </w:num>
  <w:num w:numId="74">
    <w:abstractNumId w:val="21"/>
  </w:num>
  <w:num w:numId="75">
    <w:abstractNumId w:val="14"/>
  </w:num>
  <w:num w:numId="76">
    <w:abstractNumId w:val="123"/>
  </w:num>
  <w:num w:numId="77">
    <w:abstractNumId w:val="61"/>
  </w:num>
  <w:num w:numId="78">
    <w:abstractNumId w:val="59"/>
  </w:num>
  <w:num w:numId="79">
    <w:abstractNumId w:val="83"/>
  </w:num>
  <w:num w:numId="80">
    <w:abstractNumId w:val="36"/>
  </w:num>
  <w:num w:numId="81">
    <w:abstractNumId w:val="7"/>
  </w:num>
  <w:num w:numId="82">
    <w:abstractNumId w:val="6"/>
  </w:num>
  <w:num w:numId="83">
    <w:abstractNumId w:val="25"/>
  </w:num>
  <w:num w:numId="84">
    <w:abstractNumId w:val="79"/>
  </w:num>
  <w:num w:numId="85">
    <w:abstractNumId w:val="43"/>
  </w:num>
  <w:num w:numId="86">
    <w:abstractNumId w:val="136"/>
  </w:num>
  <w:num w:numId="87">
    <w:abstractNumId w:val="81"/>
  </w:num>
  <w:num w:numId="88">
    <w:abstractNumId w:val="24"/>
  </w:num>
  <w:num w:numId="89">
    <w:abstractNumId w:val="17"/>
  </w:num>
  <w:num w:numId="90">
    <w:abstractNumId w:val="122"/>
  </w:num>
  <w:num w:numId="91">
    <w:abstractNumId w:val="91"/>
  </w:num>
  <w:num w:numId="92">
    <w:abstractNumId w:val="16"/>
  </w:num>
  <w:num w:numId="93">
    <w:abstractNumId w:val="116"/>
  </w:num>
  <w:num w:numId="94">
    <w:abstractNumId w:val="3"/>
  </w:num>
  <w:num w:numId="95">
    <w:abstractNumId w:val="112"/>
  </w:num>
  <w:num w:numId="96">
    <w:abstractNumId w:val="23"/>
  </w:num>
  <w:num w:numId="97">
    <w:abstractNumId w:val="42"/>
  </w:num>
  <w:num w:numId="98">
    <w:abstractNumId w:val="70"/>
  </w:num>
  <w:num w:numId="99">
    <w:abstractNumId w:val="52"/>
  </w:num>
  <w:num w:numId="100">
    <w:abstractNumId w:val="22"/>
  </w:num>
  <w:num w:numId="101">
    <w:abstractNumId w:val="1"/>
  </w:num>
  <w:num w:numId="102">
    <w:abstractNumId w:val="45"/>
  </w:num>
  <w:num w:numId="103">
    <w:abstractNumId w:val="89"/>
  </w:num>
  <w:num w:numId="104">
    <w:abstractNumId w:val="128"/>
  </w:num>
  <w:num w:numId="105">
    <w:abstractNumId w:val="127"/>
  </w:num>
  <w:num w:numId="106">
    <w:abstractNumId w:val="113"/>
  </w:num>
  <w:num w:numId="107">
    <w:abstractNumId w:val="18"/>
  </w:num>
  <w:num w:numId="108">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86"/>
  </w:num>
  <w:num w:numId="110">
    <w:abstractNumId w:val="86"/>
  </w:num>
  <w:num w:numId="111">
    <w:abstractNumId w:val="109"/>
  </w:num>
  <w:num w:numId="112">
    <w:abstractNumId w:val="126"/>
  </w:num>
  <w:num w:numId="113">
    <w:abstractNumId w:val="84"/>
  </w:num>
  <w:num w:numId="114">
    <w:abstractNumId w:val="133"/>
  </w:num>
  <w:num w:numId="115">
    <w:abstractNumId w:val="62"/>
  </w:num>
  <w:num w:numId="116">
    <w:abstractNumId w:val="40"/>
  </w:num>
  <w:num w:numId="117">
    <w:abstractNumId w:val="64"/>
  </w:num>
  <w:num w:numId="118">
    <w:abstractNumId w:val="55"/>
  </w:num>
  <w:num w:numId="119">
    <w:abstractNumId w:val="56"/>
  </w:num>
  <w:num w:numId="120">
    <w:abstractNumId w:val="57"/>
  </w:num>
  <w:num w:numId="121">
    <w:abstractNumId w:val="72"/>
  </w:num>
  <w:num w:numId="122">
    <w:abstractNumId w:val="94"/>
  </w:num>
  <w:num w:numId="123">
    <w:abstractNumId w:val="46"/>
  </w:num>
  <w:num w:numId="124">
    <w:abstractNumId w:val="134"/>
  </w:num>
  <w:num w:numId="125">
    <w:abstractNumId w:val="50"/>
  </w:num>
  <w:num w:numId="126">
    <w:abstractNumId w:val="66"/>
  </w:num>
  <w:num w:numId="127">
    <w:abstractNumId w:val="49"/>
  </w:num>
  <w:num w:numId="128">
    <w:abstractNumId w:val="63"/>
  </w:num>
  <w:num w:numId="129">
    <w:abstractNumId w:val="30"/>
  </w:num>
  <w:num w:numId="130">
    <w:abstractNumId w:val="58"/>
  </w:num>
  <w:num w:numId="131">
    <w:abstractNumId w:val="103"/>
  </w:num>
  <w:num w:numId="132">
    <w:abstractNumId w:val="92"/>
  </w:num>
  <w:num w:numId="133">
    <w:abstractNumId w:val="117"/>
  </w:num>
  <w:num w:numId="134">
    <w:abstractNumId w:val="86"/>
  </w:num>
  <w:num w:numId="135">
    <w:abstractNumId w:val="86"/>
  </w:num>
  <w:num w:numId="136">
    <w:abstractNumId w:val="51"/>
  </w:num>
  <w:num w:numId="137">
    <w:abstractNumId w:val="86"/>
  </w:num>
  <w:num w:numId="138">
    <w:abstractNumId w:val="86"/>
  </w:num>
  <w:num w:numId="139">
    <w:abstractNumId w:val="137"/>
  </w:num>
  <w:num w:numId="140">
    <w:abstractNumId w:val="90"/>
  </w:num>
  <w:num w:numId="141">
    <w:abstractNumId w:val="86"/>
  </w:num>
  <w:num w:numId="142">
    <w:abstractNumId w:val="86"/>
  </w:num>
  <w:num w:numId="143">
    <w:abstractNumId w:val="76"/>
  </w:num>
  <w:num w:numId="144">
    <w:abstractNumId w:val="10"/>
  </w:num>
  <w:num w:numId="145">
    <w:abstractNumId w:val="110"/>
  </w:num>
  <w:num w:numId="146">
    <w:abstractNumId w:val="86"/>
  </w:num>
  <w:num w:numId="147">
    <w:abstractNumId w:val="105"/>
  </w:num>
  <w:num w:numId="148">
    <w:abstractNumId w:val="85"/>
  </w:num>
  <w:num w:numId="149">
    <w:abstractNumId w:val="54"/>
  </w:num>
  <w:num w:numId="150">
    <w:abstractNumId w:val="86"/>
  </w:num>
  <w:num w:numId="151">
    <w:abstractNumId w:val="86"/>
  </w:num>
  <w:num w:numId="152">
    <w:abstractNumId w:val="86"/>
  </w:num>
  <w:numIdMacAtCleanup w:val="1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stylePaneFormatFilter w:val="3F01"/>
  <w:defaultTabStop w:val="288"/>
  <w:drawingGridHorizontalSpacing w:val="12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2B59B7"/>
    <w:rsid w:val="00000056"/>
    <w:rsid w:val="000015DC"/>
    <w:rsid w:val="000026A2"/>
    <w:rsid w:val="00003A84"/>
    <w:rsid w:val="00004CF6"/>
    <w:rsid w:val="00006849"/>
    <w:rsid w:val="0000791C"/>
    <w:rsid w:val="00011BEA"/>
    <w:rsid w:val="00011FF5"/>
    <w:rsid w:val="000135E5"/>
    <w:rsid w:val="00014A4E"/>
    <w:rsid w:val="00016A88"/>
    <w:rsid w:val="00020971"/>
    <w:rsid w:val="000209ED"/>
    <w:rsid w:val="00020B77"/>
    <w:rsid w:val="000220F5"/>
    <w:rsid w:val="0002237A"/>
    <w:rsid w:val="0002334D"/>
    <w:rsid w:val="0002344A"/>
    <w:rsid w:val="00025B7B"/>
    <w:rsid w:val="00027265"/>
    <w:rsid w:val="0002777D"/>
    <w:rsid w:val="00031053"/>
    <w:rsid w:val="000329C1"/>
    <w:rsid w:val="00033D67"/>
    <w:rsid w:val="00037042"/>
    <w:rsid w:val="0004178B"/>
    <w:rsid w:val="000418B6"/>
    <w:rsid w:val="00041A0E"/>
    <w:rsid w:val="00042179"/>
    <w:rsid w:val="00042A63"/>
    <w:rsid w:val="00042E1B"/>
    <w:rsid w:val="00042EED"/>
    <w:rsid w:val="0004354E"/>
    <w:rsid w:val="00043B9B"/>
    <w:rsid w:val="0005022B"/>
    <w:rsid w:val="00051AD9"/>
    <w:rsid w:val="00051DDE"/>
    <w:rsid w:val="0005318E"/>
    <w:rsid w:val="00053227"/>
    <w:rsid w:val="00053F62"/>
    <w:rsid w:val="00054919"/>
    <w:rsid w:val="0005491C"/>
    <w:rsid w:val="000577C5"/>
    <w:rsid w:val="000602BF"/>
    <w:rsid w:val="000604F9"/>
    <w:rsid w:val="00060DB6"/>
    <w:rsid w:val="00061796"/>
    <w:rsid w:val="00062341"/>
    <w:rsid w:val="000673DF"/>
    <w:rsid w:val="00073037"/>
    <w:rsid w:val="00073D99"/>
    <w:rsid w:val="00075AE5"/>
    <w:rsid w:val="00077007"/>
    <w:rsid w:val="000805DA"/>
    <w:rsid w:val="00080EB5"/>
    <w:rsid w:val="00082120"/>
    <w:rsid w:val="00082A27"/>
    <w:rsid w:val="000835B1"/>
    <w:rsid w:val="00085635"/>
    <w:rsid w:val="00086AEE"/>
    <w:rsid w:val="00086E19"/>
    <w:rsid w:val="00086EC4"/>
    <w:rsid w:val="00090DE6"/>
    <w:rsid w:val="000913E4"/>
    <w:rsid w:val="000929DE"/>
    <w:rsid w:val="00094EA9"/>
    <w:rsid w:val="00095DAF"/>
    <w:rsid w:val="000A0C46"/>
    <w:rsid w:val="000A1343"/>
    <w:rsid w:val="000A1F5E"/>
    <w:rsid w:val="000A2EC2"/>
    <w:rsid w:val="000A3801"/>
    <w:rsid w:val="000A64FE"/>
    <w:rsid w:val="000A7237"/>
    <w:rsid w:val="000A79CA"/>
    <w:rsid w:val="000B097E"/>
    <w:rsid w:val="000B34C3"/>
    <w:rsid w:val="000B3DA4"/>
    <w:rsid w:val="000B4EB0"/>
    <w:rsid w:val="000B5336"/>
    <w:rsid w:val="000B5A0F"/>
    <w:rsid w:val="000C018E"/>
    <w:rsid w:val="000C0204"/>
    <w:rsid w:val="000C086D"/>
    <w:rsid w:val="000C149C"/>
    <w:rsid w:val="000C2FDB"/>
    <w:rsid w:val="000C3074"/>
    <w:rsid w:val="000C3626"/>
    <w:rsid w:val="000C3FFE"/>
    <w:rsid w:val="000C4ACF"/>
    <w:rsid w:val="000C4B84"/>
    <w:rsid w:val="000C58DD"/>
    <w:rsid w:val="000C5BE2"/>
    <w:rsid w:val="000C5CA9"/>
    <w:rsid w:val="000C5CE9"/>
    <w:rsid w:val="000D0D1D"/>
    <w:rsid w:val="000D2CAA"/>
    <w:rsid w:val="000D38EC"/>
    <w:rsid w:val="000D4136"/>
    <w:rsid w:val="000D55D0"/>
    <w:rsid w:val="000D59D8"/>
    <w:rsid w:val="000E0B4F"/>
    <w:rsid w:val="000E27B0"/>
    <w:rsid w:val="000E4D34"/>
    <w:rsid w:val="000E5842"/>
    <w:rsid w:val="000E6167"/>
    <w:rsid w:val="000E7B10"/>
    <w:rsid w:val="000F0774"/>
    <w:rsid w:val="000F0F35"/>
    <w:rsid w:val="000F15C5"/>
    <w:rsid w:val="000F16B5"/>
    <w:rsid w:val="000F271D"/>
    <w:rsid w:val="000F7C8E"/>
    <w:rsid w:val="0010101F"/>
    <w:rsid w:val="00101326"/>
    <w:rsid w:val="00102284"/>
    <w:rsid w:val="001030F3"/>
    <w:rsid w:val="0010314E"/>
    <w:rsid w:val="00107401"/>
    <w:rsid w:val="00110068"/>
    <w:rsid w:val="0011312F"/>
    <w:rsid w:val="001139D7"/>
    <w:rsid w:val="00113D88"/>
    <w:rsid w:val="00116771"/>
    <w:rsid w:val="001171AC"/>
    <w:rsid w:val="00120453"/>
    <w:rsid w:val="00120E70"/>
    <w:rsid w:val="00121ACC"/>
    <w:rsid w:val="00121C5D"/>
    <w:rsid w:val="00122E07"/>
    <w:rsid w:val="00124B3B"/>
    <w:rsid w:val="00125527"/>
    <w:rsid w:val="00125800"/>
    <w:rsid w:val="001279D0"/>
    <w:rsid w:val="001301EE"/>
    <w:rsid w:val="001309FC"/>
    <w:rsid w:val="00130A85"/>
    <w:rsid w:val="001312DE"/>
    <w:rsid w:val="00131B12"/>
    <w:rsid w:val="00131CE7"/>
    <w:rsid w:val="00131D22"/>
    <w:rsid w:val="00132AC4"/>
    <w:rsid w:val="00133AB2"/>
    <w:rsid w:val="00134929"/>
    <w:rsid w:val="00136C00"/>
    <w:rsid w:val="00142920"/>
    <w:rsid w:val="00143DD2"/>
    <w:rsid w:val="00144DF6"/>
    <w:rsid w:val="00146EEC"/>
    <w:rsid w:val="00147055"/>
    <w:rsid w:val="00150B7E"/>
    <w:rsid w:val="00152EBC"/>
    <w:rsid w:val="001531D6"/>
    <w:rsid w:val="00153732"/>
    <w:rsid w:val="00155F0D"/>
    <w:rsid w:val="0015720E"/>
    <w:rsid w:val="0016081F"/>
    <w:rsid w:val="00160F47"/>
    <w:rsid w:val="001617BF"/>
    <w:rsid w:val="001617FE"/>
    <w:rsid w:val="0016188A"/>
    <w:rsid w:val="00162365"/>
    <w:rsid w:val="001627BA"/>
    <w:rsid w:val="001657B5"/>
    <w:rsid w:val="001669BE"/>
    <w:rsid w:val="00166AB9"/>
    <w:rsid w:val="00166B20"/>
    <w:rsid w:val="00167253"/>
    <w:rsid w:val="00171EB2"/>
    <w:rsid w:val="0017449A"/>
    <w:rsid w:val="00177108"/>
    <w:rsid w:val="001810E3"/>
    <w:rsid w:val="001847B3"/>
    <w:rsid w:val="00185FE4"/>
    <w:rsid w:val="001878F2"/>
    <w:rsid w:val="001907B9"/>
    <w:rsid w:val="00190AC5"/>
    <w:rsid w:val="00194EF8"/>
    <w:rsid w:val="00194F12"/>
    <w:rsid w:val="00196FAC"/>
    <w:rsid w:val="00197873"/>
    <w:rsid w:val="00197EF6"/>
    <w:rsid w:val="00197F64"/>
    <w:rsid w:val="001A51F8"/>
    <w:rsid w:val="001A6B97"/>
    <w:rsid w:val="001B3414"/>
    <w:rsid w:val="001B35F6"/>
    <w:rsid w:val="001B3E53"/>
    <w:rsid w:val="001B4B5A"/>
    <w:rsid w:val="001B57B7"/>
    <w:rsid w:val="001B6163"/>
    <w:rsid w:val="001C23C6"/>
    <w:rsid w:val="001C30E0"/>
    <w:rsid w:val="001C34F0"/>
    <w:rsid w:val="001C433E"/>
    <w:rsid w:val="001C5004"/>
    <w:rsid w:val="001C60C9"/>
    <w:rsid w:val="001D1432"/>
    <w:rsid w:val="001D146F"/>
    <w:rsid w:val="001D4939"/>
    <w:rsid w:val="001D50A8"/>
    <w:rsid w:val="001D510D"/>
    <w:rsid w:val="001D58C1"/>
    <w:rsid w:val="001E0494"/>
    <w:rsid w:val="001E1F16"/>
    <w:rsid w:val="001F0014"/>
    <w:rsid w:val="001F0FE4"/>
    <w:rsid w:val="001F2258"/>
    <w:rsid w:val="001F2978"/>
    <w:rsid w:val="001F2E83"/>
    <w:rsid w:val="001F6044"/>
    <w:rsid w:val="001F69C9"/>
    <w:rsid w:val="001F7235"/>
    <w:rsid w:val="00200D3F"/>
    <w:rsid w:val="00203BB5"/>
    <w:rsid w:val="002066AD"/>
    <w:rsid w:val="002079DB"/>
    <w:rsid w:val="00213E3E"/>
    <w:rsid w:val="00214472"/>
    <w:rsid w:val="00215C6D"/>
    <w:rsid w:val="002176C2"/>
    <w:rsid w:val="00217CB1"/>
    <w:rsid w:val="002202B3"/>
    <w:rsid w:val="002203AF"/>
    <w:rsid w:val="00222926"/>
    <w:rsid w:val="00223EA3"/>
    <w:rsid w:val="002252DF"/>
    <w:rsid w:val="002263F1"/>
    <w:rsid w:val="002311E8"/>
    <w:rsid w:val="0023220C"/>
    <w:rsid w:val="002338FE"/>
    <w:rsid w:val="00233B3A"/>
    <w:rsid w:val="0023438C"/>
    <w:rsid w:val="00235E78"/>
    <w:rsid w:val="00236005"/>
    <w:rsid w:val="00236018"/>
    <w:rsid w:val="00236B90"/>
    <w:rsid w:val="0023772E"/>
    <w:rsid w:val="00240F95"/>
    <w:rsid w:val="0024740E"/>
    <w:rsid w:val="00251D32"/>
    <w:rsid w:val="00252571"/>
    <w:rsid w:val="002608B2"/>
    <w:rsid w:val="00262498"/>
    <w:rsid w:val="00262773"/>
    <w:rsid w:val="00263B65"/>
    <w:rsid w:val="00263D95"/>
    <w:rsid w:val="00270EB8"/>
    <w:rsid w:val="002723CA"/>
    <w:rsid w:val="00272AFD"/>
    <w:rsid w:val="00272ED4"/>
    <w:rsid w:val="002735C2"/>
    <w:rsid w:val="00274299"/>
    <w:rsid w:val="00274AD9"/>
    <w:rsid w:val="00274D5D"/>
    <w:rsid w:val="002754F3"/>
    <w:rsid w:val="00277BFC"/>
    <w:rsid w:val="00277D6D"/>
    <w:rsid w:val="002803AE"/>
    <w:rsid w:val="00281305"/>
    <w:rsid w:val="002867C5"/>
    <w:rsid w:val="00286965"/>
    <w:rsid w:val="002908E2"/>
    <w:rsid w:val="002922B3"/>
    <w:rsid w:val="002946A6"/>
    <w:rsid w:val="00295F5A"/>
    <w:rsid w:val="0029669B"/>
    <w:rsid w:val="00296E73"/>
    <w:rsid w:val="00297538"/>
    <w:rsid w:val="00297F80"/>
    <w:rsid w:val="002A02EA"/>
    <w:rsid w:val="002A15EE"/>
    <w:rsid w:val="002A2041"/>
    <w:rsid w:val="002A3554"/>
    <w:rsid w:val="002A79D0"/>
    <w:rsid w:val="002B59B7"/>
    <w:rsid w:val="002B60DA"/>
    <w:rsid w:val="002B7E3F"/>
    <w:rsid w:val="002C11D9"/>
    <w:rsid w:val="002C18F9"/>
    <w:rsid w:val="002C1B15"/>
    <w:rsid w:val="002C24F0"/>
    <w:rsid w:val="002C3912"/>
    <w:rsid w:val="002C3D7E"/>
    <w:rsid w:val="002C4694"/>
    <w:rsid w:val="002C61BA"/>
    <w:rsid w:val="002D32DA"/>
    <w:rsid w:val="002D3D33"/>
    <w:rsid w:val="002D5185"/>
    <w:rsid w:val="002D5526"/>
    <w:rsid w:val="002D5BA9"/>
    <w:rsid w:val="002D6F50"/>
    <w:rsid w:val="002E04CA"/>
    <w:rsid w:val="002E078E"/>
    <w:rsid w:val="002E28F9"/>
    <w:rsid w:val="002E6B75"/>
    <w:rsid w:val="002F3876"/>
    <w:rsid w:val="002F3BE0"/>
    <w:rsid w:val="002F3D64"/>
    <w:rsid w:val="002F5CE9"/>
    <w:rsid w:val="002F6481"/>
    <w:rsid w:val="00301435"/>
    <w:rsid w:val="00303A79"/>
    <w:rsid w:val="003061A6"/>
    <w:rsid w:val="003065FB"/>
    <w:rsid w:val="00310CF8"/>
    <w:rsid w:val="00311F11"/>
    <w:rsid w:val="00312F39"/>
    <w:rsid w:val="003132E9"/>
    <w:rsid w:val="00316B63"/>
    <w:rsid w:val="00316D64"/>
    <w:rsid w:val="00316D7B"/>
    <w:rsid w:val="00317A71"/>
    <w:rsid w:val="00320E31"/>
    <w:rsid w:val="00322188"/>
    <w:rsid w:val="0032297F"/>
    <w:rsid w:val="003238E3"/>
    <w:rsid w:val="00325139"/>
    <w:rsid w:val="00327145"/>
    <w:rsid w:val="003311D1"/>
    <w:rsid w:val="00331BE0"/>
    <w:rsid w:val="00335459"/>
    <w:rsid w:val="00335D73"/>
    <w:rsid w:val="0033639F"/>
    <w:rsid w:val="0033640D"/>
    <w:rsid w:val="00341B2C"/>
    <w:rsid w:val="0034296E"/>
    <w:rsid w:val="00343133"/>
    <w:rsid w:val="00343826"/>
    <w:rsid w:val="00343858"/>
    <w:rsid w:val="0034437E"/>
    <w:rsid w:val="003443FC"/>
    <w:rsid w:val="00346620"/>
    <w:rsid w:val="00346F9B"/>
    <w:rsid w:val="0035168F"/>
    <w:rsid w:val="003537AD"/>
    <w:rsid w:val="003541AF"/>
    <w:rsid w:val="00355348"/>
    <w:rsid w:val="0035693F"/>
    <w:rsid w:val="003646E4"/>
    <w:rsid w:val="0036555E"/>
    <w:rsid w:val="00367191"/>
    <w:rsid w:val="00370625"/>
    <w:rsid w:val="00370EE3"/>
    <w:rsid w:val="0037184E"/>
    <w:rsid w:val="00371C41"/>
    <w:rsid w:val="00373EAA"/>
    <w:rsid w:val="003759E3"/>
    <w:rsid w:val="0037686A"/>
    <w:rsid w:val="00376FDF"/>
    <w:rsid w:val="00377B1F"/>
    <w:rsid w:val="00377BCF"/>
    <w:rsid w:val="00377F99"/>
    <w:rsid w:val="003802B9"/>
    <w:rsid w:val="003811D9"/>
    <w:rsid w:val="00381598"/>
    <w:rsid w:val="00381B2A"/>
    <w:rsid w:val="00382E18"/>
    <w:rsid w:val="003835AF"/>
    <w:rsid w:val="00384030"/>
    <w:rsid w:val="0038425F"/>
    <w:rsid w:val="00390773"/>
    <w:rsid w:val="00391368"/>
    <w:rsid w:val="00391A6A"/>
    <w:rsid w:val="0039461E"/>
    <w:rsid w:val="00395D31"/>
    <w:rsid w:val="00396529"/>
    <w:rsid w:val="00396583"/>
    <w:rsid w:val="003A0453"/>
    <w:rsid w:val="003A04ED"/>
    <w:rsid w:val="003A2648"/>
    <w:rsid w:val="003A291E"/>
    <w:rsid w:val="003A2EE8"/>
    <w:rsid w:val="003A30C0"/>
    <w:rsid w:val="003A5926"/>
    <w:rsid w:val="003A59A9"/>
    <w:rsid w:val="003A5DB6"/>
    <w:rsid w:val="003B19B4"/>
    <w:rsid w:val="003B2039"/>
    <w:rsid w:val="003B2C79"/>
    <w:rsid w:val="003B4E5E"/>
    <w:rsid w:val="003C0062"/>
    <w:rsid w:val="003C0E01"/>
    <w:rsid w:val="003C104D"/>
    <w:rsid w:val="003C2464"/>
    <w:rsid w:val="003C3132"/>
    <w:rsid w:val="003C419A"/>
    <w:rsid w:val="003C4CDE"/>
    <w:rsid w:val="003C4EC2"/>
    <w:rsid w:val="003C6647"/>
    <w:rsid w:val="003C6B25"/>
    <w:rsid w:val="003D107B"/>
    <w:rsid w:val="003D243A"/>
    <w:rsid w:val="003D285B"/>
    <w:rsid w:val="003D444F"/>
    <w:rsid w:val="003D4771"/>
    <w:rsid w:val="003D53C0"/>
    <w:rsid w:val="003D6E87"/>
    <w:rsid w:val="003D7A9D"/>
    <w:rsid w:val="003D7D2F"/>
    <w:rsid w:val="003E0082"/>
    <w:rsid w:val="003E14C4"/>
    <w:rsid w:val="003E19F2"/>
    <w:rsid w:val="003E3FB6"/>
    <w:rsid w:val="003E4A62"/>
    <w:rsid w:val="003E5596"/>
    <w:rsid w:val="003E602A"/>
    <w:rsid w:val="003E672E"/>
    <w:rsid w:val="003E6FFA"/>
    <w:rsid w:val="003E7142"/>
    <w:rsid w:val="003F20AC"/>
    <w:rsid w:val="003F2AAF"/>
    <w:rsid w:val="003F5DFD"/>
    <w:rsid w:val="003F6117"/>
    <w:rsid w:val="00401347"/>
    <w:rsid w:val="0040134A"/>
    <w:rsid w:val="00402388"/>
    <w:rsid w:val="00402F9B"/>
    <w:rsid w:val="0040385F"/>
    <w:rsid w:val="00404315"/>
    <w:rsid w:val="00404F3B"/>
    <w:rsid w:val="00410A55"/>
    <w:rsid w:val="00411A68"/>
    <w:rsid w:val="00413B83"/>
    <w:rsid w:val="0041418C"/>
    <w:rsid w:val="00414D0A"/>
    <w:rsid w:val="00416A8F"/>
    <w:rsid w:val="00417059"/>
    <w:rsid w:val="00417C70"/>
    <w:rsid w:val="00417FEA"/>
    <w:rsid w:val="00421E8A"/>
    <w:rsid w:val="004226AE"/>
    <w:rsid w:val="00423C7F"/>
    <w:rsid w:val="00423F7F"/>
    <w:rsid w:val="00424C88"/>
    <w:rsid w:val="00424CB5"/>
    <w:rsid w:val="004253A3"/>
    <w:rsid w:val="00425B3D"/>
    <w:rsid w:val="00427B58"/>
    <w:rsid w:val="004311C5"/>
    <w:rsid w:val="0043417B"/>
    <w:rsid w:val="0043428B"/>
    <w:rsid w:val="004343AC"/>
    <w:rsid w:val="00435A2E"/>
    <w:rsid w:val="00435ECF"/>
    <w:rsid w:val="004368A6"/>
    <w:rsid w:val="00436C1B"/>
    <w:rsid w:val="00440E1B"/>
    <w:rsid w:val="00440E29"/>
    <w:rsid w:val="00441A14"/>
    <w:rsid w:val="0044441F"/>
    <w:rsid w:val="0044587F"/>
    <w:rsid w:val="00445944"/>
    <w:rsid w:val="004460E7"/>
    <w:rsid w:val="00446946"/>
    <w:rsid w:val="0044735F"/>
    <w:rsid w:val="004502A2"/>
    <w:rsid w:val="00450687"/>
    <w:rsid w:val="00451D5C"/>
    <w:rsid w:val="004543DB"/>
    <w:rsid w:val="00454616"/>
    <w:rsid w:val="0045765D"/>
    <w:rsid w:val="00457E5F"/>
    <w:rsid w:val="004627EF"/>
    <w:rsid w:val="00462D49"/>
    <w:rsid w:val="00463379"/>
    <w:rsid w:val="00465BC6"/>
    <w:rsid w:val="004667FE"/>
    <w:rsid w:val="00466BC7"/>
    <w:rsid w:val="00475D89"/>
    <w:rsid w:val="00476281"/>
    <w:rsid w:val="00477774"/>
    <w:rsid w:val="00480637"/>
    <w:rsid w:val="004838C2"/>
    <w:rsid w:val="0048493C"/>
    <w:rsid w:val="004850BB"/>
    <w:rsid w:val="004872FB"/>
    <w:rsid w:val="00490C1F"/>
    <w:rsid w:val="00491656"/>
    <w:rsid w:val="0049506D"/>
    <w:rsid w:val="004956CE"/>
    <w:rsid w:val="00495F44"/>
    <w:rsid w:val="00496104"/>
    <w:rsid w:val="0049789C"/>
    <w:rsid w:val="004A30C7"/>
    <w:rsid w:val="004A31D3"/>
    <w:rsid w:val="004A4AC2"/>
    <w:rsid w:val="004A74A7"/>
    <w:rsid w:val="004B0159"/>
    <w:rsid w:val="004B2713"/>
    <w:rsid w:val="004C0BAB"/>
    <w:rsid w:val="004C2C2B"/>
    <w:rsid w:val="004C6859"/>
    <w:rsid w:val="004C7244"/>
    <w:rsid w:val="004C729B"/>
    <w:rsid w:val="004D13E0"/>
    <w:rsid w:val="004D4223"/>
    <w:rsid w:val="004D60ED"/>
    <w:rsid w:val="004D63C2"/>
    <w:rsid w:val="004E102B"/>
    <w:rsid w:val="004E3C98"/>
    <w:rsid w:val="004E40C3"/>
    <w:rsid w:val="004E42E3"/>
    <w:rsid w:val="004E4B9A"/>
    <w:rsid w:val="004E58A1"/>
    <w:rsid w:val="004E5F17"/>
    <w:rsid w:val="004F0ED4"/>
    <w:rsid w:val="004F2DC2"/>
    <w:rsid w:val="004F302D"/>
    <w:rsid w:val="004F3329"/>
    <w:rsid w:val="004F340B"/>
    <w:rsid w:val="004F3E04"/>
    <w:rsid w:val="004F65B6"/>
    <w:rsid w:val="00502219"/>
    <w:rsid w:val="00503EF2"/>
    <w:rsid w:val="005043A1"/>
    <w:rsid w:val="00504C03"/>
    <w:rsid w:val="005053D0"/>
    <w:rsid w:val="005063F2"/>
    <w:rsid w:val="00511FA2"/>
    <w:rsid w:val="00512AC0"/>
    <w:rsid w:val="00512DC2"/>
    <w:rsid w:val="00512F2A"/>
    <w:rsid w:val="005132AB"/>
    <w:rsid w:val="00513392"/>
    <w:rsid w:val="005140B5"/>
    <w:rsid w:val="0052036B"/>
    <w:rsid w:val="00520EDB"/>
    <w:rsid w:val="00521782"/>
    <w:rsid w:val="00522856"/>
    <w:rsid w:val="005239E2"/>
    <w:rsid w:val="00523C35"/>
    <w:rsid w:val="00524288"/>
    <w:rsid w:val="00524404"/>
    <w:rsid w:val="005269DC"/>
    <w:rsid w:val="005270A0"/>
    <w:rsid w:val="00527999"/>
    <w:rsid w:val="00530CD2"/>
    <w:rsid w:val="00530EF0"/>
    <w:rsid w:val="00531C08"/>
    <w:rsid w:val="00533183"/>
    <w:rsid w:val="005333E7"/>
    <w:rsid w:val="00534251"/>
    <w:rsid w:val="0053535A"/>
    <w:rsid w:val="00535E45"/>
    <w:rsid w:val="0054044D"/>
    <w:rsid w:val="005430A1"/>
    <w:rsid w:val="005434F9"/>
    <w:rsid w:val="00543F29"/>
    <w:rsid w:val="00544B6E"/>
    <w:rsid w:val="005456F0"/>
    <w:rsid w:val="00545A6C"/>
    <w:rsid w:val="00545C21"/>
    <w:rsid w:val="00550511"/>
    <w:rsid w:val="00550DB5"/>
    <w:rsid w:val="005517F7"/>
    <w:rsid w:val="00552144"/>
    <w:rsid w:val="00552BAC"/>
    <w:rsid w:val="00553E83"/>
    <w:rsid w:val="00553FDB"/>
    <w:rsid w:val="00554B32"/>
    <w:rsid w:val="0055549E"/>
    <w:rsid w:val="0055731E"/>
    <w:rsid w:val="0055796D"/>
    <w:rsid w:val="00560012"/>
    <w:rsid w:val="005611A5"/>
    <w:rsid w:val="0056185D"/>
    <w:rsid w:val="00561E7E"/>
    <w:rsid w:val="0056278F"/>
    <w:rsid w:val="00563923"/>
    <w:rsid w:val="0056495C"/>
    <w:rsid w:val="005656B3"/>
    <w:rsid w:val="00566EE8"/>
    <w:rsid w:val="0057175B"/>
    <w:rsid w:val="00572647"/>
    <w:rsid w:val="0057283B"/>
    <w:rsid w:val="00576C05"/>
    <w:rsid w:val="00577C94"/>
    <w:rsid w:val="0058042E"/>
    <w:rsid w:val="005806C2"/>
    <w:rsid w:val="00581BE8"/>
    <w:rsid w:val="00582653"/>
    <w:rsid w:val="00583075"/>
    <w:rsid w:val="0058535D"/>
    <w:rsid w:val="005871BD"/>
    <w:rsid w:val="005909AA"/>
    <w:rsid w:val="00591EB3"/>
    <w:rsid w:val="0059307F"/>
    <w:rsid w:val="00594B1A"/>
    <w:rsid w:val="00596ABF"/>
    <w:rsid w:val="005A140F"/>
    <w:rsid w:val="005A5CA4"/>
    <w:rsid w:val="005A7A44"/>
    <w:rsid w:val="005B066D"/>
    <w:rsid w:val="005B1347"/>
    <w:rsid w:val="005B353F"/>
    <w:rsid w:val="005B436C"/>
    <w:rsid w:val="005B52A1"/>
    <w:rsid w:val="005B6D82"/>
    <w:rsid w:val="005C06F0"/>
    <w:rsid w:val="005C1261"/>
    <w:rsid w:val="005C4A98"/>
    <w:rsid w:val="005C6013"/>
    <w:rsid w:val="005C690D"/>
    <w:rsid w:val="005C7E48"/>
    <w:rsid w:val="005D0C9D"/>
    <w:rsid w:val="005D0E6C"/>
    <w:rsid w:val="005D1C9D"/>
    <w:rsid w:val="005D1FAB"/>
    <w:rsid w:val="005D4302"/>
    <w:rsid w:val="005D5F55"/>
    <w:rsid w:val="005D5F9A"/>
    <w:rsid w:val="005D6168"/>
    <w:rsid w:val="005D6698"/>
    <w:rsid w:val="005E0444"/>
    <w:rsid w:val="005E45FC"/>
    <w:rsid w:val="005E5330"/>
    <w:rsid w:val="005E6765"/>
    <w:rsid w:val="005F011A"/>
    <w:rsid w:val="005F023A"/>
    <w:rsid w:val="005F0E7B"/>
    <w:rsid w:val="005F20A6"/>
    <w:rsid w:val="005F238F"/>
    <w:rsid w:val="005F33A8"/>
    <w:rsid w:val="005F3419"/>
    <w:rsid w:val="005F4B6E"/>
    <w:rsid w:val="005F7119"/>
    <w:rsid w:val="005F75AE"/>
    <w:rsid w:val="0060131C"/>
    <w:rsid w:val="00602C65"/>
    <w:rsid w:val="00606465"/>
    <w:rsid w:val="0060705C"/>
    <w:rsid w:val="00610038"/>
    <w:rsid w:val="006104F7"/>
    <w:rsid w:val="006118DA"/>
    <w:rsid w:val="0061384D"/>
    <w:rsid w:val="00614464"/>
    <w:rsid w:val="00614F71"/>
    <w:rsid w:val="00616B5E"/>
    <w:rsid w:val="006179E4"/>
    <w:rsid w:val="00620A96"/>
    <w:rsid w:val="00621DFC"/>
    <w:rsid w:val="00621FA7"/>
    <w:rsid w:val="00622BAC"/>
    <w:rsid w:val="00623075"/>
    <w:rsid w:val="00624BED"/>
    <w:rsid w:val="00626FE7"/>
    <w:rsid w:val="0062725D"/>
    <w:rsid w:val="0063007E"/>
    <w:rsid w:val="00631F92"/>
    <w:rsid w:val="006322B0"/>
    <w:rsid w:val="00634CBA"/>
    <w:rsid w:val="0063719C"/>
    <w:rsid w:val="00641E87"/>
    <w:rsid w:val="00642B94"/>
    <w:rsid w:val="00644006"/>
    <w:rsid w:val="006458E4"/>
    <w:rsid w:val="0064741A"/>
    <w:rsid w:val="006538B6"/>
    <w:rsid w:val="006552B0"/>
    <w:rsid w:val="00656269"/>
    <w:rsid w:val="006566D8"/>
    <w:rsid w:val="006616C7"/>
    <w:rsid w:val="006625AD"/>
    <w:rsid w:val="0066558D"/>
    <w:rsid w:val="006671BF"/>
    <w:rsid w:val="006675F5"/>
    <w:rsid w:val="0067209C"/>
    <w:rsid w:val="0067612D"/>
    <w:rsid w:val="00681CA9"/>
    <w:rsid w:val="00682D55"/>
    <w:rsid w:val="00683F80"/>
    <w:rsid w:val="00684616"/>
    <w:rsid w:val="00684FC6"/>
    <w:rsid w:val="00686A5A"/>
    <w:rsid w:val="00686F67"/>
    <w:rsid w:val="00687079"/>
    <w:rsid w:val="006901E2"/>
    <w:rsid w:val="00690D96"/>
    <w:rsid w:val="006922E8"/>
    <w:rsid w:val="006941E5"/>
    <w:rsid w:val="00696445"/>
    <w:rsid w:val="006A137D"/>
    <w:rsid w:val="006A2CF9"/>
    <w:rsid w:val="006A4414"/>
    <w:rsid w:val="006A4724"/>
    <w:rsid w:val="006A4B30"/>
    <w:rsid w:val="006A52D8"/>
    <w:rsid w:val="006B1900"/>
    <w:rsid w:val="006B218E"/>
    <w:rsid w:val="006B252C"/>
    <w:rsid w:val="006B287E"/>
    <w:rsid w:val="006B3ED4"/>
    <w:rsid w:val="006B3F18"/>
    <w:rsid w:val="006B5942"/>
    <w:rsid w:val="006B6946"/>
    <w:rsid w:val="006C12D1"/>
    <w:rsid w:val="006C17C9"/>
    <w:rsid w:val="006D051A"/>
    <w:rsid w:val="006D12A2"/>
    <w:rsid w:val="006D3924"/>
    <w:rsid w:val="006D5183"/>
    <w:rsid w:val="006D5EA4"/>
    <w:rsid w:val="006D719B"/>
    <w:rsid w:val="006E0652"/>
    <w:rsid w:val="006E11DD"/>
    <w:rsid w:val="006E7114"/>
    <w:rsid w:val="006E7C6D"/>
    <w:rsid w:val="006E7DA9"/>
    <w:rsid w:val="006E7F0A"/>
    <w:rsid w:val="006F046B"/>
    <w:rsid w:val="006F0495"/>
    <w:rsid w:val="006F0A0C"/>
    <w:rsid w:val="006F0CA4"/>
    <w:rsid w:val="006F0EF0"/>
    <w:rsid w:val="006F1EF5"/>
    <w:rsid w:val="006F2C22"/>
    <w:rsid w:val="006F57D2"/>
    <w:rsid w:val="006F5D1E"/>
    <w:rsid w:val="006F6333"/>
    <w:rsid w:val="00700991"/>
    <w:rsid w:val="00700E72"/>
    <w:rsid w:val="007025F0"/>
    <w:rsid w:val="00702D8B"/>
    <w:rsid w:val="00704518"/>
    <w:rsid w:val="007056DD"/>
    <w:rsid w:val="00710006"/>
    <w:rsid w:val="00712582"/>
    <w:rsid w:val="00712AF9"/>
    <w:rsid w:val="007139B4"/>
    <w:rsid w:val="00713AC4"/>
    <w:rsid w:val="0071496E"/>
    <w:rsid w:val="00717D51"/>
    <w:rsid w:val="00720C76"/>
    <w:rsid w:val="0072220D"/>
    <w:rsid w:val="00722AFF"/>
    <w:rsid w:val="00724823"/>
    <w:rsid w:val="00726C3F"/>
    <w:rsid w:val="00731692"/>
    <w:rsid w:val="007330F0"/>
    <w:rsid w:val="00734394"/>
    <w:rsid w:val="00735D19"/>
    <w:rsid w:val="00735E1D"/>
    <w:rsid w:val="00736838"/>
    <w:rsid w:val="00740135"/>
    <w:rsid w:val="00740BBE"/>
    <w:rsid w:val="00741345"/>
    <w:rsid w:val="00750A30"/>
    <w:rsid w:val="00750D99"/>
    <w:rsid w:val="00751549"/>
    <w:rsid w:val="00751851"/>
    <w:rsid w:val="00752CDD"/>
    <w:rsid w:val="00752D46"/>
    <w:rsid w:val="00753441"/>
    <w:rsid w:val="00753C56"/>
    <w:rsid w:val="00754323"/>
    <w:rsid w:val="0075663D"/>
    <w:rsid w:val="007566FE"/>
    <w:rsid w:val="007571E1"/>
    <w:rsid w:val="00760403"/>
    <w:rsid w:val="00761B52"/>
    <w:rsid w:val="00762986"/>
    <w:rsid w:val="007631F5"/>
    <w:rsid w:val="00763874"/>
    <w:rsid w:val="00764533"/>
    <w:rsid w:val="00765EDE"/>
    <w:rsid w:val="00767C5B"/>
    <w:rsid w:val="00772B01"/>
    <w:rsid w:val="00772CA3"/>
    <w:rsid w:val="0078306B"/>
    <w:rsid w:val="00786AB8"/>
    <w:rsid w:val="00787236"/>
    <w:rsid w:val="00787E78"/>
    <w:rsid w:val="00790589"/>
    <w:rsid w:val="00791FAB"/>
    <w:rsid w:val="00792BE1"/>
    <w:rsid w:val="007930D7"/>
    <w:rsid w:val="00793DFF"/>
    <w:rsid w:val="00793EDF"/>
    <w:rsid w:val="0079419E"/>
    <w:rsid w:val="00794F00"/>
    <w:rsid w:val="00794F9D"/>
    <w:rsid w:val="00796F6C"/>
    <w:rsid w:val="007973AE"/>
    <w:rsid w:val="00797A02"/>
    <w:rsid w:val="00797C4E"/>
    <w:rsid w:val="007A0D8B"/>
    <w:rsid w:val="007A4B55"/>
    <w:rsid w:val="007A50EE"/>
    <w:rsid w:val="007A62B5"/>
    <w:rsid w:val="007A6EB2"/>
    <w:rsid w:val="007B0FC7"/>
    <w:rsid w:val="007B11DD"/>
    <w:rsid w:val="007B4938"/>
    <w:rsid w:val="007C1FDB"/>
    <w:rsid w:val="007C30B5"/>
    <w:rsid w:val="007C3224"/>
    <w:rsid w:val="007C3EBD"/>
    <w:rsid w:val="007C779E"/>
    <w:rsid w:val="007D0C4B"/>
    <w:rsid w:val="007D166C"/>
    <w:rsid w:val="007D3529"/>
    <w:rsid w:val="007D6CDC"/>
    <w:rsid w:val="007D7211"/>
    <w:rsid w:val="007D7BB0"/>
    <w:rsid w:val="007E09A3"/>
    <w:rsid w:val="007E0BB2"/>
    <w:rsid w:val="007E132D"/>
    <w:rsid w:val="007E2C4A"/>
    <w:rsid w:val="007E36B1"/>
    <w:rsid w:val="007E3946"/>
    <w:rsid w:val="007E4149"/>
    <w:rsid w:val="007E4DB0"/>
    <w:rsid w:val="007E570A"/>
    <w:rsid w:val="007E6819"/>
    <w:rsid w:val="007E702E"/>
    <w:rsid w:val="007E726F"/>
    <w:rsid w:val="007F21B2"/>
    <w:rsid w:val="007F3986"/>
    <w:rsid w:val="007F39C3"/>
    <w:rsid w:val="007F5BCA"/>
    <w:rsid w:val="007F5C8B"/>
    <w:rsid w:val="007F6103"/>
    <w:rsid w:val="007F636A"/>
    <w:rsid w:val="007F6DBF"/>
    <w:rsid w:val="007F7165"/>
    <w:rsid w:val="008011A0"/>
    <w:rsid w:val="00801938"/>
    <w:rsid w:val="00801B92"/>
    <w:rsid w:val="00803174"/>
    <w:rsid w:val="00803BE3"/>
    <w:rsid w:val="00805660"/>
    <w:rsid w:val="00810CCD"/>
    <w:rsid w:val="00811085"/>
    <w:rsid w:val="00811322"/>
    <w:rsid w:val="00814BEB"/>
    <w:rsid w:val="0081685D"/>
    <w:rsid w:val="008175A7"/>
    <w:rsid w:val="008202F0"/>
    <w:rsid w:val="00820347"/>
    <w:rsid w:val="008204AE"/>
    <w:rsid w:val="0082087A"/>
    <w:rsid w:val="00822208"/>
    <w:rsid w:val="00824FAF"/>
    <w:rsid w:val="008251BB"/>
    <w:rsid w:val="00825F3B"/>
    <w:rsid w:val="0082662E"/>
    <w:rsid w:val="00826CBA"/>
    <w:rsid w:val="00832701"/>
    <w:rsid w:val="00832903"/>
    <w:rsid w:val="0083545D"/>
    <w:rsid w:val="00835C02"/>
    <w:rsid w:val="00836F31"/>
    <w:rsid w:val="008401A7"/>
    <w:rsid w:val="0084027E"/>
    <w:rsid w:val="00841F22"/>
    <w:rsid w:val="00843535"/>
    <w:rsid w:val="008450F4"/>
    <w:rsid w:val="008468C1"/>
    <w:rsid w:val="00847F94"/>
    <w:rsid w:val="00851201"/>
    <w:rsid w:val="00854153"/>
    <w:rsid w:val="008547D3"/>
    <w:rsid w:val="00854882"/>
    <w:rsid w:val="008568FD"/>
    <w:rsid w:val="008576F7"/>
    <w:rsid w:val="0086032F"/>
    <w:rsid w:val="00861C9E"/>
    <w:rsid w:val="0086200B"/>
    <w:rsid w:val="00863839"/>
    <w:rsid w:val="00865667"/>
    <w:rsid w:val="00866C0F"/>
    <w:rsid w:val="00871393"/>
    <w:rsid w:val="00872FB9"/>
    <w:rsid w:val="00873A55"/>
    <w:rsid w:val="008742D9"/>
    <w:rsid w:val="00875120"/>
    <w:rsid w:val="008752F1"/>
    <w:rsid w:val="008818A0"/>
    <w:rsid w:val="00885CE2"/>
    <w:rsid w:val="00885D4F"/>
    <w:rsid w:val="00885DC3"/>
    <w:rsid w:val="0088657B"/>
    <w:rsid w:val="008900E6"/>
    <w:rsid w:val="00890483"/>
    <w:rsid w:val="00892139"/>
    <w:rsid w:val="00892BF7"/>
    <w:rsid w:val="00893D5E"/>
    <w:rsid w:val="00894615"/>
    <w:rsid w:val="00894631"/>
    <w:rsid w:val="00895315"/>
    <w:rsid w:val="00896AA2"/>
    <w:rsid w:val="008A0FEF"/>
    <w:rsid w:val="008A1050"/>
    <w:rsid w:val="008A1273"/>
    <w:rsid w:val="008A1928"/>
    <w:rsid w:val="008A2AC6"/>
    <w:rsid w:val="008A2BBB"/>
    <w:rsid w:val="008A2FBD"/>
    <w:rsid w:val="008A3B43"/>
    <w:rsid w:val="008A41BA"/>
    <w:rsid w:val="008A426E"/>
    <w:rsid w:val="008A4DE9"/>
    <w:rsid w:val="008A5E15"/>
    <w:rsid w:val="008A7F8A"/>
    <w:rsid w:val="008B32DD"/>
    <w:rsid w:val="008B37FF"/>
    <w:rsid w:val="008B3B09"/>
    <w:rsid w:val="008B54AC"/>
    <w:rsid w:val="008B6A81"/>
    <w:rsid w:val="008B7738"/>
    <w:rsid w:val="008C05FA"/>
    <w:rsid w:val="008C2B9B"/>
    <w:rsid w:val="008C3637"/>
    <w:rsid w:val="008C3B50"/>
    <w:rsid w:val="008C61AA"/>
    <w:rsid w:val="008D1E77"/>
    <w:rsid w:val="008D2BF6"/>
    <w:rsid w:val="008D304F"/>
    <w:rsid w:val="008D3589"/>
    <w:rsid w:val="008D6AA7"/>
    <w:rsid w:val="008D7F57"/>
    <w:rsid w:val="008E01E9"/>
    <w:rsid w:val="008E2231"/>
    <w:rsid w:val="008E2AE2"/>
    <w:rsid w:val="008E33D1"/>
    <w:rsid w:val="008E488C"/>
    <w:rsid w:val="008E4CDF"/>
    <w:rsid w:val="008F0E39"/>
    <w:rsid w:val="008F23BC"/>
    <w:rsid w:val="008F703F"/>
    <w:rsid w:val="009005FC"/>
    <w:rsid w:val="00901C2D"/>
    <w:rsid w:val="0090280A"/>
    <w:rsid w:val="00903E30"/>
    <w:rsid w:val="0090431F"/>
    <w:rsid w:val="009103D0"/>
    <w:rsid w:val="009107BB"/>
    <w:rsid w:val="009113E7"/>
    <w:rsid w:val="0091162A"/>
    <w:rsid w:val="009129DB"/>
    <w:rsid w:val="00913791"/>
    <w:rsid w:val="00913BE1"/>
    <w:rsid w:val="00915DB3"/>
    <w:rsid w:val="0091657B"/>
    <w:rsid w:val="00922AA2"/>
    <w:rsid w:val="00922AD0"/>
    <w:rsid w:val="00922B96"/>
    <w:rsid w:val="00923507"/>
    <w:rsid w:val="009245F4"/>
    <w:rsid w:val="00925035"/>
    <w:rsid w:val="009267AC"/>
    <w:rsid w:val="00927F3F"/>
    <w:rsid w:val="0093160B"/>
    <w:rsid w:val="009336E0"/>
    <w:rsid w:val="0093446F"/>
    <w:rsid w:val="00935E0C"/>
    <w:rsid w:val="00936708"/>
    <w:rsid w:val="00936E05"/>
    <w:rsid w:val="00937E72"/>
    <w:rsid w:val="009413F6"/>
    <w:rsid w:val="009423AC"/>
    <w:rsid w:val="009434E2"/>
    <w:rsid w:val="00943F03"/>
    <w:rsid w:val="00944283"/>
    <w:rsid w:val="009442B3"/>
    <w:rsid w:val="00945779"/>
    <w:rsid w:val="009463A3"/>
    <w:rsid w:val="009473A3"/>
    <w:rsid w:val="00950A02"/>
    <w:rsid w:val="00950C17"/>
    <w:rsid w:val="009525AC"/>
    <w:rsid w:val="00954665"/>
    <w:rsid w:val="00954D38"/>
    <w:rsid w:val="00955DFC"/>
    <w:rsid w:val="00956FF3"/>
    <w:rsid w:val="009607D8"/>
    <w:rsid w:val="00960E34"/>
    <w:rsid w:val="00961046"/>
    <w:rsid w:val="009612D1"/>
    <w:rsid w:val="009618EF"/>
    <w:rsid w:val="009622EA"/>
    <w:rsid w:val="00962C49"/>
    <w:rsid w:val="009638BE"/>
    <w:rsid w:val="00965FA1"/>
    <w:rsid w:val="00966111"/>
    <w:rsid w:val="0096752A"/>
    <w:rsid w:val="00967D62"/>
    <w:rsid w:val="00967FD1"/>
    <w:rsid w:val="00971313"/>
    <w:rsid w:val="0097396D"/>
    <w:rsid w:val="00974870"/>
    <w:rsid w:val="009748C1"/>
    <w:rsid w:val="0097583A"/>
    <w:rsid w:val="00976C92"/>
    <w:rsid w:val="00980ABF"/>
    <w:rsid w:val="00984B57"/>
    <w:rsid w:val="00985140"/>
    <w:rsid w:val="00985286"/>
    <w:rsid w:val="00987029"/>
    <w:rsid w:val="009874A6"/>
    <w:rsid w:val="00990285"/>
    <w:rsid w:val="00992B3B"/>
    <w:rsid w:val="00992FFF"/>
    <w:rsid w:val="00996439"/>
    <w:rsid w:val="0099677B"/>
    <w:rsid w:val="009969A0"/>
    <w:rsid w:val="00997BED"/>
    <w:rsid w:val="009A0EBC"/>
    <w:rsid w:val="009A1580"/>
    <w:rsid w:val="009A16A0"/>
    <w:rsid w:val="009A45CC"/>
    <w:rsid w:val="009A4B84"/>
    <w:rsid w:val="009A4FA9"/>
    <w:rsid w:val="009A54C4"/>
    <w:rsid w:val="009A5560"/>
    <w:rsid w:val="009A588F"/>
    <w:rsid w:val="009A6173"/>
    <w:rsid w:val="009A6421"/>
    <w:rsid w:val="009A6B5A"/>
    <w:rsid w:val="009A702D"/>
    <w:rsid w:val="009B40A0"/>
    <w:rsid w:val="009B543C"/>
    <w:rsid w:val="009B5D6F"/>
    <w:rsid w:val="009B64EA"/>
    <w:rsid w:val="009C43DC"/>
    <w:rsid w:val="009C49A6"/>
    <w:rsid w:val="009D2383"/>
    <w:rsid w:val="009D298C"/>
    <w:rsid w:val="009D2A7A"/>
    <w:rsid w:val="009D4C22"/>
    <w:rsid w:val="009D52A7"/>
    <w:rsid w:val="009E1424"/>
    <w:rsid w:val="009E2A41"/>
    <w:rsid w:val="009E30A2"/>
    <w:rsid w:val="009E328C"/>
    <w:rsid w:val="009E3D86"/>
    <w:rsid w:val="009E49E7"/>
    <w:rsid w:val="009E70C9"/>
    <w:rsid w:val="009E71C7"/>
    <w:rsid w:val="009F0D9E"/>
    <w:rsid w:val="009F0F69"/>
    <w:rsid w:val="009F1246"/>
    <w:rsid w:val="009F1457"/>
    <w:rsid w:val="009F1B0F"/>
    <w:rsid w:val="009F35FC"/>
    <w:rsid w:val="009F41EC"/>
    <w:rsid w:val="009F4AF4"/>
    <w:rsid w:val="009F7BBD"/>
    <w:rsid w:val="00A076F3"/>
    <w:rsid w:val="00A10A9A"/>
    <w:rsid w:val="00A11F14"/>
    <w:rsid w:val="00A120F8"/>
    <w:rsid w:val="00A135CB"/>
    <w:rsid w:val="00A1736D"/>
    <w:rsid w:val="00A176E4"/>
    <w:rsid w:val="00A21865"/>
    <w:rsid w:val="00A21C0F"/>
    <w:rsid w:val="00A21EAC"/>
    <w:rsid w:val="00A23CC1"/>
    <w:rsid w:val="00A24808"/>
    <w:rsid w:val="00A26EC0"/>
    <w:rsid w:val="00A3079E"/>
    <w:rsid w:val="00A3325C"/>
    <w:rsid w:val="00A35B7F"/>
    <w:rsid w:val="00A36B05"/>
    <w:rsid w:val="00A417E8"/>
    <w:rsid w:val="00A425DB"/>
    <w:rsid w:val="00A44513"/>
    <w:rsid w:val="00A4465D"/>
    <w:rsid w:val="00A4615B"/>
    <w:rsid w:val="00A46AF2"/>
    <w:rsid w:val="00A46B32"/>
    <w:rsid w:val="00A4793E"/>
    <w:rsid w:val="00A50863"/>
    <w:rsid w:val="00A51171"/>
    <w:rsid w:val="00A52A48"/>
    <w:rsid w:val="00A52F1F"/>
    <w:rsid w:val="00A5459C"/>
    <w:rsid w:val="00A54EFC"/>
    <w:rsid w:val="00A60191"/>
    <w:rsid w:val="00A6346A"/>
    <w:rsid w:val="00A64A53"/>
    <w:rsid w:val="00A65B66"/>
    <w:rsid w:val="00A678B7"/>
    <w:rsid w:val="00A703A1"/>
    <w:rsid w:val="00A70480"/>
    <w:rsid w:val="00A71927"/>
    <w:rsid w:val="00A72C1A"/>
    <w:rsid w:val="00A735DD"/>
    <w:rsid w:val="00A73D58"/>
    <w:rsid w:val="00A7438B"/>
    <w:rsid w:val="00A75FD9"/>
    <w:rsid w:val="00A768C6"/>
    <w:rsid w:val="00A77C48"/>
    <w:rsid w:val="00A81398"/>
    <w:rsid w:val="00A814DF"/>
    <w:rsid w:val="00A84072"/>
    <w:rsid w:val="00A84850"/>
    <w:rsid w:val="00A858C3"/>
    <w:rsid w:val="00A8670A"/>
    <w:rsid w:val="00A90853"/>
    <w:rsid w:val="00A90ED2"/>
    <w:rsid w:val="00A933FD"/>
    <w:rsid w:val="00A95540"/>
    <w:rsid w:val="00A96AF0"/>
    <w:rsid w:val="00AA0E89"/>
    <w:rsid w:val="00AA1526"/>
    <w:rsid w:val="00AA22F9"/>
    <w:rsid w:val="00AA2BF7"/>
    <w:rsid w:val="00AA3899"/>
    <w:rsid w:val="00AA45B5"/>
    <w:rsid w:val="00AA6424"/>
    <w:rsid w:val="00AA6659"/>
    <w:rsid w:val="00AA6745"/>
    <w:rsid w:val="00AA70B2"/>
    <w:rsid w:val="00AA77B8"/>
    <w:rsid w:val="00AB0B9C"/>
    <w:rsid w:val="00AB0FB3"/>
    <w:rsid w:val="00AB1D78"/>
    <w:rsid w:val="00AB6D91"/>
    <w:rsid w:val="00AC12A1"/>
    <w:rsid w:val="00AC3A89"/>
    <w:rsid w:val="00AC4AB0"/>
    <w:rsid w:val="00AC53FB"/>
    <w:rsid w:val="00AC639F"/>
    <w:rsid w:val="00AC78D3"/>
    <w:rsid w:val="00AC7E4C"/>
    <w:rsid w:val="00AD009F"/>
    <w:rsid w:val="00AD1078"/>
    <w:rsid w:val="00AD14FA"/>
    <w:rsid w:val="00AD2079"/>
    <w:rsid w:val="00AD28C8"/>
    <w:rsid w:val="00AD3F0B"/>
    <w:rsid w:val="00AD6F7D"/>
    <w:rsid w:val="00AD70DF"/>
    <w:rsid w:val="00AD76CA"/>
    <w:rsid w:val="00AD78F6"/>
    <w:rsid w:val="00AD7DE9"/>
    <w:rsid w:val="00AE0C8F"/>
    <w:rsid w:val="00AF03E9"/>
    <w:rsid w:val="00AF08D3"/>
    <w:rsid w:val="00AF152F"/>
    <w:rsid w:val="00AF23F9"/>
    <w:rsid w:val="00AF2BB9"/>
    <w:rsid w:val="00AF3CD6"/>
    <w:rsid w:val="00AF71C9"/>
    <w:rsid w:val="00AF7D3D"/>
    <w:rsid w:val="00B046E9"/>
    <w:rsid w:val="00B04BD9"/>
    <w:rsid w:val="00B05ED4"/>
    <w:rsid w:val="00B07A2B"/>
    <w:rsid w:val="00B11084"/>
    <w:rsid w:val="00B1115F"/>
    <w:rsid w:val="00B119AE"/>
    <w:rsid w:val="00B11E0A"/>
    <w:rsid w:val="00B12A52"/>
    <w:rsid w:val="00B14E09"/>
    <w:rsid w:val="00B1622E"/>
    <w:rsid w:val="00B20991"/>
    <w:rsid w:val="00B20B99"/>
    <w:rsid w:val="00B219FB"/>
    <w:rsid w:val="00B22346"/>
    <w:rsid w:val="00B23543"/>
    <w:rsid w:val="00B2360A"/>
    <w:rsid w:val="00B23CE4"/>
    <w:rsid w:val="00B24E67"/>
    <w:rsid w:val="00B25A37"/>
    <w:rsid w:val="00B312EB"/>
    <w:rsid w:val="00B31EBA"/>
    <w:rsid w:val="00B322E4"/>
    <w:rsid w:val="00B325AA"/>
    <w:rsid w:val="00B33A4A"/>
    <w:rsid w:val="00B34905"/>
    <w:rsid w:val="00B35B61"/>
    <w:rsid w:val="00B36741"/>
    <w:rsid w:val="00B37B26"/>
    <w:rsid w:val="00B42A80"/>
    <w:rsid w:val="00B438CB"/>
    <w:rsid w:val="00B45D38"/>
    <w:rsid w:val="00B4702E"/>
    <w:rsid w:val="00B4762E"/>
    <w:rsid w:val="00B47FE6"/>
    <w:rsid w:val="00B510EB"/>
    <w:rsid w:val="00B51398"/>
    <w:rsid w:val="00B5206F"/>
    <w:rsid w:val="00B5346D"/>
    <w:rsid w:val="00B53859"/>
    <w:rsid w:val="00B571D8"/>
    <w:rsid w:val="00B60289"/>
    <w:rsid w:val="00B6136B"/>
    <w:rsid w:val="00B61B8C"/>
    <w:rsid w:val="00B62A41"/>
    <w:rsid w:val="00B63ECF"/>
    <w:rsid w:val="00B640C1"/>
    <w:rsid w:val="00B674BB"/>
    <w:rsid w:val="00B67F90"/>
    <w:rsid w:val="00B7043C"/>
    <w:rsid w:val="00B70ED8"/>
    <w:rsid w:val="00B71316"/>
    <w:rsid w:val="00B72131"/>
    <w:rsid w:val="00B7319E"/>
    <w:rsid w:val="00B731AA"/>
    <w:rsid w:val="00B7613B"/>
    <w:rsid w:val="00B772CF"/>
    <w:rsid w:val="00B7786A"/>
    <w:rsid w:val="00B812E8"/>
    <w:rsid w:val="00B8328F"/>
    <w:rsid w:val="00B83B4C"/>
    <w:rsid w:val="00B83B51"/>
    <w:rsid w:val="00B83ED0"/>
    <w:rsid w:val="00B840BE"/>
    <w:rsid w:val="00B84102"/>
    <w:rsid w:val="00B8605B"/>
    <w:rsid w:val="00B8660F"/>
    <w:rsid w:val="00B867A3"/>
    <w:rsid w:val="00B87332"/>
    <w:rsid w:val="00B87DA4"/>
    <w:rsid w:val="00B87DA9"/>
    <w:rsid w:val="00B909D5"/>
    <w:rsid w:val="00B90A29"/>
    <w:rsid w:val="00B91BD9"/>
    <w:rsid w:val="00B932E6"/>
    <w:rsid w:val="00B94CF6"/>
    <w:rsid w:val="00B9643B"/>
    <w:rsid w:val="00B976A4"/>
    <w:rsid w:val="00BA0CBF"/>
    <w:rsid w:val="00BA28C9"/>
    <w:rsid w:val="00BA3FD6"/>
    <w:rsid w:val="00BA4674"/>
    <w:rsid w:val="00BA69D0"/>
    <w:rsid w:val="00BA702E"/>
    <w:rsid w:val="00BB4ECB"/>
    <w:rsid w:val="00BB5278"/>
    <w:rsid w:val="00BC0965"/>
    <w:rsid w:val="00BC1A0A"/>
    <w:rsid w:val="00BC28FA"/>
    <w:rsid w:val="00BC2CB5"/>
    <w:rsid w:val="00BC2CF1"/>
    <w:rsid w:val="00BC4595"/>
    <w:rsid w:val="00BC4A6D"/>
    <w:rsid w:val="00BC7D5C"/>
    <w:rsid w:val="00BD017B"/>
    <w:rsid w:val="00BD0700"/>
    <w:rsid w:val="00BD1F13"/>
    <w:rsid w:val="00BD1F70"/>
    <w:rsid w:val="00BD21AD"/>
    <w:rsid w:val="00BD3F26"/>
    <w:rsid w:val="00BE4989"/>
    <w:rsid w:val="00BE5BAD"/>
    <w:rsid w:val="00BE5EEC"/>
    <w:rsid w:val="00BE67C2"/>
    <w:rsid w:val="00BE7FFD"/>
    <w:rsid w:val="00BF14C6"/>
    <w:rsid w:val="00BF50FB"/>
    <w:rsid w:val="00BF5999"/>
    <w:rsid w:val="00BF64CA"/>
    <w:rsid w:val="00BF7AAC"/>
    <w:rsid w:val="00BF7F3C"/>
    <w:rsid w:val="00C001CE"/>
    <w:rsid w:val="00C005DD"/>
    <w:rsid w:val="00C0197D"/>
    <w:rsid w:val="00C0396D"/>
    <w:rsid w:val="00C03BF6"/>
    <w:rsid w:val="00C04E3D"/>
    <w:rsid w:val="00C05DA8"/>
    <w:rsid w:val="00C06809"/>
    <w:rsid w:val="00C06D36"/>
    <w:rsid w:val="00C102DA"/>
    <w:rsid w:val="00C121B6"/>
    <w:rsid w:val="00C135D9"/>
    <w:rsid w:val="00C14F74"/>
    <w:rsid w:val="00C1530A"/>
    <w:rsid w:val="00C15CBE"/>
    <w:rsid w:val="00C164AF"/>
    <w:rsid w:val="00C16870"/>
    <w:rsid w:val="00C1721B"/>
    <w:rsid w:val="00C20765"/>
    <w:rsid w:val="00C22D2E"/>
    <w:rsid w:val="00C2551D"/>
    <w:rsid w:val="00C270F4"/>
    <w:rsid w:val="00C30891"/>
    <w:rsid w:val="00C30A71"/>
    <w:rsid w:val="00C30F15"/>
    <w:rsid w:val="00C32B37"/>
    <w:rsid w:val="00C332BB"/>
    <w:rsid w:val="00C34487"/>
    <w:rsid w:val="00C348BA"/>
    <w:rsid w:val="00C35C43"/>
    <w:rsid w:val="00C40548"/>
    <w:rsid w:val="00C40E52"/>
    <w:rsid w:val="00C41644"/>
    <w:rsid w:val="00C41BD4"/>
    <w:rsid w:val="00C420EB"/>
    <w:rsid w:val="00C4439F"/>
    <w:rsid w:val="00C45328"/>
    <w:rsid w:val="00C45618"/>
    <w:rsid w:val="00C45C96"/>
    <w:rsid w:val="00C464E8"/>
    <w:rsid w:val="00C47C4D"/>
    <w:rsid w:val="00C54011"/>
    <w:rsid w:val="00C56F63"/>
    <w:rsid w:val="00C5777D"/>
    <w:rsid w:val="00C60484"/>
    <w:rsid w:val="00C6060C"/>
    <w:rsid w:val="00C60C23"/>
    <w:rsid w:val="00C63496"/>
    <w:rsid w:val="00C63F69"/>
    <w:rsid w:val="00C64036"/>
    <w:rsid w:val="00C64D1B"/>
    <w:rsid w:val="00C65287"/>
    <w:rsid w:val="00C66C3A"/>
    <w:rsid w:val="00C67B3E"/>
    <w:rsid w:val="00C70150"/>
    <w:rsid w:val="00C716AB"/>
    <w:rsid w:val="00C71D86"/>
    <w:rsid w:val="00C7253D"/>
    <w:rsid w:val="00C736A3"/>
    <w:rsid w:val="00C73B52"/>
    <w:rsid w:val="00C74D76"/>
    <w:rsid w:val="00C766AB"/>
    <w:rsid w:val="00C810A1"/>
    <w:rsid w:val="00C81C08"/>
    <w:rsid w:val="00C84B05"/>
    <w:rsid w:val="00C85FFD"/>
    <w:rsid w:val="00C864F6"/>
    <w:rsid w:val="00C87284"/>
    <w:rsid w:val="00C90A9F"/>
    <w:rsid w:val="00C92312"/>
    <w:rsid w:val="00C94E1D"/>
    <w:rsid w:val="00C95A45"/>
    <w:rsid w:val="00C97AB8"/>
    <w:rsid w:val="00CA0FEC"/>
    <w:rsid w:val="00CA1E26"/>
    <w:rsid w:val="00CA4AA2"/>
    <w:rsid w:val="00CA4D87"/>
    <w:rsid w:val="00CA7740"/>
    <w:rsid w:val="00CA7CC2"/>
    <w:rsid w:val="00CB1041"/>
    <w:rsid w:val="00CB198B"/>
    <w:rsid w:val="00CB1E71"/>
    <w:rsid w:val="00CB1F76"/>
    <w:rsid w:val="00CB396C"/>
    <w:rsid w:val="00CB4502"/>
    <w:rsid w:val="00CB45E2"/>
    <w:rsid w:val="00CB5D7C"/>
    <w:rsid w:val="00CB5E5D"/>
    <w:rsid w:val="00CB6B53"/>
    <w:rsid w:val="00CB6BFC"/>
    <w:rsid w:val="00CC0185"/>
    <w:rsid w:val="00CC0F3D"/>
    <w:rsid w:val="00CC12FD"/>
    <w:rsid w:val="00CC1E9F"/>
    <w:rsid w:val="00CC2CFB"/>
    <w:rsid w:val="00CC4AB3"/>
    <w:rsid w:val="00CC566A"/>
    <w:rsid w:val="00CC790F"/>
    <w:rsid w:val="00CC7A19"/>
    <w:rsid w:val="00CC7C62"/>
    <w:rsid w:val="00CD0338"/>
    <w:rsid w:val="00CD0A46"/>
    <w:rsid w:val="00CD16D7"/>
    <w:rsid w:val="00CD2B14"/>
    <w:rsid w:val="00CD492F"/>
    <w:rsid w:val="00CD5CAE"/>
    <w:rsid w:val="00CD69C5"/>
    <w:rsid w:val="00CE032E"/>
    <w:rsid w:val="00CE0BDB"/>
    <w:rsid w:val="00CE374C"/>
    <w:rsid w:val="00CE43B4"/>
    <w:rsid w:val="00CE621C"/>
    <w:rsid w:val="00CF099E"/>
    <w:rsid w:val="00CF1C3B"/>
    <w:rsid w:val="00CF2A74"/>
    <w:rsid w:val="00CF39D7"/>
    <w:rsid w:val="00CF3A89"/>
    <w:rsid w:val="00CF4AA8"/>
    <w:rsid w:val="00CF68C7"/>
    <w:rsid w:val="00D022E7"/>
    <w:rsid w:val="00D035CA"/>
    <w:rsid w:val="00D04D63"/>
    <w:rsid w:val="00D05EE6"/>
    <w:rsid w:val="00D06F2E"/>
    <w:rsid w:val="00D1188F"/>
    <w:rsid w:val="00D13C6B"/>
    <w:rsid w:val="00D15DFA"/>
    <w:rsid w:val="00D17B68"/>
    <w:rsid w:val="00D20E7A"/>
    <w:rsid w:val="00D21885"/>
    <w:rsid w:val="00D223DE"/>
    <w:rsid w:val="00D22F87"/>
    <w:rsid w:val="00D22FD5"/>
    <w:rsid w:val="00D24991"/>
    <w:rsid w:val="00D25434"/>
    <w:rsid w:val="00D254BF"/>
    <w:rsid w:val="00D277A8"/>
    <w:rsid w:val="00D30C5B"/>
    <w:rsid w:val="00D30FD2"/>
    <w:rsid w:val="00D3245B"/>
    <w:rsid w:val="00D42EA1"/>
    <w:rsid w:val="00D45B4F"/>
    <w:rsid w:val="00D5099E"/>
    <w:rsid w:val="00D50FDB"/>
    <w:rsid w:val="00D5116B"/>
    <w:rsid w:val="00D5276D"/>
    <w:rsid w:val="00D54B09"/>
    <w:rsid w:val="00D556FA"/>
    <w:rsid w:val="00D57306"/>
    <w:rsid w:val="00D60B01"/>
    <w:rsid w:val="00D613FA"/>
    <w:rsid w:val="00D62C12"/>
    <w:rsid w:val="00D63210"/>
    <w:rsid w:val="00D63D6A"/>
    <w:rsid w:val="00D676E4"/>
    <w:rsid w:val="00D67E41"/>
    <w:rsid w:val="00D70609"/>
    <w:rsid w:val="00D73E38"/>
    <w:rsid w:val="00D7402E"/>
    <w:rsid w:val="00D7420B"/>
    <w:rsid w:val="00D7425B"/>
    <w:rsid w:val="00D743DE"/>
    <w:rsid w:val="00D749DB"/>
    <w:rsid w:val="00D75598"/>
    <w:rsid w:val="00D767A5"/>
    <w:rsid w:val="00D76FC9"/>
    <w:rsid w:val="00D80353"/>
    <w:rsid w:val="00D80C98"/>
    <w:rsid w:val="00D80CCF"/>
    <w:rsid w:val="00D81914"/>
    <w:rsid w:val="00D81F56"/>
    <w:rsid w:val="00D8529E"/>
    <w:rsid w:val="00D859EB"/>
    <w:rsid w:val="00D90040"/>
    <w:rsid w:val="00D909EC"/>
    <w:rsid w:val="00D92DF8"/>
    <w:rsid w:val="00D931E5"/>
    <w:rsid w:val="00D93D3B"/>
    <w:rsid w:val="00D95DC9"/>
    <w:rsid w:val="00D96C92"/>
    <w:rsid w:val="00D96FD8"/>
    <w:rsid w:val="00DA2D63"/>
    <w:rsid w:val="00DA3639"/>
    <w:rsid w:val="00DA6835"/>
    <w:rsid w:val="00DB0A70"/>
    <w:rsid w:val="00DB0BD2"/>
    <w:rsid w:val="00DB2E68"/>
    <w:rsid w:val="00DB2E78"/>
    <w:rsid w:val="00DB4450"/>
    <w:rsid w:val="00DB7C6B"/>
    <w:rsid w:val="00DB7F86"/>
    <w:rsid w:val="00DC0252"/>
    <w:rsid w:val="00DC0373"/>
    <w:rsid w:val="00DC2750"/>
    <w:rsid w:val="00DC6485"/>
    <w:rsid w:val="00DC68FB"/>
    <w:rsid w:val="00DC71FC"/>
    <w:rsid w:val="00DC72A9"/>
    <w:rsid w:val="00DC764E"/>
    <w:rsid w:val="00DC7F3A"/>
    <w:rsid w:val="00DD0EC1"/>
    <w:rsid w:val="00DD415B"/>
    <w:rsid w:val="00DD6129"/>
    <w:rsid w:val="00DD627D"/>
    <w:rsid w:val="00DD6A33"/>
    <w:rsid w:val="00DD7045"/>
    <w:rsid w:val="00DD71BF"/>
    <w:rsid w:val="00DE0B52"/>
    <w:rsid w:val="00DE113A"/>
    <w:rsid w:val="00DE1FFC"/>
    <w:rsid w:val="00DE3464"/>
    <w:rsid w:val="00DE3C08"/>
    <w:rsid w:val="00DE4732"/>
    <w:rsid w:val="00DE4824"/>
    <w:rsid w:val="00DE66BB"/>
    <w:rsid w:val="00DE7253"/>
    <w:rsid w:val="00DF0092"/>
    <w:rsid w:val="00DF0BA8"/>
    <w:rsid w:val="00DF1303"/>
    <w:rsid w:val="00DF229D"/>
    <w:rsid w:val="00DF2F18"/>
    <w:rsid w:val="00DF447E"/>
    <w:rsid w:val="00DF49BB"/>
    <w:rsid w:val="00DF4F20"/>
    <w:rsid w:val="00DF64B0"/>
    <w:rsid w:val="00DF756A"/>
    <w:rsid w:val="00E00008"/>
    <w:rsid w:val="00E001D9"/>
    <w:rsid w:val="00E00934"/>
    <w:rsid w:val="00E00ED0"/>
    <w:rsid w:val="00E01090"/>
    <w:rsid w:val="00E02DC3"/>
    <w:rsid w:val="00E056E1"/>
    <w:rsid w:val="00E06976"/>
    <w:rsid w:val="00E07840"/>
    <w:rsid w:val="00E10A49"/>
    <w:rsid w:val="00E11744"/>
    <w:rsid w:val="00E12A56"/>
    <w:rsid w:val="00E132F8"/>
    <w:rsid w:val="00E1330D"/>
    <w:rsid w:val="00E13674"/>
    <w:rsid w:val="00E1680B"/>
    <w:rsid w:val="00E168FA"/>
    <w:rsid w:val="00E16ECB"/>
    <w:rsid w:val="00E175DC"/>
    <w:rsid w:val="00E202F6"/>
    <w:rsid w:val="00E20E18"/>
    <w:rsid w:val="00E24CF0"/>
    <w:rsid w:val="00E31FC5"/>
    <w:rsid w:val="00E3532A"/>
    <w:rsid w:val="00E354B9"/>
    <w:rsid w:val="00E35DD5"/>
    <w:rsid w:val="00E40E6B"/>
    <w:rsid w:val="00E41634"/>
    <w:rsid w:val="00E41CD0"/>
    <w:rsid w:val="00E429C7"/>
    <w:rsid w:val="00E42D5E"/>
    <w:rsid w:val="00E450B9"/>
    <w:rsid w:val="00E450CB"/>
    <w:rsid w:val="00E46049"/>
    <w:rsid w:val="00E4616D"/>
    <w:rsid w:val="00E50CEC"/>
    <w:rsid w:val="00E530E7"/>
    <w:rsid w:val="00E55F28"/>
    <w:rsid w:val="00E61CFA"/>
    <w:rsid w:val="00E63D4B"/>
    <w:rsid w:val="00E642EC"/>
    <w:rsid w:val="00E656B7"/>
    <w:rsid w:val="00E65D2F"/>
    <w:rsid w:val="00E672D2"/>
    <w:rsid w:val="00E67516"/>
    <w:rsid w:val="00E67FB0"/>
    <w:rsid w:val="00E70E14"/>
    <w:rsid w:val="00E719B8"/>
    <w:rsid w:val="00E72C9C"/>
    <w:rsid w:val="00E732DA"/>
    <w:rsid w:val="00E735D9"/>
    <w:rsid w:val="00E73E6A"/>
    <w:rsid w:val="00E745E8"/>
    <w:rsid w:val="00E7617D"/>
    <w:rsid w:val="00E769AB"/>
    <w:rsid w:val="00E76CB0"/>
    <w:rsid w:val="00E76F84"/>
    <w:rsid w:val="00E773AD"/>
    <w:rsid w:val="00E77627"/>
    <w:rsid w:val="00E83DA9"/>
    <w:rsid w:val="00E84351"/>
    <w:rsid w:val="00E84F12"/>
    <w:rsid w:val="00E860EA"/>
    <w:rsid w:val="00E902B6"/>
    <w:rsid w:val="00E92C47"/>
    <w:rsid w:val="00E94D45"/>
    <w:rsid w:val="00EA1315"/>
    <w:rsid w:val="00EA1590"/>
    <w:rsid w:val="00EA5B17"/>
    <w:rsid w:val="00EA5EB3"/>
    <w:rsid w:val="00EA73E4"/>
    <w:rsid w:val="00EB2688"/>
    <w:rsid w:val="00EB2880"/>
    <w:rsid w:val="00EB6227"/>
    <w:rsid w:val="00EB6A71"/>
    <w:rsid w:val="00EB744E"/>
    <w:rsid w:val="00EC0730"/>
    <w:rsid w:val="00EC0F50"/>
    <w:rsid w:val="00EC1EA8"/>
    <w:rsid w:val="00EC38A3"/>
    <w:rsid w:val="00EC585D"/>
    <w:rsid w:val="00EC58BB"/>
    <w:rsid w:val="00EC5C0B"/>
    <w:rsid w:val="00EC7315"/>
    <w:rsid w:val="00EC7EC7"/>
    <w:rsid w:val="00ED02A4"/>
    <w:rsid w:val="00ED2A0A"/>
    <w:rsid w:val="00ED303B"/>
    <w:rsid w:val="00ED3BD3"/>
    <w:rsid w:val="00ED5E12"/>
    <w:rsid w:val="00ED6D7E"/>
    <w:rsid w:val="00ED7D0E"/>
    <w:rsid w:val="00EE191C"/>
    <w:rsid w:val="00EE2A3B"/>
    <w:rsid w:val="00EE2BC6"/>
    <w:rsid w:val="00EE2CBB"/>
    <w:rsid w:val="00EE36BF"/>
    <w:rsid w:val="00EE3B3D"/>
    <w:rsid w:val="00EE65EA"/>
    <w:rsid w:val="00EE6A28"/>
    <w:rsid w:val="00EF1DF6"/>
    <w:rsid w:val="00EF265B"/>
    <w:rsid w:val="00EF38E8"/>
    <w:rsid w:val="00EF4831"/>
    <w:rsid w:val="00EF5BF0"/>
    <w:rsid w:val="00EF6C8E"/>
    <w:rsid w:val="00EF6F12"/>
    <w:rsid w:val="00EF7F20"/>
    <w:rsid w:val="00F00062"/>
    <w:rsid w:val="00F0076C"/>
    <w:rsid w:val="00F02C01"/>
    <w:rsid w:val="00F0382E"/>
    <w:rsid w:val="00F0694E"/>
    <w:rsid w:val="00F074FF"/>
    <w:rsid w:val="00F11709"/>
    <w:rsid w:val="00F122FE"/>
    <w:rsid w:val="00F12567"/>
    <w:rsid w:val="00F1607F"/>
    <w:rsid w:val="00F16541"/>
    <w:rsid w:val="00F17C37"/>
    <w:rsid w:val="00F236BD"/>
    <w:rsid w:val="00F24008"/>
    <w:rsid w:val="00F2410C"/>
    <w:rsid w:val="00F24D2D"/>
    <w:rsid w:val="00F317FE"/>
    <w:rsid w:val="00F34E9E"/>
    <w:rsid w:val="00F35073"/>
    <w:rsid w:val="00F36458"/>
    <w:rsid w:val="00F37E79"/>
    <w:rsid w:val="00F41909"/>
    <w:rsid w:val="00F43E06"/>
    <w:rsid w:val="00F43FED"/>
    <w:rsid w:val="00F45069"/>
    <w:rsid w:val="00F46448"/>
    <w:rsid w:val="00F506DA"/>
    <w:rsid w:val="00F555B7"/>
    <w:rsid w:val="00F55EEB"/>
    <w:rsid w:val="00F604E4"/>
    <w:rsid w:val="00F629ED"/>
    <w:rsid w:val="00F63846"/>
    <w:rsid w:val="00F65D4D"/>
    <w:rsid w:val="00F66E63"/>
    <w:rsid w:val="00F70766"/>
    <w:rsid w:val="00F707A9"/>
    <w:rsid w:val="00F71A11"/>
    <w:rsid w:val="00F73CB6"/>
    <w:rsid w:val="00F7500C"/>
    <w:rsid w:val="00F75376"/>
    <w:rsid w:val="00F755E2"/>
    <w:rsid w:val="00F80875"/>
    <w:rsid w:val="00F834D8"/>
    <w:rsid w:val="00F849A2"/>
    <w:rsid w:val="00F84A29"/>
    <w:rsid w:val="00F84B48"/>
    <w:rsid w:val="00F85407"/>
    <w:rsid w:val="00F87524"/>
    <w:rsid w:val="00F907EF"/>
    <w:rsid w:val="00F92A00"/>
    <w:rsid w:val="00F96875"/>
    <w:rsid w:val="00F96B95"/>
    <w:rsid w:val="00F9753C"/>
    <w:rsid w:val="00F97B89"/>
    <w:rsid w:val="00FA19A5"/>
    <w:rsid w:val="00FA2303"/>
    <w:rsid w:val="00FA2CC8"/>
    <w:rsid w:val="00FA319A"/>
    <w:rsid w:val="00FA3B17"/>
    <w:rsid w:val="00FA58A1"/>
    <w:rsid w:val="00FB0253"/>
    <w:rsid w:val="00FB18FF"/>
    <w:rsid w:val="00FB377D"/>
    <w:rsid w:val="00FB38B7"/>
    <w:rsid w:val="00FB3A6F"/>
    <w:rsid w:val="00FB52EB"/>
    <w:rsid w:val="00FB5939"/>
    <w:rsid w:val="00FB7B77"/>
    <w:rsid w:val="00FB7C72"/>
    <w:rsid w:val="00FC0435"/>
    <w:rsid w:val="00FC1CD8"/>
    <w:rsid w:val="00FC380C"/>
    <w:rsid w:val="00FC39C9"/>
    <w:rsid w:val="00FC5573"/>
    <w:rsid w:val="00FC6C97"/>
    <w:rsid w:val="00FD23E9"/>
    <w:rsid w:val="00FD2EA9"/>
    <w:rsid w:val="00FD682E"/>
    <w:rsid w:val="00FD6B49"/>
    <w:rsid w:val="00FE0089"/>
    <w:rsid w:val="00FE129F"/>
    <w:rsid w:val="00FE1670"/>
    <w:rsid w:val="00FE260C"/>
    <w:rsid w:val="00FE3911"/>
    <w:rsid w:val="00FE4A44"/>
    <w:rsid w:val="00FE7882"/>
    <w:rsid w:val="00FF2EC9"/>
    <w:rsid w:val="00FF2F21"/>
    <w:rsid w:val="00FF3BE1"/>
    <w:rsid w:val="00FF5E22"/>
    <w:rsid w:val="00FF6E1A"/>
    <w:rsid w:val="00FF6F9D"/>
  </w:rsids>
  <m:mathPr>
    <m:mathFont m:val="Cambria Math"/>
    <m:brkBin m:val="before"/>
    <m:brkBinSub m:val="--"/>
    <m:smallFrac m:val="off"/>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date"/>
  <w:smartTagType w:namespaceuri="urn:schemas-microsoft-com:office:smarttags" w:name="country-region"/>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61CFA"/>
    <w:rPr>
      <w:sz w:val="24"/>
      <w:szCs w:val="24"/>
    </w:rPr>
  </w:style>
  <w:style w:type="paragraph" w:styleId="Heading1">
    <w:name w:val="heading 1"/>
    <w:aliases w:val="H1,h1,Level 1 Topic Heading,new page/chapter,Head1,Part,Nom du projet,Heading 1a,Heading apps,2,Heading,Heading 1 (NN),Heading 10,SCE,H11,H12,H111,H13,H112,H14,H113,H15,H114,Heading 101,Head11,Heading apps1,Heading1,Heading 102,Head12,Head13,a"/>
    <w:basedOn w:val="Normal"/>
    <w:next w:val="Normal"/>
    <w:qFormat/>
    <w:rsid w:val="002F3BE0"/>
    <w:pPr>
      <w:keepNext/>
      <w:pageBreakBefore/>
      <w:numPr>
        <w:numId w:val="14"/>
      </w:numPr>
      <w:spacing w:before="240" w:after="60"/>
      <w:outlineLvl w:val="0"/>
    </w:pPr>
    <w:rPr>
      <w:rFonts w:ascii="Arial" w:hAnsi="Arial" w:cs="Arial"/>
      <w:b/>
      <w:bCs/>
      <w:color w:val="000080"/>
      <w:kern w:val="32"/>
      <w:sz w:val="32"/>
      <w:szCs w:val="32"/>
    </w:rPr>
  </w:style>
  <w:style w:type="paragraph" w:styleId="Heading2">
    <w:name w:val="heading 2"/>
    <w:aliases w:val="H2,h2,Level 2 Topic Heading,Heading 1.1.1,A.B.C.,Activity,Main Heading,mh,A,Sub-Head1,Chapter Title,h2 main heading,Frame Title,heading 2,Level I for #'s,hoofd 2,Heading2-bio,Career Exp.,Attribute Heading 2,L2,ClassHeading, Frame Title,dh2,l2"/>
    <w:basedOn w:val="Normal"/>
    <w:next w:val="Normal"/>
    <w:qFormat/>
    <w:rsid w:val="0033640D"/>
    <w:pPr>
      <w:keepNext/>
      <w:numPr>
        <w:ilvl w:val="1"/>
        <w:numId w:val="14"/>
      </w:numPr>
      <w:spacing w:before="240" w:after="60"/>
      <w:outlineLvl w:val="1"/>
    </w:pPr>
    <w:rPr>
      <w:rFonts w:ascii="Arial" w:hAnsi="Arial" w:cs="Arial"/>
      <w:b/>
      <w:bCs/>
      <w:iCs/>
      <w:color w:val="333333"/>
      <w:sz w:val="28"/>
      <w:szCs w:val="28"/>
    </w:rPr>
  </w:style>
  <w:style w:type="paragraph" w:styleId="Heading3">
    <w:name w:val="heading 3"/>
    <w:basedOn w:val="Normal"/>
    <w:next w:val="Normal"/>
    <w:link w:val="Heading3Char"/>
    <w:qFormat/>
    <w:rsid w:val="0033640D"/>
    <w:pPr>
      <w:keepNext/>
      <w:numPr>
        <w:ilvl w:val="2"/>
        <w:numId w:val="14"/>
      </w:numPr>
      <w:spacing w:before="240" w:after="60"/>
      <w:outlineLvl w:val="2"/>
    </w:pPr>
    <w:rPr>
      <w:rFonts w:ascii="Arial" w:hAnsi="Arial" w:cs="Arial"/>
      <w:b/>
      <w:bCs/>
      <w:i/>
      <w:color w:val="333399"/>
      <w:sz w:val="26"/>
      <w:szCs w:val="26"/>
    </w:rPr>
  </w:style>
  <w:style w:type="paragraph" w:styleId="Heading4">
    <w:name w:val="heading 4"/>
    <w:aliases w:val="h4,First Subheading,H4,Org Heading 2,h4 sub sub heading,4,14,l4,141,h41,l41,41,142,h42,l42,h43,a.,Map Title,42,parapoint,¶,143,h44,l43,43,1411,h411,l411,411,1421,h421,l421,h431,a.1,Map Title1,421,parapoint1,¶1,H41,ITT t4,PA Micro Section,mh1l"/>
    <w:basedOn w:val="Normal"/>
    <w:next w:val="Normal"/>
    <w:link w:val="Heading4Char"/>
    <w:qFormat/>
    <w:rsid w:val="0033640D"/>
    <w:pPr>
      <w:keepNext/>
      <w:spacing w:before="240" w:after="60"/>
      <w:outlineLvl w:val="3"/>
    </w:pPr>
    <w:rPr>
      <w:rFonts w:ascii="Arial" w:hAnsi="Arial"/>
      <w:bCs/>
      <w:color w:val="0000FF"/>
      <w:szCs w:val="28"/>
    </w:rPr>
  </w:style>
  <w:style w:type="paragraph" w:styleId="Heading5">
    <w:name w:val="heading 5"/>
    <w:aliases w:val="Block Label,5,H5,h5,1.1.1.1.1,mh2,Module heading 2,Numbered Sub-list,PIM 5,heading 5"/>
    <w:basedOn w:val="Normal"/>
    <w:next w:val="Normal"/>
    <w:qFormat/>
    <w:rsid w:val="0086200B"/>
    <w:pPr>
      <w:spacing w:before="240" w:after="60"/>
      <w:outlineLvl w:val="4"/>
    </w:pPr>
    <w:rPr>
      <w:rFonts w:ascii="Arial" w:hAnsi="Arial"/>
      <w:b/>
      <w:bCs/>
      <w:i/>
      <w:iCs/>
      <w:sz w:val="22"/>
      <w:szCs w:val="26"/>
    </w:rPr>
  </w:style>
  <w:style w:type="paragraph" w:styleId="Heading6">
    <w:name w:val="heading 6"/>
    <w:basedOn w:val="Normal"/>
    <w:next w:val="Normal"/>
    <w:qFormat/>
    <w:rsid w:val="00927F3F"/>
    <w:pPr>
      <w:tabs>
        <w:tab w:val="num" w:pos="1152"/>
      </w:tabs>
      <w:spacing w:before="240" w:after="60"/>
      <w:ind w:left="1152" w:hanging="1152"/>
      <w:outlineLvl w:val="5"/>
    </w:pPr>
    <w:rPr>
      <w:b/>
      <w:bCs/>
      <w:sz w:val="22"/>
      <w:szCs w:val="22"/>
    </w:rPr>
  </w:style>
  <w:style w:type="paragraph" w:styleId="Heading7">
    <w:name w:val="heading 7"/>
    <w:basedOn w:val="Normal"/>
    <w:next w:val="Normal"/>
    <w:qFormat/>
    <w:rsid w:val="00927F3F"/>
    <w:pPr>
      <w:tabs>
        <w:tab w:val="num" w:pos="1296"/>
      </w:tabs>
      <w:spacing w:before="240" w:after="60"/>
      <w:ind w:left="1296" w:hanging="1296"/>
      <w:outlineLvl w:val="6"/>
    </w:pPr>
  </w:style>
  <w:style w:type="paragraph" w:styleId="Heading8">
    <w:name w:val="heading 8"/>
    <w:basedOn w:val="Normal"/>
    <w:next w:val="Normal"/>
    <w:qFormat/>
    <w:rsid w:val="00927F3F"/>
    <w:pPr>
      <w:tabs>
        <w:tab w:val="num" w:pos="1440"/>
      </w:tabs>
      <w:spacing w:before="240" w:after="60"/>
      <w:ind w:left="1440" w:hanging="1440"/>
      <w:outlineLvl w:val="7"/>
    </w:pPr>
    <w:rPr>
      <w:i/>
      <w:iCs/>
    </w:rPr>
  </w:style>
  <w:style w:type="paragraph" w:styleId="Heading9">
    <w:name w:val="heading 9"/>
    <w:basedOn w:val="Normal"/>
    <w:next w:val="Normal"/>
    <w:qFormat/>
    <w:rsid w:val="00927F3F"/>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Bullets1">
    <w:name w:val="Body Text - Bullets1"/>
    <w:basedOn w:val="Normal"/>
    <w:rsid w:val="00C420EB"/>
    <w:pPr>
      <w:numPr>
        <w:ilvl w:val="3"/>
        <w:numId w:val="4"/>
      </w:numPr>
      <w:spacing w:before="60" w:after="120" w:line="264" w:lineRule="auto"/>
      <w:jc w:val="both"/>
    </w:pPr>
    <w:rPr>
      <w:rFonts w:ascii="Arial" w:hAnsi="Arial"/>
      <w:sz w:val="20"/>
      <w:szCs w:val="22"/>
    </w:rPr>
  </w:style>
  <w:style w:type="paragraph" w:styleId="Header">
    <w:name w:val="header"/>
    <w:basedOn w:val="Normal"/>
    <w:rsid w:val="002B59B7"/>
    <w:pPr>
      <w:tabs>
        <w:tab w:val="center" w:pos="4320"/>
        <w:tab w:val="right" w:pos="8640"/>
      </w:tabs>
    </w:pPr>
  </w:style>
  <w:style w:type="paragraph" w:styleId="Footer">
    <w:name w:val="footer"/>
    <w:basedOn w:val="Normal"/>
    <w:link w:val="FooterChar"/>
    <w:rsid w:val="002B59B7"/>
    <w:pPr>
      <w:tabs>
        <w:tab w:val="center" w:pos="4320"/>
        <w:tab w:val="right" w:pos="8640"/>
      </w:tabs>
    </w:pPr>
  </w:style>
  <w:style w:type="character" w:styleId="Hyperlink">
    <w:name w:val="Hyperlink"/>
    <w:basedOn w:val="DefaultParagraphFont"/>
    <w:uiPriority w:val="99"/>
    <w:rsid w:val="00AA6424"/>
    <w:rPr>
      <w:color w:val="0000FF"/>
      <w:u w:val="single"/>
    </w:rPr>
  </w:style>
  <w:style w:type="character" w:customStyle="1" w:styleId="BodyText2Char">
    <w:name w:val="Body Text 2 Char"/>
    <w:basedOn w:val="DefaultParagraphFont"/>
    <w:link w:val="BodyText2"/>
    <w:rsid w:val="00BC4595"/>
    <w:rPr>
      <w:sz w:val="24"/>
      <w:szCs w:val="24"/>
      <w:lang w:val="en-US" w:eastAsia="en-US" w:bidi="ar-SA"/>
    </w:rPr>
  </w:style>
  <w:style w:type="paragraph" w:customStyle="1" w:styleId="Normal-bullets">
    <w:name w:val="Normal-bullets"/>
    <w:basedOn w:val="Normal"/>
    <w:rsid w:val="002F3BE0"/>
    <w:pPr>
      <w:numPr>
        <w:numId w:val="1"/>
      </w:numPr>
    </w:pPr>
  </w:style>
  <w:style w:type="paragraph" w:customStyle="1" w:styleId="Cog-body">
    <w:name w:val="Cog-body"/>
    <w:aliases w:val="cb"/>
    <w:basedOn w:val="Normal"/>
    <w:link w:val="Cog-bodyChar1"/>
    <w:rsid w:val="007D0C4B"/>
    <w:pPr>
      <w:spacing w:before="60" w:after="60" w:line="260" w:lineRule="atLeast"/>
      <w:ind w:left="720"/>
      <w:jc w:val="both"/>
    </w:pPr>
    <w:rPr>
      <w:rFonts w:ascii="Arial" w:hAnsi="Arial" w:cs="Arial"/>
      <w:sz w:val="20"/>
    </w:rPr>
  </w:style>
  <w:style w:type="character" w:customStyle="1" w:styleId="Cog-bodyChar1">
    <w:name w:val="Cog-body Char1"/>
    <w:aliases w:val="cb Char"/>
    <w:basedOn w:val="DefaultParagraphFont"/>
    <w:link w:val="Cog-body"/>
    <w:rsid w:val="007D0C4B"/>
    <w:rPr>
      <w:rFonts w:ascii="Arial" w:hAnsi="Arial" w:cs="Arial"/>
      <w:szCs w:val="24"/>
      <w:lang w:val="en-US" w:eastAsia="en-US" w:bidi="ar-SA"/>
    </w:rPr>
  </w:style>
  <w:style w:type="table" w:styleId="TableGrid">
    <w:name w:val="Table Grid"/>
    <w:basedOn w:val="TableNormal"/>
    <w:rsid w:val="00382E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D0C4B"/>
  </w:style>
  <w:style w:type="paragraph" w:customStyle="1" w:styleId="Cog-Bullet">
    <w:name w:val="Cog-Bullet"/>
    <w:basedOn w:val="Normal"/>
    <w:rsid w:val="00B25A37"/>
    <w:pPr>
      <w:numPr>
        <w:numId w:val="3"/>
      </w:numPr>
      <w:spacing w:before="60" w:after="60" w:line="260" w:lineRule="atLeast"/>
      <w:jc w:val="both"/>
    </w:pPr>
    <w:rPr>
      <w:rFonts w:ascii="Arial" w:hAnsi="Arial"/>
      <w:sz w:val="20"/>
      <w:szCs w:val="20"/>
    </w:rPr>
  </w:style>
  <w:style w:type="paragraph" w:styleId="Caption">
    <w:name w:val="caption"/>
    <w:basedOn w:val="Normal"/>
    <w:next w:val="Normal"/>
    <w:qFormat/>
    <w:rsid w:val="00B25A37"/>
    <w:rPr>
      <w:b/>
      <w:bCs/>
      <w:sz w:val="20"/>
      <w:szCs w:val="20"/>
    </w:rPr>
  </w:style>
  <w:style w:type="paragraph" w:customStyle="1" w:styleId="BodyText-Bullets2">
    <w:name w:val="Body Text - Bullets2"/>
    <w:basedOn w:val="BodyText-Bullets1"/>
    <w:rsid w:val="00B37B26"/>
    <w:pPr>
      <w:numPr>
        <w:ilvl w:val="0"/>
        <w:numId w:val="2"/>
      </w:numPr>
      <w:outlineLvl w:val="1"/>
    </w:pPr>
    <w:rPr>
      <w:rFonts w:cs="Arial"/>
    </w:rPr>
  </w:style>
  <w:style w:type="paragraph" w:customStyle="1" w:styleId="SectionHeading">
    <w:name w:val="SectionHeading"/>
    <w:basedOn w:val="Normal"/>
    <w:rsid w:val="00C420EB"/>
    <w:pPr>
      <w:pBdr>
        <w:top w:val="single" w:sz="12" w:space="1" w:color="000080"/>
        <w:left w:val="single" w:sz="12" w:space="4" w:color="000080"/>
        <w:bottom w:val="single" w:sz="12" w:space="1" w:color="000080"/>
        <w:right w:val="single" w:sz="12" w:space="4" w:color="000080"/>
      </w:pBdr>
      <w:spacing w:before="240" w:after="120" w:line="360" w:lineRule="auto"/>
      <w:jc w:val="center"/>
    </w:pPr>
    <w:rPr>
      <w:rFonts w:ascii="Arial" w:hAnsi="Arial"/>
      <w:b/>
      <w:color w:val="0000FF"/>
      <w:sz w:val="40"/>
      <w:szCs w:val="22"/>
    </w:rPr>
  </w:style>
  <w:style w:type="paragraph" w:styleId="TOC1">
    <w:name w:val="toc 1"/>
    <w:basedOn w:val="Normal"/>
    <w:next w:val="Normal"/>
    <w:autoRedefine/>
    <w:uiPriority w:val="39"/>
    <w:rsid w:val="000F0F35"/>
    <w:pPr>
      <w:spacing w:before="120" w:after="120"/>
    </w:pPr>
    <w:rPr>
      <w:b/>
      <w:bCs/>
      <w:caps/>
      <w:sz w:val="20"/>
      <w:szCs w:val="20"/>
    </w:rPr>
  </w:style>
  <w:style w:type="paragraph" w:styleId="TOC2">
    <w:name w:val="toc 2"/>
    <w:basedOn w:val="Normal"/>
    <w:next w:val="Normal"/>
    <w:autoRedefine/>
    <w:uiPriority w:val="39"/>
    <w:rsid w:val="000F0F35"/>
    <w:pPr>
      <w:ind w:left="240"/>
    </w:pPr>
    <w:rPr>
      <w:smallCaps/>
      <w:sz w:val="20"/>
      <w:szCs w:val="20"/>
    </w:rPr>
  </w:style>
  <w:style w:type="paragraph" w:styleId="TOC3">
    <w:name w:val="toc 3"/>
    <w:basedOn w:val="Normal"/>
    <w:next w:val="Normal"/>
    <w:autoRedefine/>
    <w:semiHidden/>
    <w:rsid w:val="000F0F35"/>
    <w:pPr>
      <w:ind w:left="480"/>
    </w:pPr>
    <w:rPr>
      <w:i/>
      <w:iCs/>
      <w:sz w:val="20"/>
      <w:szCs w:val="20"/>
    </w:rPr>
  </w:style>
  <w:style w:type="paragraph" w:styleId="TOC4">
    <w:name w:val="toc 4"/>
    <w:basedOn w:val="Normal"/>
    <w:next w:val="Normal"/>
    <w:autoRedefine/>
    <w:semiHidden/>
    <w:rsid w:val="000F0F35"/>
    <w:pPr>
      <w:ind w:left="720"/>
    </w:pPr>
    <w:rPr>
      <w:sz w:val="18"/>
      <w:szCs w:val="18"/>
    </w:rPr>
  </w:style>
  <w:style w:type="paragraph" w:styleId="TOC5">
    <w:name w:val="toc 5"/>
    <w:basedOn w:val="Normal"/>
    <w:next w:val="Normal"/>
    <w:autoRedefine/>
    <w:semiHidden/>
    <w:rsid w:val="000F0F35"/>
    <w:pPr>
      <w:ind w:left="960"/>
    </w:pPr>
    <w:rPr>
      <w:sz w:val="18"/>
      <w:szCs w:val="18"/>
    </w:rPr>
  </w:style>
  <w:style w:type="paragraph" w:styleId="TOC6">
    <w:name w:val="toc 6"/>
    <w:basedOn w:val="Normal"/>
    <w:next w:val="Normal"/>
    <w:autoRedefine/>
    <w:semiHidden/>
    <w:rsid w:val="000F0F35"/>
    <w:pPr>
      <w:ind w:left="1200"/>
    </w:pPr>
    <w:rPr>
      <w:sz w:val="18"/>
      <w:szCs w:val="18"/>
    </w:rPr>
  </w:style>
  <w:style w:type="paragraph" w:styleId="TOC7">
    <w:name w:val="toc 7"/>
    <w:basedOn w:val="Normal"/>
    <w:next w:val="Normal"/>
    <w:autoRedefine/>
    <w:semiHidden/>
    <w:rsid w:val="000F0F35"/>
    <w:pPr>
      <w:ind w:left="1440"/>
    </w:pPr>
    <w:rPr>
      <w:sz w:val="18"/>
      <w:szCs w:val="18"/>
    </w:rPr>
  </w:style>
  <w:style w:type="paragraph" w:styleId="TOC8">
    <w:name w:val="toc 8"/>
    <w:basedOn w:val="Normal"/>
    <w:next w:val="Normal"/>
    <w:autoRedefine/>
    <w:semiHidden/>
    <w:rsid w:val="000F0F35"/>
    <w:pPr>
      <w:ind w:left="1680"/>
    </w:pPr>
    <w:rPr>
      <w:sz w:val="18"/>
      <w:szCs w:val="18"/>
    </w:rPr>
  </w:style>
  <w:style w:type="paragraph" w:styleId="TOC9">
    <w:name w:val="toc 9"/>
    <w:basedOn w:val="Normal"/>
    <w:next w:val="Normal"/>
    <w:autoRedefine/>
    <w:semiHidden/>
    <w:rsid w:val="000F0F35"/>
    <w:pPr>
      <w:ind w:left="1920"/>
    </w:pPr>
    <w:rPr>
      <w:sz w:val="18"/>
      <w:szCs w:val="18"/>
    </w:rPr>
  </w:style>
  <w:style w:type="paragraph" w:styleId="FootnoteText">
    <w:name w:val="footnote text"/>
    <w:basedOn w:val="Normal"/>
    <w:semiHidden/>
    <w:rsid w:val="007C3224"/>
    <w:rPr>
      <w:sz w:val="20"/>
      <w:szCs w:val="20"/>
    </w:rPr>
  </w:style>
  <w:style w:type="character" w:styleId="FootnoteReference">
    <w:name w:val="footnote reference"/>
    <w:basedOn w:val="DefaultParagraphFont"/>
    <w:semiHidden/>
    <w:rsid w:val="007C3224"/>
    <w:rPr>
      <w:vertAlign w:val="superscript"/>
    </w:rPr>
  </w:style>
  <w:style w:type="character" w:customStyle="1" w:styleId="Body1Char">
    <w:name w:val="Body 1 Char"/>
    <w:basedOn w:val="BodyText2Char"/>
    <w:link w:val="Body1"/>
    <w:rsid w:val="00BC4595"/>
    <w:rPr>
      <w:rFonts w:ascii="Arial" w:hAnsi="Arial"/>
    </w:rPr>
  </w:style>
  <w:style w:type="paragraph" w:customStyle="1" w:styleId="BSL">
    <w:name w:val="BSL"/>
    <w:basedOn w:val="Normal"/>
    <w:rsid w:val="00B731AA"/>
    <w:pPr>
      <w:spacing w:before="120" w:after="120" w:line="240" w:lineRule="atLeast"/>
      <w:jc w:val="both"/>
    </w:pPr>
    <w:rPr>
      <w:rFonts w:ascii="Arial" w:hAnsi="Arial" w:cs="Arial"/>
      <w:sz w:val="20"/>
      <w:szCs w:val="20"/>
    </w:rPr>
  </w:style>
  <w:style w:type="character" w:styleId="FollowedHyperlink">
    <w:name w:val="FollowedHyperlink"/>
    <w:basedOn w:val="DefaultParagraphFont"/>
    <w:rsid w:val="00F317FE"/>
    <w:rPr>
      <w:color w:val="800080"/>
      <w:u w:val="single"/>
    </w:rPr>
  </w:style>
  <w:style w:type="paragraph" w:customStyle="1" w:styleId="body">
    <w:name w:val="body"/>
    <w:basedOn w:val="Normal"/>
    <w:rsid w:val="00062341"/>
    <w:pPr>
      <w:spacing w:before="100" w:beforeAutospacing="1" w:after="100" w:afterAutospacing="1" w:line="324" w:lineRule="auto"/>
    </w:pPr>
    <w:rPr>
      <w:color w:val="000000"/>
    </w:rPr>
  </w:style>
  <w:style w:type="paragraph" w:customStyle="1" w:styleId="Cog-body-bulletted">
    <w:name w:val="Cog-body-bulletted"/>
    <w:basedOn w:val="Cog-body"/>
    <w:rsid w:val="00C40548"/>
    <w:pPr>
      <w:ind w:left="0"/>
      <w:jc w:val="left"/>
    </w:pPr>
    <w:rPr>
      <w:rFonts w:ascii="Verdana" w:hAnsi="Verdana"/>
    </w:rPr>
  </w:style>
  <w:style w:type="paragraph" w:customStyle="1" w:styleId="Cog-H2">
    <w:name w:val="Cog-H2"/>
    <w:basedOn w:val="Heading2"/>
    <w:rsid w:val="0091657B"/>
    <w:pPr>
      <w:numPr>
        <w:numId w:val="10"/>
      </w:numPr>
      <w:spacing w:before="60" w:line="240" w:lineRule="atLeast"/>
    </w:pPr>
    <w:rPr>
      <w:color w:val="0000FF"/>
      <w:sz w:val="24"/>
    </w:rPr>
  </w:style>
  <w:style w:type="paragraph" w:customStyle="1" w:styleId="Cog-H3">
    <w:name w:val="Cog-H3"/>
    <w:basedOn w:val="Heading3"/>
    <w:rsid w:val="0091657B"/>
    <w:pPr>
      <w:numPr>
        <w:numId w:val="10"/>
      </w:numPr>
      <w:spacing w:before="60" w:line="240" w:lineRule="atLeast"/>
    </w:pPr>
    <w:rPr>
      <w:i w:val="0"/>
      <w:color w:val="993366"/>
      <w:sz w:val="22"/>
    </w:rPr>
  </w:style>
  <w:style w:type="paragraph" w:customStyle="1" w:styleId="cog-h1">
    <w:name w:val="cog-h1"/>
    <w:basedOn w:val="Normal"/>
    <w:rsid w:val="0091657B"/>
    <w:pPr>
      <w:keepNext/>
      <w:numPr>
        <w:numId w:val="10"/>
      </w:numPr>
      <w:spacing w:before="60" w:after="60"/>
    </w:pPr>
    <w:rPr>
      <w:rFonts w:ascii="Arial" w:eastAsia="Arial Unicode MS" w:hAnsi="Arial" w:cs="Arial"/>
      <w:b/>
      <w:bCs/>
      <w:color w:val="000080"/>
      <w:sz w:val="28"/>
      <w:szCs w:val="28"/>
    </w:rPr>
  </w:style>
  <w:style w:type="paragraph" w:customStyle="1" w:styleId="NORMAL0">
    <w:name w:val="NORMAL"/>
    <w:basedOn w:val="Normal"/>
    <w:link w:val="NORMALChar"/>
    <w:autoRedefine/>
    <w:rsid w:val="00E450CB"/>
    <w:pPr>
      <w:spacing w:before="120" w:after="120"/>
      <w:jc w:val="both"/>
    </w:pPr>
    <w:rPr>
      <w:rFonts w:ascii="Arial" w:hAnsi="Arial" w:cs="Arial"/>
      <w:sz w:val="20"/>
      <w:szCs w:val="20"/>
    </w:rPr>
  </w:style>
  <w:style w:type="paragraph" w:customStyle="1" w:styleId="Cog-bullet0">
    <w:name w:val="Cog-bullet"/>
    <w:basedOn w:val="Normal"/>
    <w:rsid w:val="0034437E"/>
    <w:pPr>
      <w:numPr>
        <w:numId w:val="11"/>
      </w:numPr>
      <w:spacing w:before="60" w:after="60" w:line="240" w:lineRule="atLeast"/>
      <w:jc w:val="both"/>
    </w:pPr>
    <w:rPr>
      <w:rFonts w:ascii="Arial" w:hAnsi="Arial" w:cs="Arial"/>
      <w:sz w:val="20"/>
    </w:rPr>
  </w:style>
  <w:style w:type="character" w:customStyle="1" w:styleId="NORMALChar">
    <w:name w:val="NORMAL Char"/>
    <w:basedOn w:val="DefaultParagraphFont"/>
    <w:link w:val="NORMAL0"/>
    <w:rsid w:val="00E450CB"/>
    <w:rPr>
      <w:rFonts w:ascii="Arial" w:hAnsi="Arial" w:cs="Arial"/>
      <w:lang w:val="en-US" w:eastAsia="en-US" w:bidi="ar-SA"/>
    </w:rPr>
  </w:style>
  <w:style w:type="paragraph" w:styleId="BalloonText">
    <w:name w:val="Balloon Text"/>
    <w:basedOn w:val="Normal"/>
    <w:semiHidden/>
    <w:rsid w:val="00927F3F"/>
    <w:rPr>
      <w:rFonts w:ascii="Tahoma" w:hAnsi="Tahoma" w:cs="Tahoma"/>
      <w:sz w:val="16"/>
      <w:szCs w:val="16"/>
    </w:rPr>
  </w:style>
  <w:style w:type="paragraph" w:customStyle="1" w:styleId="Default">
    <w:name w:val="Default"/>
    <w:rsid w:val="00C06809"/>
    <w:pPr>
      <w:autoSpaceDE w:val="0"/>
      <w:autoSpaceDN w:val="0"/>
      <w:adjustRightInd w:val="0"/>
    </w:pPr>
    <w:rPr>
      <w:color w:val="000000"/>
      <w:sz w:val="24"/>
      <w:szCs w:val="24"/>
    </w:rPr>
  </w:style>
  <w:style w:type="paragraph" w:customStyle="1" w:styleId="Body1">
    <w:name w:val="Body 1"/>
    <w:basedOn w:val="BodyText2"/>
    <w:link w:val="Body1Char"/>
    <w:rsid w:val="00C464E8"/>
    <w:pPr>
      <w:spacing w:before="120" w:line="240" w:lineRule="auto"/>
      <w:jc w:val="both"/>
    </w:pPr>
    <w:rPr>
      <w:rFonts w:ascii="Arial" w:hAnsi="Arial"/>
      <w:sz w:val="20"/>
      <w:szCs w:val="20"/>
    </w:rPr>
  </w:style>
  <w:style w:type="paragraph" w:styleId="BodyText2">
    <w:name w:val="Body Text 2"/>
    <w:basedOn w:val="Normal"/>
    <w:link w:val="BodyText2Char"/>
    <w:rsid w:val="00C464E8"/>
    <w:pPr>
      <w:spacing w:after="120" w:line="480" w:lineRule="auto"/>
    </w:pPr>
  </w:style>
  <w:style w:type="paragraph" w:customStyle="1" w:styleId="Cog-H10">
    <w:name w:val="Cog-H1"/>
    <w:basedOn w:val="Heading1"/>
    <w:rsid w:val="0044735F"/>
    <w:pPr>
      <w:pageBreakBefore w:val="0"/>
      <w:numPr>
        <w:numId w:val="0"/>
      </w:numPr>
      <w:tabs>
        <w:tab w:val="num" w:pos="1080"/>
      </w:tabs>
      <w:spacing w:before="60" w:line="240" w:lineRule="atLeast"/>
      <w:ind w:left="1080" w:hanging="360"/>
    </w:pPr>
    <w:rPr>
      <w:sz w:val="28"/>
    </w:rPr>
  </w:style>
  <w:style w:type="paragraph" w:customStyle="1" w:styleId="Cog-H4">
    <w:name w:val="Cog-H4"/>
    <w:basedOn w:val="Heading4"/>
    <w:link w:val="Cog-H4Char"/>
    <w:rsid w:val="0044735F"/>
    <w:pPr>
      <w:tabs>
        <w:tab w:val="num" w:pos="1584"/>
      </w:tabs>
      <w:spacing w:before="120" w:line="240" w:lineRule="atLeast"/>
      <w:ind w:left="1584" w:hanging="864"/>
    </w:pPr>
    <w:rPr>
      <w:b/>
      <w:color w:val="008000"/>
      <w:sz w:val="20"/>
    </w:rPr>
  </w:style>
  <w:style w:type="paragraph" w:customStyle="1" w:styleId="Cog-body-bullet">
    <w:name w:val="Cog-body-bullet"/>
    <w:basedOn w:val="Cog-body"/>
    <w:rsid w:val="0044735F"/>
    <w:pPr>
      <w:numPr>
        <w:numId w:val="12"/>
      </w:numPr>
      <w:tabs>
        <w:tab w:val="clear" w:pos="360"/>
        <w:tab w:val="num" w:pos="720"/>
      </w:tabs>
      <w:ind w:left="720" w:firstLine="0"/>
    </w:pPr>
    <w:rPr>
      <w:rFonts w:cs="Times New Roman"/>
      <w:szCs w:val="20"/>
      <w:lang w:val="en-GB"/>
    </w:rPr>
  </w:style>
  <w:style w:type="character" w:customStyle="1" w:styleId="Cog-H4Char">
    <w:name w:val="Cog-H4 Char"/>
    <w:basedOn w:val="DefaultParagraphFont"/>
    <w:link w:val="Cog-H4"/>
    <w:rsid w:val="0044735F"/>
    <w:rPr>
      <w:rFonts w:ascii="Arial" w:hAnsi="Arial"/>
      <w:b/>
      <w:bCs/>
      <w:color w:val="008000"/>
      <w:szCs w:val="28"/>
      <w:lang w:val="en-US" w:eastAsia="en-US" w:bidi="ar-SA"/>
    </w:rPr>
  </w:style>
  <w:style w:type="paragraph" w:styleId="NormalWeb">
    <w:name w:val="Normal (Web)"/>
    <w:basedOn w:val="Normal"/>
    <w:rsid w:val="00BD21AD"/>
    <w:pPr>
      <w:spacing w:before="100" w:beforeAutospacing="1" w:after="100" w:afterAutospacing="1"/>
    </w:pPr>
    <w:rPr>
      <w:rFonts w:ascii="Verdana" w:hAnsi="Verdana"/>
      <w:color w:val="000000"/>
      <w:sz w:val="15"/>
      <w:szCs w:val="15"/>
    </w:rPr>
  </w:style>
  <w:style w:type="character" w:customStyle="1" w:styleId="BodyTextChar">
    <w:name w:val="Body Text Char"/>
    <w:basedOn w:val="DefaultParagraphFont"/>
    <w:rsid w:val="00F11709"/>
    <w:rPr>
      <w:rFonts w:ascii="Arial" w:hAnsi="Arial"/>
      <w:szCs w:val="24"/>
      <w:lang w:val="en-US" w:eastAsia="en-US" w:bidi="ar-SA"/>
    </w:rPr>
  </w:style>
  <w:style w:type="character" w:styleId="CommentReference">
    <w:name w:val="annotation reference"/>
    <w:basedOn w:val="DefaultParagraphFont"/>
    <w:semiHidden/>
    <w:rsid w:val="00F11709"/>
    <w:rPr>
      <w:sz w:val="16"/>
      <w:szCs w:val="16"/>
    </w:rPr>
  </w:style>
  <w:style w:type="paragraph" w:styleId="CommentText">
    <w:name w:val="annotation text"/>
    <w:basedOn w:val="Normal"/>
    <w:semiHidden/>
    <w:rsid w:val="00F11709"/>
    <w:rPr>
      <w:sz w:val="20"/>
      <w:szCs w:val="20"/>
    </w:rPr>
  </w:style>
  <w:style w:type="paragraph" w:customStyle="1" w:styleId="homeintro">
    <w:name w:val="homeintro"/>
    <w:basedOn w:val="Normal"/>
    <w:rsid w:val="00F11709"/>
    <w:pPr>
      <w:spacing w:before="100" w:beforeAutospacing="1" w:after="100" w:afterAutospacing="1"/>
    </w:pPr>
  </w:style>
  <w:style w:type="paragraph" w:styleId="TableofFigures">
    <w:name w:val="table of figures"/>
    <w:basedOn w:val="Normal"/>
    <w:next w:val="Normal"/>
    <w:semiHidden/>
    <w:rsid w:val="00893D5E"/>
  </w:style>
  <w:style w:type="paragraph" w:customStyle="1" w:styleId="exhibitheader">
    <w:name w:val="exhibit_header"/>
    <w:basedOn w:val="Normal"/>
    <w:rsid w:val="00062341"/>
    <w:pPr>
      <w:spacing w:before="100" w:beforeAutospacing="1" w:after="100" w:afterAutospacing="1" w:line="312" w:lineRule="auto"/>
    </w:pPr>
    <w:rPr>
      <w:rFonts w:ascii="Verdana" w:hAnsi="Verdana"/>
      <w:b/>
      <w:bCs/>
      <w:color w:val="000000"/>
    </w:rPr>
  </w:style>
  <w:style w:type="paragraph" w:customStyle="1" w:styleId="exhibitlegend">
    <w:name w:val="exhibit_legend"/>
    <w:basedOn w:val="Normal"/>
    <w:rsid w:val="00062341"/>
    <w:pPr>
      <w:spacing w:before="45" w:after="45" w:line="336" w:lineRule="auto"/>
      <w:ind w:left="45" w:right="45"/>
    </w:pPr>
    <w:rPr>
      <w:rFonts w:ascii="Arial" w:hAnsi="Arial" w:cs="Arial"/>
      <w:color w:val="000000"/>
      <w:sz w:val="20"/>
      <w:szCs w:val="20"/>
    </w:rPr>
  </w:style>
  <w:style w:type="paragraph" w:customStyle="1" w:styleId="bullet">
    <w:name w:val="bullet"/>
    <w:basedOn w:val="Normal"/>
    <w:rsid w:val="00062341"/>
    <w:pPr>
      <w:spacing w:line="324" w:lineRule="auto"/>
    </w:pPr>
    <w:rPr>
      <w:color w:val="000000"/>
    </w:rPr>
  </w:style>
  <w:style w:type="character" w:customStyle="1" w:styleId="exhibitheader1">
    <w:name w:val="exhibit_header1"/>
    <w:basedOn w:val="DefaultParagraphFont"/>
    <w:rsid w:val="00062341"/>
    <w:rPr>
      <w:rFonts w:ascii="Verdana" w:hAnsi="Verdana" w:hint="default"/>
      <w:b/>
      <w:bCs/>
      <w:color w:val="000000"/>
      <w:sz w:val="24"/>
      <w:szCs w:val="24"/>
    </w:rPr>
  </w:style>
  <w:style w:type="character" w:customStyle="1" w:styleId="exhibitsubheader1">
    <w:name w:val="exhibit_subheader1"/>
    <w:basedOn w:val="DefaultParagraphFont"/>
    <w:rsid w:val="00062341"/>
    <w:rPr>
      <w:rFonts w:ascii="Verdana" w:hAnsi="Verdana" w:hint="default"/>
      <w:b/>
      <w:bCs/>
      <w:i/>
      <w:iCs/>
      <w:color w:val="000000"/>
      <w:sz w:val="18"/>
      <w:szCs w:val="18"/>
    </w:rPr>
  </w:style>
  <w:style w:type="paragraph" w:styleId="BodyText">
    <w:name w:val="Body Text"/>
    <w:basedOn w:val="Normal"/>
    <w:rsid w:val="00062341"/>
    <w:pPr>
      <w:spacing w:after="120"/>
    </w:pPr>
  </w:style>
  <w:style w:type="paragraph" w:styleId="BodyTextFirstIndent">
    <w:name w:val="Body Text First Indent"/>
    <w:basedOn w:val="BodyText"/>
    <w:rsid w:val="00062341"/>
    <w:pPr>
      <w:ind w:firstLine="210"/>
    </w:pPr>
  </w:style>
  <w:style w:type="paragraph" w:customStyle="1" w:styleId="Char1CharCharChar1">
    <w:name w:val="Char1 Char Char Char1"/>
    <w:basedOn w:val="Normal"/>
    <w:rsid w:val="00062341"/>
    <w:pPr>
      <w:spacing w:after="160" w:line="240" w:lineRule="exact"/>
    </w:pPr>
    <w:rPr>
      <w:rFonts w:ascii="Verdana" w:hAnsi="Verdana"/>
      <w:sz w:val="20"/>
      <w:szCs w:val="20"/>
    </w:rPr>
  </w:style>
  <w:style w:type="character" w:styleId="Strong">
    <w:name w:val="Strong"/>
    <w:basedOn w:val="DefaultParagraphFont"/>
    <w:qFormat/>
    <w:rsid w:val="004F340B"/>
    <w:rPr>
      <w:b/>
      <w:bCs/>
    </w:rPr>
  </w:style>
  <w:style w:type="paragraph" w:customStyle="1" w:styleId="bodyfont">
    <w:name w:val="bodyfont"/>
    <w:basedOn w:val="Normal"/>
    <w:rsid w:val="004F340B"/>
    <w:pPr>
      <w:spacing w:before="100" w:beforeAutospacing="1" w:after="100" w:afterAutospacing="1"/>
    </w:pPr>
    <w:rPr>
      <w:rFonts w:ascii="Arial" w:hAnsi="Arial" w:cs="Arial"/>
      <w:sz w:val="18"/>
      <w:szCs w:val="18"/>
    </w:rPr>
  </w:style>
  <w:style w:type="paragraph" w:customStyle="1" w:styleId="articlesmainbody">
    <w:name w:val="articles_mainbody"/>
    <w:basedOn w:val="Normal"/>
    <w:rsid w:val="004F340B"/>
    <w:pPr>
      <w:spacing w:before="100" w:beforeAutospacing="1" w:after="100" w:afterAutospacing="1"/>
    </w:pPr>
    <w:rPr>
      <w:rFonts w:ascii="Arial" w:hAnsi="Arial" w:cs="Arial"/>
      <w:color w:val="000000"/>
      <w:sz w:val="20"/>
      <w:szCs w:val="20"/>
    </w:rPr>
  </w:style>
  <w:style w:type="paragraph" w:customStyle="1" w:styleId="quote">
    <w:name w:val="quote"/>
    <w:basedOn w:val="Normal"/>
    <w:rsid w:val="000577C5"/>
    <w:pPr>
      <w:spacing w:before="100" w:beforeAutospacing="1" w:after="100" w:afterAutospacing="1" w:line="288" w:lineRule="auto"/>
      <w:ind w:left="300"/>
    </w:pPr>
    <w:rPr>
      <w:color w:val="000000"/>
      <w:sz w:val="22"/>
      <w:szCs w:val="22"/>
    </w:rPr>
  </w:style>
  <w:style w:type="paragraph" w:customStyle="1" w:styleId="adlegend">
    <w:name w:val="ad_legend"/>
    <w:basedOn w:val="Normal"/>
    <w:rsid w:val="000577C5"/>
    <w:pPr>
      <w:spacing w:before="15" w:after="15" w:line="288" w:lineRule="auto"/>
      <w:ind w:left="30"/>
    </w:pPr>
    <w:rPr>
      <w:rFonts w:ascii="Arial" w:hAnsi="Arial" w:cs="Arial"/>
      <w:color w:val="000000"/>
      <w:sz w:val="16"/>
      <w:szCs w:val="16"/>
    </w:rPr>
  </w:style>
  <w:style w:type="paragraph" w:customStyle="1" w:styleId="Char">
    <w:name w:val="Char"/>
    <w:basedOn w:val="Normal"/>
    <w:rsid w:val="00BA28C9"/>
    <w:pPr>
      <w:spacing w:after="160" w:line="240" w:lineRule="exact"/>
    </w:pPr>
    <w:rPr>
      <w:rFonts w:ascii="Arial" w:hAnsi="Arial"/>
      <w:sz w:val="20"/>
      <w:szCs w:val="20"/>
    </w:rPr>
  </w:style>
  <w:style w:type="paragraph" w:styleId="List">
    <w:name w:val="List"/>
    <w:basedOn w:val="Normal"/>
    <w:rsid w:val="00060DB6"/>
    <w:pPr>
      <w:tabs>
        <w:tab w:val="left" w:pos="180"/>
        <w:tab w:val="left" w:pos="540"/>
      </w:tabs>
      <w:ind w:left="720" w:hanging="360"/>
      <w:jc w:val="both"/>
    </w:pPr>
    <w:rPr>
      <w:color w:val="000000"/>
      <w:sz w:val="20"/>
      <w:szCs w:val="20"/>
    </w:rPr>
  </w:style>
  <w:style w:type="paragraph" w:styleId="ListNumber2">
    <w:name w:val="List Number 2"/>
    <w:basedOn w:val="Normal"/>
    <w:rsid w:val="00060DB6"/>
    <w:pPr>
      <w:numPr>
        <w:numId w:val="19"/>
      </w:numPr>
    </w:pPr>
  </w:style>
  <w:style w:type="paragraph" w:customStyle="1" w:styleId="Char1">
    <w:name w:val="Char1"/>
    <w:basedOn w:val="Normal"/>
    <w:rsid w:val="005D1C9D"/>
    <w:pPr>
      <w:spacing w:after="160" w:line="240" w:lineRule="exact"/>
    </w:pPr>
    <w:rPr>
      <w:rFonts w:ascii="Arial" w:eastAsia="Arial" w:hAnsi="Arial" w:cs="Arial"/>
      <w:sz w:val="22"/>
    </w:rPr>
  </w:style>
  <w:style w:type="paragraph" w:styleId="BlockText">
    <w:name w:val="Block Text"/>
    <w:basedOn w:val="Normal"/>
    <w:rsid w:val="00EB6227"/>
    <w:pPr>
      <w:widowControl w:val="0"/>
      <w:numPr>
        <w:ilvl w:val="12"/>
      </w:numPr>
      <w:spacing w:before="26" w:after="240" w:line="240" w:lineRule="atLeast"/>
      <w:ind w:right="115"/>
    </w:pPr>
    <w:rPr>
      <w:rFonts w:ascii="Arial" w:hAnsi="Arial"/>
      <w:sz w:val="20"/>
      <w:szCs w:val="20"/>
    </w:rPr>
  </w:style>
  <w:style w:type="paragraph" w:customStyle="1" w:styleId="CharCharChar">
    <w:name w:val="Char Char Char"/>
    <w:basedOn w:val="Normal"/>
    <w:rsid w:val="00EB6227"/>
    <w:pPr>
      <w:spacing w:after="160" w:line="240" w:lineRule="exact"/>
    </w:pPr>
    <w:rPr>
      <w:rFonts w:ascii="Verdana" w:hAnsi="Verdana"/>
      <w:sz w:val="20"/>
      <w:szCs w:val="20"/>
    </w:rPr>
  </w:style>
  <w:style w:type="paragraph" w:customStyle="1" w:styleId="N1">
    <w:name w:val="N1"/>
    <w:basedOn w:val="Normal"/>
    <w:rsid w:val="00832903"/>
    <w:pPr>
      <w:spacing w:line="300" w:lineRule="exact"/>
    </w:pPr>
    <w:rPr>
      <w:rFonts w:ascii="Arial" w:hAnsi="Arial" w:cs="Arial"/>
      <w:sz w:val="20"/>
      <w:szCs w:val="20"/>
    </w:rPr>
  </w:style>
  <w:style w:type="paragraph" w:styleId="EnvelopeReturn">
    <w:name w:val="envelope return"/>
    <w:basedOn w:val="Normal"/>
    <w:rsid w:val="00832903"/>
    <w:pPr>
      <w:widowControl w:val="0"/>
      <w:spacing w:before="26" w:after="240" w:line="240" w:lineRule="atLeast"/>
      <w:ind w:right="115"/>
    </w:pPr>
    <w:rPr>
      <w:rFonts w:ascii="Arial" w:hAnsi="Arial"/>
      <w:sz w:val="20"/>
      <w:szCs w:val="20"/>
    </w:rPr>
  </w:style>
  <w:style w:type="character" w:customStyle="1" w:styleId="CharChar">
    <w:name w:val="Char Char"/>
    <w:basedOn w:val="DefaultParagraphFont"/>
    <w:rsid w:val="00440E29"/>
    <w:rPr>
      <w:sz w:val="24"/>
      <w:szCs w:val="24"/>
      <w:lang w:val="en-US" w:eastAsia="en-US" w:bidi="ar-SA"/>
    </w:rPr>
  </w:style>
  <w:style w:type="character" w:customStyle="1" w:styleId="FooterChar">
    <w:name w:val="Footer Char"/>
    <w:basedOn w:val="DefaultParagraphFont"/>
    <w:link w:val="Footer"/>
    <w:rsid w:val="00440E29"/>
    <w:rPr>
      <w:sz w:val="24"/>
      <w:szCs w:val="24"/>
      <w:lang w:val="en-US" w:eastAsia="en-US" w:bidi="ar-SA"/>
    </w:rPr>
  </w:style>
  <w:style w:type="paragraph" w:customStyle="1" w:styleId="TableText">
    <w:name w:val="Table Text"/>
    <w:basedOn w:val="Cog-body"/>
    <w:rsid w:val="00451D5C"/>
    <w:pPr>
      <w:ind w:left="72"/>
    </w:pPr>
    <w:rPr>
      <w:rFonts w:ascii="Verdana" w:hAnsi="Verdana"/>
    </w:rPr>
  </w:style>
  <w:style w:type="character" w:customStyle="1" w:styleId="CharChar2">
    <w:name w:val="Char Char2"/>
    <w:basedOn w:val="DefaultParagraphFont"/>
    <w:rsid w:val="00CA0FEC"/>
    <w:rPr>
      <w:sz w:val="24"/>
      <w:szCs w:val="24"/>
      <w:lang w:val="en-US" w:eastAsia="en-US" w:bidi="ar-SA"/>
    </w:rPr>
  </w:style>
  <w:style w:type="paragraph" w:customStyle="1" w:styleId="NormalJustified">
    <w:name w:val="Normal + Justified"/>
    <w:aliases w:val="Right:  0&quot;,Before:  0 pt,After:  0 pt,Line spacing:  E..."/>
    <w:basedOn w:val="Normal"/>
    <w:rsid w:val="001F2978"/>
    <w:pPr>
      <w:autoSpaceDE w:val="0"/>
      <w:autoSpaceDN w:val="0"/>
      <w:adjustRightInd w:val="0"/>
      <w:jc w:val="both"/>
    </w:pPr>
    <w:rPr>
      <w:rFonts w:ascii="Arial" w:hAnsi="Arial" w:cs="Arial"/>
      <w:sz w:val="20"/>
      <w:szCs w:val="20"/>
    </w:rPr>
  </w:style>
  <w:style w:type="paragraph" w:customStyle="1" w:styleId="tabletext0">
    <w:name w:val="tabletext"/>
    <w:basedOn w:val="Normal"/>
    <w:rsid w:val="005F20A6"/>
    <w:pPr>
      <w:widowControl w:val="0"/>
      <w:spacing w:before="26" w:after="26" w:line="240" w:lineRule="atLeast"/>
      <w:ind w:left="1440" w:right="115"/>
    </w:pPr>
    <w:rPr>
      <w:rFonts w:ascii="Arial" w:hAnsi="Arial"/>
      <w:iCs/>
      <w:sz w:val="20"/>
      <w:szCs w:val="20"/>
    </w:rPr>
  </w:style>
  <w:style w:type="paragraph" w:customStyle="1" w:styleId="msolistparagraph0">
    <w:name w:val="msolistparagraph"/>
    <w:basedOn w:val="Normal"/>
    <w:rsid w:val="00346F9B"/>
    <w:pPr>
      <w:spacing w:after="200" w:line="276" w:lineRule="auto"/>
      <w:ind w:left="720"/>
    </w:pPr>
    <w:rPr>
      <w:rFonts w:ascii="Calibri" w:hAnsi="Calibri"/>
      <w:sz w:val="22"/>
      <w:szCs w:val="22"/>
    </w:rPr>
  </w:style>
  <w:style w:type="paragraph" w:styleId="EndnoteText">
    <w:name w:val="endnote text"/>
    <w:basedOn w:val="Normal"/>
    <w:link w:val="EndnoteTextChar"/>
    <w:rsid w:val="003835AF"/>
    <w:rPr>
      <w:sz w:val="20"/>
      <w:szCs w:val="20"/>
    </w:rPr>
  </w:style>
  <w:style w:type="character" w:customStyle="1" w:styleId="EndnoteTextChar">
    <w:name w:val="Endnote Text Char"/>
    <w:basedOn w:val="DefaultParagraphFont"/>
    <w:link w:val="EndnoteText"/>
    <w:rsid w:val="003835AF"/>
  </w:style>
  <w:style w:type="character" w:styleId="EndnoteReference">
    <w:name w:val="endnote reference"/>
    <w:basedOn w:val="DefaultParagraphFont"/>
    <w:rsid w:val="003835AF"/>
    <w:rPr>
      <w:vertAlign w:val="superscript"/>
    </w:rPr>
  </w:style>
  <w:style w:type="paragraph" w:styleId="ListParagraph">
    <w:name w:val="List Paragraph"/>
    <w:basedOn w:val="Normal"/>
    <w:uiPriority w:val="34"/>
    <w:qFormat/>
    <w:rsid w:val="00E24CF0"/>
    <w:pPr>
      <w:ind w:left="720"/>
    </w:pPr>
  </w:style>
  <w:style w:type="character" w:customStyle="1" w:styleId="Heading3Char">
    <w:name w:val="Heading 3 Char"/>
    <w:basedOn w:val="DefaultParagraphFont"/>
    <w:link w:val="Heading3"/>
    <w:rsid w:val="003E7142"/>
    <w:rPr>
      <w:rFonts w:ascii="Arial" w:hAnsi="Arial" w:cs="Arial"/>
      <w:b/>
      <w:bCs/>
      <w:i/>
      <w:color w:val="333399"/>
      <w:sz w:val="26"/>
      <w:szCs w:val="26"/>
    </w:rPr>
  </w:style>
  <w:style w:type="character" w:customStyle="1" w:styleId="Heading4Char">
    <w:name w:val="Heading 4 Char"/>
    <w:aliases w:val="h4 Char,First Subheading Char,H4 Char,Org Heading 2 Char,h4 sub sub heading Char,4 Char,14 Char,l4 Char,141 Char,h41 Char,l41 Char,41 Char,142 Char,h42 Char,l42 Char,h43 Char,a. Char,Map Title Char,42 Char,parapoint Char,¶ Char,143 Char"/>
    <w:basedOn w:val="DefaultParagraphFont"/>
    <w:link w:val="Heading4"/>
    <w:rsid w:val="003E7142"/>
    <w:rPr>
      <w:rFonts w:ascii="Arial" w:hAnsi="Arial"/>
      <w:bCs/>
      <w:color w:val="0000FF"/>
      <w:sz w:val="24"/>
      <w:szCs w:val="28"/>
    </w:rPr>
  </w:style>
  <w:style w:type="paragraph" w:customStyle="1" w:styleId="List-Bulleted">
    <w:name w:val="List - Bulleted"/>
    <w:rsid w:val="00166B20"/>
    <w:pPr>
      <w:numPr>
        <w:numId w:val="139"/>
      </w:numPr>
      <w:spacing w:before="60" w:after="60"/>
    </w:pPr>
    <w:rPr>
      <w:rFonts w:ascii="Garamond" w:hAnsi="Garamond"/>
      <w:sz w:val="22"/>
    </w:rPr>
  </w:style>
  <w:style w:type="paragraph" w:customStyle="1" w:styleId="Char1CharCharChar10">
    <w:name w:val="Char1 Char Char Char1"/>
    <w:basedOn w:val="Normal"/>
    <w:rsid w:val="00003A84"/>
    <w:pPr>
      <w:spacing w:after="160" w:line="240" w:lineRule="exact"/>
    </w:pPr>
    <w:rPr>
      <w:rFonts w:ascii="Verdana" w:hAnsi="Verdana"/>
      <w:sz w:val="20"/>
      <w:szCs w:val="20"/>
    </w:rPr>
  </w:style>
</w:styles>
</file>

<file path=word/webSettings.xml><?xml version="1.0" encoding="utf-8"?>
<w:webSettings xmlns:r="http://schemas.openxmlformats.org/officeDocument/2006/relationships" xmlns:w="http://schemas.openxmlformats.org/wordprocessingml/2006/main">
  <w:divs>
    <w:div w:id="44837653">
      <w:bodyDiv w:val="1"/>
      <w:marLeft w:val="0"/>
      <w:marRight w:val="0"/>
      <w:marTop w:val="0"/>
      <w:marBottom w:val="0"/>
      <w:divBdr>
        <w:top w:val="none" w:sz="0" w:space="0" w:color="auto"/>
        <w:left w:val="none" w:sz="0" w:space="0" w:color="auto"/>
        <w:bottom w:val="none" w:sz="0" w:space="0" w:color="auto"/>
        <w:right w:val="none" w:sz="0" w:space="0" w:color="auto"/>
      </w:divBdr>
    </w:div>
    <w:div w:id="71004465">
      <w:bodyDiv w:val="1"/>
      <w:marLeft w:val="0"/>
      <w:marRight w:val="0"/>
      <w:marTop w:val="0"/>
      <w:marBottom w:val="0"/>
      <w:divBdr>
        <w:top w:val="none" w:sz="0" w:space="0" w:color="auto"/>
        <w:left w:val="none" w:sz="0" w:space="0" w:color="auto"/>
        <w:bottom w:val="none" w:sz="0" w:space="0" w:color="auto"/>
        <w:right w:val="none" w:sz="0" w:space="0" w:color="auto"/>
      </w:divBdr>
      <w:divsChild>
        <w:div w:id="1014041537">
          <w:marLeft w:val="0"/>
          <w:marRight w:val="0"/>
          <w:marTop w:val="0"/>
          <w:marBottom w:val="0"/>
          <w:divBdr>
            <w:top w:val="none" w:sz="0" w:space="0" w:color="auto"/>
            <w:left w:val="none" w:sz="0" w:space="0" w:color="auto"/>
            <w:bottom w:val="none" w:sz="0" w:space="0" w:color="auto"/>
            <w:right w:val="none" w:sz="0" w:space="0" w:color="auto"/>
          </w:divBdr>
          <w:divsChild>
            <w:div w:id="158009720">
              <w:marLeft w:val="0"/>
              <w:marRight w:val="0"/>
              <w:marTop w:val="0"/>
              <w:marBottom w:val="0"/>
              <w:divBdr>
                <w:top w:val="none" w:sz="0" w:space="0" w:color="auto"/>
                <w:left w:val="none" w:sz="0" w:space="0" w:color="auto"/>
                <w:bottom w:val="none" w:sz="0" w:space="0" w:color="auto"/>
                <w:right w:val="none" w:sz="0" w:space="0" w:color="auto"/>
              </w:divBdr>
            </w:div>
            <w:div w:id="896821659">
              <w:marLeft w:val="0"/>
              <w:marRight w:val="0"/>
              <w:marTop w:val="0"/>
              <w:marBottom w:val="0"/>
              <w:divBdr>
                <w:top w:val="none" w:sz="0" w:space="0" w:color="auto"/>
                <w:left w:val="none" w:sz="0" w:space="0" w:color="auto"/>
                <w:bottom w:val="none" w:sz="0" w:space="0" w:color="auto"/>
                <w:right w:val="none" w:sz="0" w:space="0" w:color="auto"/>
              </w:divBdr>
            </w:div>
            <w:div w:id="1937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6853">
      <w:bodyDiv w:val="1"/>
      <w:marLeft w:val="0"/>
      <w:marRight w:val="0"/>
      <w:marTop w:val="0"/>
      <w:marBottom w:val="0"/>
      <w:divBdr>
        <w:top w:val="none" w:sz="0" w:space="0" w:color="auto"/>
        <w:left w:val="none" w:sz="0" w:space="0" w:color="auto"/>
        <w:bottom w:val="none" w:sz="0" w:space="0" w:color="auto"/>
        <w:right w:val="none" w:sz="0" w:space="0" w:color="auto"/>
      </w:divBdr>
    </w:div>
    <w:div w:id="86846871">
      <w:bodyDiv w:val="1"/>
      <w:marLeft w:val="0"/>
      <w:marRight w:val="0"/>
      <w:marTop w:val="0"/>
      <w:marBottom w:val="0"/>
      <w:divBdr>
        <w:top w:val="none" w:sz="0" w:space="0" w:color="auto"/>
        <w:left w:val="none" w:sz="0" w:space="0" w:color="auto"/>
        <w:bottom w:val="none" w:sz="0" w:space="0" w:color="auto"/>
        <w:right w:val="none" w:sz="0" w:space="0" w:color="auto"/>
      </w:divBdr>
    </w:div>
    <w:div w:id="95365090">
      <w:bodyDiv w:val="1"/>
      <w:marLeft w:val="0"/>
      <w:marRight w:val="0"/>
      <w:marTop w:val="0"/>
      <w:marBottom w:val="0"/>
      <w:divBdr>
        <w:top w:val="none" w:sz="0" w:space="0" w:color="auto"/>
        <w:left w:val="none" w:sz="0" w:space="0" w:color="auto"/>
        <w:bottom w:val="none" w:sz="0" w:space="0" w:color="auto"/>
        <w:right w:val="none" w:sz="0" w:space="0" w:color="auto"/>
      </w:divBdr>
      <w:divsChild>
        <w:div w:id="269315737">
          <w:marLeft w:val="0"/>
          <w:marRight w:val="0"/>
          <w:marTop w:val="0"/>
          <w:marBottom w:val="0"/>
          <w:divBdr>
            <w:top w:val="none" w:sz="0" w:space="0" w:color="auto"/>
            <w:left w:val="none" w:sz="0" w:space="0" w:color="auto"/>
            <w:bottom w:val="none" w:sz="0" w:space="0" w:color="auto"/>
            <w:right w:val="none" w:sz="0" w:space="0" w:color="auto"/>
          </w:divBdr>
          <w:divsChild>
            <w:div w:id="18340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9955">
      <w:bodyDiv w:val="1"/>
      <w:marLeft w:val="0"/>
      <w:marRight w:val="0"/>
      <w:marTop w:val="0"/>
      <w:marBottom w:val="0"/>
      <w:divBdr>
        <w:top w:val="none" w:sz="0" w:space="0" w:color="auto"/>
        <w:left w:val="none" w:sz="0" w:space="0" w:color="auto"/>
        <w:bottom w:val="none" w:sz="0" w:space="0" w:color="auto"/>
        <w:right w:val="none" w:sz="0" w:space="0" w:color="auto"/>
      </w:divBdr>
      <w:divsChild>
        <w:div w:id="1480732946">
          <w:marLeft w:val="0"/>
          <w:marRight w:val="0"/>
          <w:marTop w:val="0"/>
          <w:marBottom w:val="0"/>
          <w:divBdr>
            <w:top w:val="none" w:sz="0" w:space="0" w:color="auto"/>
            <w:left w:val="none" w:sz="0" w:space="0" w:color="auto"/>
            <w:bottom w:val="none" w:sz="0" w:space="0" w:color="auto"/>
            <w:right w:val="none" w:sz="0" w:space="0" w:color="auto"/>
          </w:divBdr>
          <w:divsChild>
            <w:div w:id="162923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444">
      <w:bodyDiv w:val="1"/>
      <w:marLeft w:val="0"/>
      <w:marRight w:val="0"/>
      <w:marTop w:val="0"/>
      <w:marBottom w:val="0"/>
      <w:divBdr>
        <w:top w:val="none" w:sz="0" w:space="0" w:color="auto"/>
        <w:left w:val="none" w:sz="0" w:space="0" w:color="auto"/>
        <w:bottom w:val="none" w:sz="0" w:space="0" w:color="auto"/>
        <w:right w:val="none" w:sz="0" w:space="0" w:color="auto"/>
      </w:divBdr>
      <w:divsChild>
        <w:div w:id="826240331">
          <w:marLeft w:val="0"/>
          <w:marRight w:val="0"/>
          <w:marTop w:val="0"/>
          <w:marBottom w:val="0"/>
          <w:divBdr>
            <w:top w:val="none" w:sz="0" w:space="0" w:color="auto"/>
            <w:left w:val="none" w:sz="0" w:space="0" w:color="auto"/>
            <w:bottom w:val="none" w:sz="0" w:space="0" w:color="auto"/>
            <w:right w:val="none" w:sz="0" w:space="0" w:color="auto"/>
          </w:divBdr>
          <w:divsChild>
            <w:div w:id="1014768807">
              <w:marLeft w:val="0"/>
              <w:marRight w:val="0"/>
              <w:marTop w:val="0"/>
              <w:marBottom w:val="0"/>
              <w:divBdr>
                <w:top w:val="none" w:sz="0" w:space="0" w:color="auto"/>
                <w:left w:val="none" w:sz="0" w:space="0" w:color="auto"/>
                <w:bottom w:val="none" w:sz="0" w:space="0" w:color="auto"/>
                <w:right w:val="none" w:sz="0" w:space="0" w:color="auto"/>
              </w:divBdr>
            </w:div>
            <w:div w:id="17957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9152">
      <w:bodyDiv w:val="1"/>
      <w:marLeft w:val="0"/>
      <w:marRight w:val="0"/>
      <w:marTop w:val="0"/>
      <w:marBottom w:val="0"/>
      <w:divBdr>
        <w:top w:val="none" w:sz="0" w:space="0" w:color="auto"/>
        <w:left w:val="none" w:sz="0" w:space="0" w:color="auto"/>
        <w:bottom w:val="none" w:sz="0" w:space="0" w:color="auto"/>
        <w:right w:val="none" w:sz="0" w:space="0" w:color="auto"/>
      </w:divBdr>
      <w:divsChild>
        <w:div w:id="2103067770">
          <w:marLeft w:val="0"/>
          <w:marRight w:val="0"/>
          <w:marTop w:val="0"/>
          <w:marBottom w:val="0"/>
          <w:divBdr>
            <w:top w:val="none" w:sz="0" w:space="0" w:color="auto"/>
            <w:left w:val="none" w:sz="0" w:space="0" w:color="auto"/>
            <w:bottom w:val="none" w:sz="0" w:space="0" w:color="auto"/>
            <w:right w:val="none" w:sz="0" w:space="0" w:color="auto"/>
          </w:divBdr>
          <w:divsChild>
            <w:div w:id="732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689">
      <w:bodyDiv w:val="1"/>
      <w:marLeft w:val="0"/>
      <w:marRight w:val="0"/>
      <w:marTop w:val="0"/>
      <w:marBottom w:val="0"/>
      <w:divBdr>
        <w:top w:val="none" w:sz="0" w:space="0" w:color="auto"/>
        <w:left w:val="none" w:sz="0" w:space="0" w:color="auto"/>
        <w:bottom w:val="none" w:sz="0" w:space="0" w:color="auto"/>
        <w:right w:val="none" w:sz="0" w:space="0" w:color="auto"/>
      </w:divBdr>
      <w:divsChild>
        <w:div w:id="952204777">
          <w:marLeft w:val="0"/>
          <w:marRight w:val="0"/>
          <w:marTop w:val="0"/>
          <w:marBottom w:val="0"/>
          <w:divBdr>
            <w:top w:val="none" w:sz="0" w:space="0" w:color="auto"/>
            <w:left w:val="none" w:sz="0" w:space="0" w:color="auto"/>
            <w:bottom w:val="none" w:sz="0" w:space="0" w:color="auto"/>
            <w:right w:val="none" w:sz="0" w:space="0" w:color="auto"/>
          </w:divBdr>
          <w:divsChild>
            <w:div w:id="9234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9592">
      <w:bodyDiv w:val="1"/>
      <w:marLeft w:val="0"/>
      <w:marRight w:val="0"/>
      <w:marTop w:val="0"/>
      <w:marBottom w:val="0"/>
      <w:divBdr>
        <w:top w:val="none" w:sz="0" w:space="0" w:color="auto"/>
        <w:left w:val="none" w:sz="0" w:space="0" w:color="auto"/>
        <w:bottom w:val="none" w:sz="0" w:space="0" w:color="auto"/>
        <w:right w:val="none" w:sz="0" w:space="0" w:color="auto"/>
      </w:divBdr>
    </w:div>
    <w:div w:id="172847027">
      <w:bodyDiv w:val="1"/>
      <w:marLeft w:val="0"/>
      <w:marRight w:val="0"/>
      <w:marTop w:val="0"/>
      <w:marBottom w:val="0"/>
      <w:divBdr>
        <w:top w:val="none" w:sz="0" w:space="0" w:color="auto"/>
        <w:left w:val="none" w:sz="0" w:space="0" w:color="auto"/>
        <w:bottom w:val="none" w:sz="0" w:space="0" w:color="auto"/>
        <w:right w:val="none" w:sz="0" w:space="0" w:color="auto"/>
      </w:divBdr>
    </w:div>
    <w:div w:id="184489211">
      <w:bodyDiv w:val="1"/>
      <w:marLeft w:val="0"/>
      <w:marRight w:val="0"/>
      <w:marTop w:val="0"/>
      <w:marBottom w:val="0"/>
      <w:divBdr>
        <w:top w:val="none" w:sz="0" w:space="0" w:color="auto"/>
        <w:left w:val="none" w:sz="0" w:space="0" w:color="auto"/>
        <w:bottom w:val="none" w:sz="0" w:space="0" w:color="auto"/>
        <w:right w:val="none" w:sz="0" w:space="0" w:color="auto"/>
      </w:divBdr>
      <w:divsChild>
        <w:div w:id="632753857">
          <w:marLeft w:val="0"/>
          <w:marRight w:val="0"/>
          <w:marTop w:val="0"/>
          <w:marBottom w:val="0"/>
          <w:divBdr>
            <w:top w:val="none" w:sz="0" w:space="0" w:color="auto"/>
            <w:left w:val="none" w:sz="0" w:space="0" w:color="auto"/>
            <w:bottom w:val="none" w:sz="0" w:space="0" w:color="auto"/>
            <w:right w:val="none" w:sz="0" w:space="0" w:color="auto"/>
          </w:divBdr>
          <w:divsChild>
            <w:div w:id="1127969619">
              <w:marLeft w:val="0"/>
              <w:marRight w:val="0"/>
              <w:marTop w:val="0"/>
              <w:marBottom w:val="0"/>
              <w:divBdr>
                <w:top w:val="none" w:sz="0" w:space="0" w:color="auto"/>
                <w:left w:val="none" w:sz="0" w:space="0" w:color="auto"/>
                <w:bottom w:val="none" w:sz="0" w:space="0" w:color="auto"/>
                <w:right w:val="none" w:sz="0" w:space="0" w:color="auto"/>
              </w:divBdr>
            </w:div>
            <w:div w:id="1618289475">
              <w:marLeft w:val="0"/>
              <w:marRight w:val="0"/>
              <w:marTop w:val="0"/>
              <w:marBottom w:val="0"/>
              <w:divBdr>
                <w:top w:val="none" w:sz="0" w:space="0" w:color="auto"/>
                <w:left w:val="none" w:sz="0" w:space="0" w:color="auto"/>
                <w:bottom w:val="none" w:sz="0" w:space="0" w:color="auto"/>
                <w:right w:val="none" w:sz="0" w:space="0" w:color="auto"/>
              </w:divBdr>
            </w:div>
            <w:div w:id="185611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99956">
      <w:bodyDiv w:val="1"/>
      <w:marLeft w:val="0"/>
      <w:marRight w:val="0"/>
      <w:marTop w:val="0"/>
      <w:marBottom w:val="0"/>
      <w:divBdr>
        <w:top w:val="none" w:sz="0" w:space="0" w:color="auto"/>
        <w:left w:val="none" w:sz="0" w:space="0" w:color="auto"/>
        <w:bottom w:val="none" w:sz="0" w:space="0" w:color="auto"/>
        <w:right w:val="none" w:sz="0" w:space="0" w:color="auto"/>
      </w:divBdr>
      <w:divsChild>
        <w:div w:id="1311524145">
          <w:marLeft w:val="0"/>
          <w:marRight w:val="0"/>
          <w:marTop w:val="0"/>
          <w:marBottom w:val="0"/>
          <w:divBdr>
            <w:top w:val="none" w:sz="0" w:space="0" w:color="auto"/>
            <w:left w:val="none" w:sz="0" w:space="0" w:color="auto"/>
            <w:bottom w:val="none" w:sz="0" w:space="0" w:color="auto"/>
            <w:right w:val="none" w:sz="0" w:space="0" w:color="auto"/>
          </w:divBdr>
          <w:divsChild>
            <w:div w:id="21122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5877">
      <w:bodyDiv w:val="1"/>
      <w:marLeft w:val="0"/>
      <w:marRight w:val="0"/>
      <w:marTop w:val="0"/>
      <w:marBottom w:val="0"/>
      <w:divBdr>
        <w:top w:val="none" w:sz="0" w:space="0" w:color="auto"/>
        <w:left w:val="none" w:sz="0" w:space="0" w:color="auto"/>
        <w:bottom w:val="none" w:sz="0" w:space="0" w:color="auto"/>
        <w:right w:val="none" w:sz="0" w:space="0" w:color="auto"/>
      </w:divBdr>
      <w:divsChild>
        <w:div w:id="589856767">
          <w:marLeft w:val="0"/>
          <w:marRight w:val="0"/>
          <w:marTop w:val="0"/>
          <w:marBottom w:val="0"/>
          <w:divBdr>
            <w:top w:val="none" w:sz="0" w:space="0" w:color="auto"/>
            <w:left w:val="none" w:sz="0" w:space="0" w:color="auto"/>
            <w:bottom w:val="none" w:sz="0" w:space="0" w:color="auto"/>
            <w:right w:val="none" w:sz="0" w:space="0" w:color="auto"/>
          </w:divBdr>
          <w:divsChild>
            <w:div w:id="63421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0012">
      <w:bodyDiv w:val="1"/>
      <w:marLeft w:val="0"/>
      <w:marRight w:val="0"/>
      <w:marTop w:val="0"/>
      <w:marBottom w:val="0"/>
      <w:divBdr>
        <w:top w:val="none" w:sz="0" w:space="0" w:color="auto"/>
        <w:left w:val="none" w:sz="0" w:space="0" w:color="auto"/>
        <w:bottom w:val="none" w:sz="0" w:space="0" w:color="auto"/>
        <w:right w:val="none" w:sz="0" w:space="0" w:color="auto"/>
      </w:divBdr>
      <w:divsChild>
        <w:div w:id="1743136945">
          <w:marLeft w:val="0"/>
          <w:marRight w:val="0"/>
          <w:marTop w:val="0"/>
          <w:marBottom w:val="0"/>
          <w:divBdr>
            <w:top w:val="none" w:sz="0" w:space="0" w:color="auto"/>
            <w:left w:val="none" w:sz="0" w:space="0" w:color="auto"/>
            <w:bottom w:val="none" w:sz="0" w:space="0" w:color="auto"/>
            <w:right w:val="none" w:sz="0" w:space="0" w:color="auto"/>
          </w:divBdr>
          <w:divsChild>
            <w:div w:id="13938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06287">
      <w:bodyDiv w:val="1"/>
      <w:marLeft w:val="0"/>
      <w:marRight w:val="0"/>
      <w:marTop w:val="0"/>
      <w:marBottom w:val="0"/>
      <w:divBdr>
        <w:top w:val="none" w:sz="0" w:space="0" w:color="auto"/>
        <w:left w:val="none" w:sz="0" w:space="0" w:color="auto"/>
        <w:bottom w:val="none" w:sz="0" w:space="0" w:color="auto"/>
        <w:right w:val="none" w:sz="0" w:space="0" w:color="auto"/>
      </w:divBdr>
      <w:divsChild>
        <w:div w:id="1615676331">
          <w:marLeft w:val="0"/>
          <w:marRight w:val="0"/>
          <w:marTop w:val="0"/>
          <w:marBottom w:val="0"/>
          <w:divBdr>
            <w:top w:val="none" w:sz="0" w:space="0" w:color="auto"/>
            <w:left w:val="none" w:sz="0" w:space="0" w:color="auto"/>
            <w:bottom w:val="none" w:sz="0" w:space="0" w:color="auto"/>
            <w:right w:val="none" w:sz="0" w:space="0" w:color="auto"/>
          </w:divBdr>
          <w:divsChild>
            <w:div w:id="120877997">
              <w:marLeft w:val="0"/>
              <w:marRight w:val="0"/>
              <w:marTop w:val="0"/>
              <w:marBottom w:val="0"/>
              <w:divBdr>
                <w:top w:val="none" w:sz="0" w:space="0" w:color="auto"/>
                <w:left w:val="none" w:sz="0" w:space="0" w:color="auto"/>
                <w:bottom w:val="none" w:sz="0" w:space="0" w:color="auto"/>
                <w:right w:val="none" w:sz="0" w:space="0" w:color="auto"/>
              </w:divBdr>
            </w:div>
            <w:div w:id="12340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7408">
      <w:bodyDiv w:val="1"/>
      <w:marLeft w:val="0"/>
      <w:marRight w:val="0"/>
      <w:marTop w:val="0"/>
      <w:marBottom w:val="0"/>
      <w:divBdr>
        <w:top w:val="none" w:sz="0" w:space="0" w:color="auto"/>
        <w:left w:val="none" w:sz="0" w:space="0" w:color="auto"/>
        <w:bottom w:val="none" w:sz="0" w:space="0" w:color="auto"/>
        <w:right w:val="none" w:sz="0" w:space="0" w:color="auto"/>
      </w:divBdr>
      <w:divsChild>
        <w:div w:id="1016073794">
          <w:marLeft w:val="0"/>
          <w:marRight w:val="0"/>
          <w:marTop w:val="0"/>
          <w:marBottom w:val="0"/>
          <w:divBdr>
            <w:top w:val="none" w:sz="0" w:space="0" w:color="auto"/>
            <w:left w:val="none" w:sz="0" w:space="0" w:color="auto"/>
            <w:bottom w:val="none" w:sz="0" w:space="0" w:color="auto"/>
            <w:right w:val="none" w:sz="0" w:space="0" w:color="auto"/>
          </w:divBdr>
          <w:divsChild>
            <w:div w:id="63668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2395">
      <w:bodyDiv w:val="1"/>
      <w:marLeft w:val="0"/>
      <w:marRight w:val="0"/>
      <w:marTop w:val="0"/>
      <w:marBottom w:val="0"/>
      <w:divBdr>
        <w:top w:val="none" w:sz="0" w:space="0" w:color="auto"/>
        <w:left w:val="none" w:sz="0" w:space="0" w:color="auto"/>
        <w:bottom w:val="none" w:sz="0" w:space="0" w:color="auto"/>
        <w:right w:val="none" w:sz="0" w:space="0" w:color="auto"/>
      </w:divBdr>
      <w:divsChild>
        <w:div w:id="691996816">
          <w:marLeft w:val="0"/>
          <w:marRight w:val="0"/>
          <w:marTop w:val="0"/>
          <w:marBottom w:val="0"/>
          <w:divBdr>
            <w:top w:val="none" w:sz="0" w:space="0" w:color="auto"/>
            <w:left w:val="none" w:sz="0" w:space="0" w:color="auto"/>
            <w:bottom w:val="none" w:sz="0" w:space="0" w:color="auto"/>
            <w:right w:val="none" w:sz="0" w:space="0" w:color="auto"/>
          </w:divBdr>
        </w:div>
      </w:divsChild>
    </w:div>
    <w:div w:id="471213295">
      <w:bodyDiv w:val="1"/>
      <w:marLeft w:val="0"/>
      <w:marRight w:val="0"/>
      <w:marTop w:val="0"/>
      <w:marBottom w:val="0"/>
      <w:divBdr>
        <w:top w:val="none" w:sz="0" w:space="0" w:color="auto"/>
        <w:left w:val="none" w:sz="0" w:space="0" w:color="auto"/>
        <w:bottom w:val="none" w:sz="0" w:space="0" w:color="auto"/>
        <w:right w:val="none" w:sz="0" w:space="0" w:color="auto"/>
      </w:divBdr>
      <w:divsChild>
        <w:div w:id="1007630844">
          <w:marLeft w:val="0"/>
          <w:marRight w:val="0"/>
          <w:marTop w:val="0"/>
          <w:marBottom w:val="0"/>
          <w:divBdr>
            <w:top w:val="none" w:sz="0" w:space="0" w:color="auto"/>
            <w:left w:val="none" w:sz="0" w:space="0" w:color="auto"/>
            <w:bottom w:val="none" w:sz="0" w:space="0" w:color="auto"/>
            <w:right w:val="none" w:sz="0" w:space="0" w:color="auto"/>
          </w:divBdr>
          <w:divsChild>
            <w:div w:id="296763022">
              <w:marLeft w:val="0"/>
              <w:marRight w:val="0"/>
              <w:marTop w:val="0"/>
              <w:marBottom w:val="0"/>
              <w:divBdr>
                <w:top w:val="none" w:sz="0" w:space="0" w:color="auto"/>
                <w:left w:val="none" w:sz="0" w:space="0" w:color="auto"/>
                <w:bottom w:val="none" w:sz="0" w:space="0" w:color="auto"/>
                <w:right w:val="none" w:sz="0" w:space="0" w:color="auto"/>
              </w:divBdr>
            </w:div>
            <w:div w:id="688289929">
              <w:marLeft w:val="0"/>
              <w:marRight w:val="0"/>
              <w:marTop w:val="0"/>
              <w:marBottom w:val="0"/>
              <w:divBdr>
                <w:top w:val="none" w:sz="0" w:space="0" w:color="auto"/>
                <w:left w:val="none" w:sz="0" w:space="0" w:color="auto"/>
                <w:bottom w:val="none" w:sz="0" w:space="0" w:color="auto"/>
                <w:right w:val="none" w:sz="0" w:space="0" w:color="auto"/>
              </w:divBdr>
            </w:div>
            <w:div w:id="1040208175">
              <w:marLeft w:val="0"/>
              <w:marRight w:val="0"/>
              <w:marTop w:val="0"/>
              <w:marBottom w:val="0"/>
              <w:divBdr>
                <w:top w:val="none" w:sz="0" w:space="0" w:color="auto"/>
                <w:left w:val="none" w:sz="0" w:space="0" w:color="auto"/>
                <w:bottom w:val="none" w:sz="0" w:space="0" w:color="auto"/>
                <w:right w:val="none" w:sz="0" w:space="0" w:color="auto"/>
              </w:divBdr>
            </w:div>
            <w:div w:id="144264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6869">
      <w:bodyDiv w:val="1"/>
      <w:marLeft w:val="0"/>
      <w:marRight w:val="0"/>
      <w:marTop w:val="0"/>
      <w:marBottom w:val="0"/>
      <w:divBdr>
        <w:top w:val="none" w:sz="0" w:space="0" w:color="auto"/>
        <w:left w:val="none" w:sz="0" w:space="0" w:color="auto"/>
        <w:bottom w:val="none" w:sz="0" w:space="0" w:color="auto"/>
        <w:right w:val="none" w:sz="0" w:space="0" w:color="auto"/>
      </w:divBdr>
      <w:divsChild>
        <w:div w:id="1522472922">
          <w:marLeft w:val="0"/>
          <w:marRight w:val="0"/>
          <w:marTop w:val="0"/>
          <w:marBottom w:val="0"/>
          <w:divBdr>
            <w:top w:val="none" w:sz="0" w:space="0" w:color="auto"/>
            <w:left w:val="none" w:sz="0" w:space="0" w:color="auto"/>
            <w:bottom w:val="none" w:sz="0" w:space="0" w:color="auto"/>
            <w:right w:val="none" w:sz="0" w:space="0" w:color="auto"/>
          </w:divBdr>
          <w:divsChild>
            <w:div w:id="19735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2239">
      <w:bodyDiv w:val="1"/>
      <w:marLeft w:val="0"/>
      <w:marRight w:val="0"/>
      <w:marTop w:val="0"/>
      <w:marBottom w:val="0"/>
      <w:divBdr>
        <w:top w:val="none" w:sz="0" w:space="0" w:color="auto"/>
        <w:left w:val="none" w:sz="0" w:space="0" w:color="auto"/>
        <w:bottom w:val="none" w:sz="0" w:space="0" w:color="auto"/>
        <w:right w:val="none" w:sz="0" w:space="0" w:color="auto"/>
      </w:divBdr>
      <w:divsChild>
        <w:div w:id="2082825684">
          <w:marLeft w:val="0"/>
          <w:marRight w:val="0"/>
          <w:marTop w:val="0"/>
          <w:marBottom w:val="0"/>
          <w:divBdr>
            <w:top w:val="none" w:sz="0" w:space="0" w:color="auto"/>
            <w:left w:val="none" w:sz="0" w:space="0" w:color="auto"/>
            <w:bottom w:val="none" w:sz="0" w:space="0" w:color="auto"/>
            <w:right w:val="none" w:sz="0" w:space="0" w:color="auto"/>
          </w:divBdr>
        </w:div>
      </w:divsChild>
    </w:div>
    <w:div w:id="571351159">
      <w:bodyDiv w:val="1"/>
      <w:marLeft w:val="0"/>
      <w:marRight w:val="0"/>
      <w:marTop w:val="0"/>
      <w:marBottom w:val="0"/>
      <w:divBdr>
        <w:top w:val="none" w:sz="0" w:space="0" w:color="auto"/>
        <w:left w:val="none" w:sz="0" w:space="0" w:color="auto"/>
        <w:bottom w:val="none" w:sz="0" w:space="0" w:color="auto"/>
        <w:right w:val="none" w:sz="0" w:space="0" w:color="auto"/>
      </w:divBdr>
      <w:divsChild>
        <w:div w:id="601645007">
          <w:marLeft w:val="0"/>
          <w:marRight w:val="0"/>
          <w:marTop w:val="0"/>
          <w:marBottom w:val="0"/>
          <w:divBdr>
            <w:top w:val="none" w:sz="0" w:space="0" w:color="auto"/>
            <w:left w:val="none" w:sz="0" w:space="0" w:color="auto"/>
            <w:bottom w:val="none" w:sz="0" w:space="0" w:color="auto"/>
            <w:right w:val="none" w:sz="0" w:space="0" w:color="auto"/>
          </w:divBdr>
          <w:divsChild>
            <w:div w:id="702291094">
              <w:marLeft w:val="0"/>
              <w:marRight w:val="0"/>
              <w:marTop w:val="0"/>
              <w:marBottom w:val="144"/>
              <w:divBdr>
                <w:top w:val="none" w:sz="0" w:space="0" w:color="auto"/>
                <w:left w:val="none" w:sz="0" w:space="0" w:color="auto"/>
                <w:bottom w:val="none" w:sz="0" w:space="0" w:color="auto"/>
                <w:right w:val="none" w:sz="0" w:space="0" w:color="auto"/>
              </w:divBdr>
              <w:divsChild>
                <w:div w:id="869414189">
                  <w:marLeft w:val="2928"/>
                  <w:marRight w:val="0"/>
                  <w:marTop w:val="720"/>
                  <w:marBottom w:val="0"/>
                  <w:divBdr>
                    <w:top w:val="single" w:sz="6" w:space="0" w:color="AAAAAA"/>
                    <w:left w:val="single" w:sz="6" w:space="0" w:color="AAAAAA"/>
                    <w:bottom w:val="single" w:sz="6" w:space="0" w:color="AAAAAA"/>
                    <w:right w:val="none" w:sz="0" w:space="0" w:color="auto"/>
                  </w:divBdr>
                  <w:divsChild>
                    <w:div w:id="18099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211973">
      <w:bodyDiv w:val="1"/>
      <w:marLeft w:val="0"/>
      <w:marRight w:val="0"/>
      <w:marTop w:val="0"/>
      <w:marBottom w:val="0"/>
      <w:divBdr>
        <w:top w:val="none" w:sz="0" w:space="0" w:color="auto"/>
        <w:left w:val="none" w:sz="0" w:space="0" w:color="auto"/>
        <w:bottom w:val="none" w:sz="0" w:space="0" w:color="auto"/>
        <w:right w:val="none" w:sz="0" w:space="0" w:color="auto"/>
      </w:divBdr>
      <w:divsChild>
        <w:div w:id="668096482">
          <w:marLeft w:val="0"/>
          <w:marRight w:val="0"/>
          <w:marTop w:val="0"/>
          <w:marBottom w:val="0"/>
          <w:divBdr>
            <w:top w:val="none" w:sz="0" w:space="0" w:color="auto"/>
            <w:left w:val="none" w:sz="0" w:space="0" w:color="auto"/>
            <w:bottom w:val="none" w:sz="0" w:space="0" w:color="auto"/>
            <w:right w:val="none" w:sz="0" w:space="0" w:color="auto"/>
          </w:divBdr>
          <w:divsChild>
            <w:div w:id="150617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7643">
      <w:bodyDiv w:val="1"/>
      <w:marLeft w:val="0"/>
      <w:marRight w:val="0"/>
      <w:marTop w:val="0"/>
      <w:marBottom w:val="0"/>
      <w:divBdr>
        <w:top w:val="none" w:sz="0" w:space="0" w:color="auto"/>
        <w:left w:val="none" w:sz="0" w:space="0" w:color="auto"/>
        <w:bottom w:val="none" w:sz="0" w:space="0" w:color="auto"/>
        <w:right w:val="none" w:sz="0" w:space="0" w:color="auto"/>
      </w:divBdr>
      <w:divsChild>
        <w:div w:id="1853646686">
          <w:marLeft w:val="0"/>
          <w:marRight w:val="0"/>
          <w:marTop w:val="0"/>
          <w:marBottom w:val="0"/>
          <w:divBdr>
            <w:top w:val="none" w:sz="0" w:space="0" w:color="auto"/>
            <w:left w:val="none" w:sz="0" w:space="0" w:color="auto"/>
            <w:bottom w:val="none" w:sz="0" w:space="0" w:color="auto"/>
            <w:right w:val="none" w:sz="0" w:space="0" w:color="auto"/>
          </w:divBdr>
          <w:divsChild>
            <w:div w:id="185847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5965">
      <w:bodyDiv w:val="1"/>
      <w:marLeft w:val="0"/>
      <w:marRight w:val="0"/>
      <w:marTop w:val="0"/>
      <w:marBottom w:val="0"/>
      <w:divBdr>
        <w:top w:val="none" w:sz="0" w:space="0" w:color="auto"/>
        <w:left w:val="none" w:sz="0" w:space="0" w:color="auto"/>
        <w:bottom w:val="none" w:sz="0" w:space="0" w:color="auto"/>
        <w:right w:val="none" w:sz="0" w:space="0" w:color="auto"/>
      </w:divBdr>
      <w:divsChild>
        <w:div w:id="1771655231">
          <w:marLeft w:val="0"/>
          <w:marRight w:val="0"/>
          <w:marTop w:val="0"/>
          <w:marBottom w:val="0"/>
          <w:divBdr>
            <w:top w:val="none" w:sz="0" w:space="0" w:color="auto"/>
            <w:left w:val="none" w:sz="0" w:space="0" w:color="auto"/>
            <w:bottom w:val="none" w:sz="0" w:space="0" w:color="auto"/>
            <w:right w:val="none" w:sz="0" w:space="0" w:color="auto"/>
          </w:divBdr>
          <w:divsChild>
            <w:div w:id="5623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7931">
      <w:bodyDiv w:val="1"/>
      <w:marLeft w:val="0"/>
      <w:marRight w:val="0"/>
      <w:marTop w:val="0"/>
      <w:marBottom w:val="0"/>
      <w:divBdr>
        <w:top w:val="none" w:sz="0" w:space="0" w:color="auto"/>
        <w:left w:val="none" w:sz="0" w:space="0" w:color="auto"/>
        <w:bottom w:val="none" w:sz="0" w:space="0" w:color="auto"/>
        <w:right w:val="none" w:sz="0" w:space="0" w:color="auto"/>
      </w:divBdr>
      <w:divsChild>
        <w:div w:id="209460964">
          <w:marLeft w:val="0"/>
          <w:marRight w:val="0"/>
          <w:marTop w:val="0"/>
          <w:marBottom w:val="0"/>
          <w:divBdr>
            <w:top w:val="none" w:sz="0" w:space="0" w:color="auto"/>
            <w:left w:val="none" w:sz="0" w:space="0" w:color="auto"/>
            <w:bottom w:val="none" w:sz="0" w:space="0" w:color="auto"/>
            <w:right w:val="none" w:sz="0" w:space="0" w:color="auto"/>
          </w:divBdr>
          <w:divsChild>
            <w:div w:id="161746237">
              <w:marLeft w:val="0"/>
              <w:marRight w:val="0"/>
              <w:marTop w:val="0"/>
              <w:marBottom w:val="0"/>
              <w:divBdr>
                <w:top w:val="none" w:sz="0" w:space="0" w:color="auto"/>
                <w:left w:val="none" w:sz="0" w:space="0" w:color="auto"/>
                <w:bottom w:val="none" w:sz="0" w:space="0" w:color="auto"/>
                <w:right w:val="none" w:sz="0" w:space="0" w:color="auto"/>
              </w:divBdr>
            </w:div>
            <w:div w:id="20438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2492">
      <w:bodyDiv w:val="1"/>
      <w:marLeft w:val="0"/>
      <w:marRight w:val="0"/>
      <w:marTop w:val="0"/>
      <w:marBottom w:val="0"/>
      <w:divBdr>
        <w:top w:val="none" w:sz="0" w:space="0" w:color="auto"/>
        <w:left w:val="none" w:sz="0" w:space="0" w:color="auto"/>
        <w:bottom w:val="none" w:sz="0" w:space="0" w:color="auto"/>
        <w:right w:val="none" w:sz="0" w:space="0" w:color="auto"/>
      </w:divBdr>
      <w:divsChild>
        <w:div w:id="18892469">
          <w:marLeft w:val="0"/>
          <w:marRight w:val="0"/>
          <w:marTop w:val="0"/>
          <w:marBottom w:val="0"/>
          <w:divBdr>
            <w:top w:val="none" w:sz="0" w:space="0" w:color="auto"/>
            <w:left w:val="none" w:sz="0" w:space="0" w:color="auto"/>
            <w:bottom w:val="none" w:sz="0" w:space="0" w:color="auto"/>
            <w:right w:val="none" w:sz="0" w:space="0" w:color="auto"/>
          </w:divBdr>
          <w:divsChild>
            <w:div w:id="435251401">
              <w:marLeft w:val="0"/>
              <w:marRight w:val="0"/>
              <w:marTop w:val="0"/>
              <w:marBottom w:val="144"/>
              <w:divBdr>
                <w:top w:val="none" w:sz="0" w:space="0" w:color="auto"/>
                <w:left w:val="none" w:sz="0" w:space="0" w:color="auto"/>
                <w:bottom w:val="none" w:sz="0" w:space="0" w:color="auto"/>
                <w:right w:val="none" w:sz="0" w:space="0" w:color="auto"/>
              </w:divBdr>
              <w:divsChild>
                <w:div w:id="1479494088">
                  <w:marLeft w:val="2928"/>
                  <w:marRight w:val="0"/>
                  <w:marTop w:val="720"/>
                  <w:marBottom w:val="0"/>
                  <w:divBdr>
                    <w:top w:val="single" w:sz="6" w:space="0" w:color="AAAAAA"/>
                    <w:left w:val="single" w:sz="6" w:space="0" w:color="AAAAAA"/>
                    <w:bottom w:val="single" w:sz="6" w:space="0" w:color="AAAAAA"/>
                    <w:right w:val="none" w:sz="0" w:space="0" w:color="auto"/>
                  </w:divBdr>
                  <w:divsChild>
                    <w:div w:id="181521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733856">
      <w:bodyDiv w:val="1"/>
      <w:marLeft w:val="0"/>
      <w:marRight w:val="0"/>
      <w:marTop w:val="0"/>
      <w:marBottom w:val="0"/>
      <w:divBdr>
        <w:top w:val="none" w:sz="0" w:space="0" w:color="auto"/>
        <w:left w:val="none" w:sz="0" w:space="0" w:color="auto"/>
        <w:bottom w:val="none" w:sz="0" w:space="0" w:color="auto"/>
        <w:right w:val="none" w:sz="0" w:space="0" w:color="auto"/>
      </w:divBdr>
      <w:divsChild>
        <w:div w:id="492651072">
          <w:marLeft w:val="0"/>
          <w:marRight w:val="0"/>
          <w:marTop w:val="0"/>
          <w:marBottom w:val="0"/>
          <w:divBdr>
            <w:top w:val="none" w:sz="0" w:space="0" w:color="auto"/>
            <w:left w:val="none" w:sz="0" w:space="0" w:color="auto"/>
            <w:bottom w:val="none" w:sz="0" w:space="0" w:color="auto"/>
            <w:right w:val="none" w:sz="0" w:space="0" w:color="auto"/>
          </w:divBdr>
          <w:divsChild>
            <w:div w:id="16698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8453">
      <w:bodyDiv w:val="1"/>
      <w:marLeft w:val="0"/>
      <w:marRight w:val="0"/>
      <w:marTop w:val="0"/>
      <w:marBottom w:val="0"/>
      <w:divBdr>
        <w:top w:val="none" w:sz="0" w:space="0" w:color="auto"/>
        <w:left w:val="none" w:sz="0" w:space="0" w:color="auto"/>
        <w:bottom w:val="none" w:sz="0" w:space="0" w:color="auto"/>
        <w:right w:val="none" w:sz="0" w:space="0" w:color="auto"/>
      </w:divBdr>
      <w:divsChild>
        <w:div w:id="1171212277">
          <w:marLeft w:val="0"/>
          <w:marRight w:val="0"/>
          <w:marTop w:val="0"/>
          <w:marBottom w:val="0"/>
          <w:divBdr>
            <w:top w:val="none" w:sz="0" w:space="0" w:color="auto"/>
            <w:left w:val="none" w:sz="0" w:space="0" w:color="auto"/>
            <w:bottom w:val="none" w:sz="0" w:space="0" w:color="auto"/>
            <w:right w:val="none" w:sz="0" w:space="0" w:color="auto"/>
          </w:divBdr>
        </w:div>
      </w:divsChild>
    </w:div>
    <w:div w:id="675691131">
      <w:bodyDiv w:val="1"/>
      <w:marLeft w:val="0"/>
      <w:marRight w:val="0"/>
      <w:marTop w:val="0"/>
      <w:marBottom w:val="0"/>
      <w:divBdr>
        <w:top w:val="none" w:sz="0" w:space="0" w:color="auto"/>
        <w:left w:val="none" w:sz="0" w:space="0" w:color="auto"/>
        <w:bottom w:val="none" w:sz="0" w:space="0" w:color="auto"/>
        <w:right w:val="none" w:sz="0" w:space="0" w:color="auto"/>
      </w:divBdr>
      <w:divsChild>
        <w:div w:id="164788073">
          <w:marLeft w:val="0"/>
          <w:marRight w:val="0"/>
          <w:marTop w:val="0"/>
          <w:marBottom w:val="0"/>
          <w:divBdr>
            <w:top w:val="none" w:sz="0" w:space="0" w:color="auto"/>
            <w:left w:val="none" w:sz="0" w:space="0" w:color="auto"/>
            <w:bottom w:val="none" w:sz="0" w:space="0" w:color="auto"/>
            <w:right w:val="none" w:sz="0" w:space="0" w:color="auto"/>
          </w:divBdr>
          <w:divsChild>
            <w:div w:id="1309745371">
              <w:marLeft w:val="0"/>
              <w:marRight w:val="0"/>
              <w:marTop w:val="0"/>
              <w:marBottom w:val="144"/>
              <w:divBdr>
                <w:top w:val="none" w:sz="0" w:space="0" w:color="auto"/>
                <w:left w:val="none" w:sz="0" w:space="0" w:color="auto"/>
                <w:bottom w:val="none" w:sz="0" w:space="0" w:color="auto"/>
                <w:right w:val="none" w:sz="0" w:space="0" w:color="auto"/>
              </w:divBdr>
              <w:divsChild>
                <w:div w:id="1333727282">
                  <w:marLeft w:val="2928"/>
                  <w:marRight w:val="0"/>
                  <w:marTop w:val="720"/>
                  <w:marBottom w:val="0"/>
                  <w:divBdr>
                    <w:top w:val="single" w:sz="6" w:space="0" w:color="AAAAAA"/>
                    <w:left w:val="single" w:sz="6" w:space="0" w:color="AAAAAA"/>
                    <w:bottom w:val="single" w:sz="6" w:space="0" w:color="AAAAAA"/>
                    <w:right w:val="none" w:sz="0" w:space="0" w:color="auto"/>
                  </w:divBdr>
                  <w:divsChild>
                    <w:div w:id="16362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585978">
      <w:bodyDiv w:val="1"/>
      <w:marLeft w:val="0"/>
      <w:marRight w:val="0"/>
      <w:marTop w:val="0"/>
      <w:marBottom w:val="0"/>
      <w:divBdr>
        <w:top w:val="none" w:sz="0" w:space="0" w:color="auto"/>
        <w:left w:val="none" w:sz="0" w:space="0" w:color="auto"/>
        <w:bottom w:val="none" w:sz="0" w:space="0" w:color="auto"/>
        <w:right w:val="none" w:sz="0" w:space="0" w:color="auto"/>
      </w:divBdr>
      <w:divsChild>
        <w:div w:id="1809476183">
          <w:marLeft w:val="0"/>
          <w:marRight w:val="0"/>
          <w:marTop w:val="0"/>
          <w:marBottom w:val="0"/>
          <w:divBdr>
            <w:top w:val="none" w:sz="0" w:space="0" w:color="auto"/>
            <w:left w:val="none" w:sz="0" w:space="0" w:color="auto"/>
            <w:bottom w:val="none" w:sz="0" w:space="0" w:color="auto"/>
            <w:right w:val="none" w:sz="0" w:space="0" w:color="auto"/>
          </w:divBdr>
          <w:divsChild>
            <w:div w:id="21337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14149">
      <w:bodyDiv w:val="1"/>
      <w:marLeft w:val="0"/>
      <w:marRight w:val="0"/>
      <w:marTop w:val="0"/>
      <w:marBottom w:val="0"/>
      <w:divBdr>
        <w:top w:val="none" w:sz="0" w:space="0" w:color="auto"/>
        <w:left w:val="none" w:sz="0" w:space="0" w:color="auto"/>
        <w:bottom w:val="none" w:sz="0" w:space="0" w:color="auto"/>
        <w:right w:val="none" w:sz="0" w:space="0" w:color="auto"/>
      </w:divBdr>
      <w:divsChild>
        <w:div w:id="944003026">
          <w:marLeft w:val="0"/>
          <w:marRight w:val="0"/>
          <w:marTop w:val="0"/>
          <w:marBottom w:val="0"/>
          <w:divBdr>
            <w:top w:val="none" w:sz="0" w:space="0" w:color="auto"/>
            <w:left w:val="none" w:sz="0" w:space="0" w:color="auto"/>
            <w:bottom w:val="none" w:sz="0" w:space="0" w:color="auto"/>
            <w:right w:val="none" w:sz="0" w:space="0" w:color="auto"/>
          </w:divBdr>
          <w:divsChild>
            <w:div w:id="9641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40303">
      <w:bodyDiv w:val="1"/>
      <w:marLeft w:val="0"/>
      <w:marRight w:val="0"/>
      <w:marTop w:val="0"/>
      <w:marBottom w:val="0"/>
      <w:divBdr>
        <w:top w:val="none" w:sz="0" w:space="0" w:color="auto"/>
        <w:left w:val="none" w:sz="0" w:space="0" w:color="auto"/>
        <w:bottom w:val="none" w:sz="0" w:space="0" w:color="auto"/>
        <w:right w:val="none" w:sz="0" w:space="0" w:color="auto"/>
      </w:divBdr>
      <w:divsChild>
        <w:div w:id="1225145556">
          <w:marLeft w:val="0"/>
          <w:marRight w:val="0"/>
          <w:marTop w:val="0"/>
          <w:marBottom w:val="0"/>
          <w:divBdr>
            <w:top w:val="none" w:sz="0" w:space="0" w:color="auto"/>
            <w:left w:val="none" w:sz="0" w:space="0" w:color="auto"/>
            <w:bottom w:val="none" w:sz="0" w:space="0" w:color="auto"/>
            <w:right w:val="none" w:sz="0" w:space="0" w:color="auto"/>
          </w:divBdr>
          <w:divsChild>
            <w:div w:id="16175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0423">
      <w:bodyDiv w:val="1"/>
      <w:marLeft w:val="0"/>
      <w:marRight w:val="0"/>
      <w:marTop w:val="0"/>
      <w:marBottom w:val="0"/>
      <w:divBdr>
        <w:top w:val="none" w:sz="0" w:space="0" w:color="auto"/>
        <w:left w:val="none" w:sz="0" w:space="0" w:color="auto"/>
        <w:bottom w:val="none" w:sz="0" w:space="0" w:color="auto"/>
        <w:right w:val="none" w:sz="0" w:space="0" w:color="auto"/>
      </w:divBdr>
      <w:divsChild>
        <w:div w:id="1476488851">
          <w:marLeft w:val="0"/>
          <w:marRight w:val="0"/>
          <w:marTop w:val="0"/>
          <w:marBottom w:val="0"/>
          <w:divBdr>
            <w:top w:val="none" w:sz="0" w:space="0" w:color="auto"/>
            <w:left w:val="none" w:sz="0" w:space="0" w:color="auto"/>
            <w:bottom w:val="none" w:sz="0" w:space="0" w:color="auto"/>
            <w:right w:val="none" w:sz="0" w:space="0" w:color="auto"/>
          </w:divBdr>
          <w:divsChild>
            <w:div w:id="1268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1743">
      <w:bodyDiv w:val="1"/>
      <w:marLeft w:val="0"/>
      <w:marRight w:val="0"/>
      <w:marTop w:val="0"/>
      <w:marBottom w:val="0"/>
      <w:divBdr>
        <w:top w:val="none" w:sz="0" w:space="0" w:color="auto"/>
        <w:left w:val="none" w:sz="0" w:space="0" w:color="auto"/>
        <w:bottom w:val="none" w:sz="0" w:space="0" w:color="auto"/>
        <w:right w:val="none" w:sz="0" w:space="0" w:color="auto"/>
      </w:divBdr>
      <w:divsChild>
        <w:div w:id="1398938640">
          <w:marLeft w:val="0"/>
          <w:marRight w:val="0"/>
          <w:marTop w:val="0"/>
          <w:marBottom w:val="0"/>
          <w:divBdr>
            <w:top w:val="none" w:sz="0" w:space="0" w:color="auto"/>
            <w:left w:val="none" w:sz="0" w:space="0" w:color="auto"/>
            <w:bottom w:val="none" w:sz="0" w:space="0" w:color="auto"/>
            <w:right w:val="none" w:sz="0" w:space="0" w:color="auto"/>
          </w:divBdr>
          <w:divsChild>
            <w:div w:id="198662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6506">
      <w:bodyDiv w:val="1"/>
      <w:marLeft w:val="0"/>
      <w:marRight w:val="0"/>
      <w:marTop w:val="0"/>
      <w:marBottom w:val="0"/>
      <w:divBdr>
        <w:top w:val="none" w:sz="0" w:space="0" w:color="auto"/>
        <w:left w:val="none" w:sz="0" w:space="0" w:color="auto"/>
        <w:bottom w:val="none" w:sz="0" w:space="0" w:color="auto"/>
        <w:right w:val="none" w:sz="0" w:space="0" w:color="auto"/>
      </w:divBdr>
      <w:divsChild>
        <w:div w:id="1039820612">
          <w:marLeft w:val="0"/>
          <w:marRight w:val="0"/>
          <w:marTop w:val="0"/>
          <w:marBottom w:val="0"/>
          <w:divBdr>
            <w:top w:val="none" w:sz="0" w:space="0" w:color="auto"/>
            <w:left w:val="none" w:sz="0" w:space="0" w:color="auto"/>
            <w:bottom w:val="none" w:sz="0" w:space="0" w:color="auto"/>
            <w:right w:val="none" w:sz="0" w:space="0" w:color="auto"/>
          </w:divBdr>
          <w:divsChild>
            <w:div w:id="20554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5245">
      <w:bodyDiv w:val="1"/>
      <w:marLeft w:val="0"/>
      <w:marRight w:val="0"/>
      <w:marTop w:val="0"/>
      <w:marBottom w:val="0"/>
      <w:divBdr>
        <w:top w:val="none" w:sz="0" w:space="0" w:color="auto"/>
        <w:left w:val="none" w:sz="0" w:space="0" w:color="auto"/>
        <w:bottom w:val="none" w:sz="0" w:space="0" w:color="auto"/>
        <w:right w:val="none" w:sz="0" w:space="0" w:color="auto"/>
      </w:divBdr>
      <w:divsChild>
        <w:div w:id="624625572">
          <w:marLeft w:val="0"/>
          <w:marRight w:val="0"/>
          <w:marTop w:val="0"/>
          <w:marBottom w:val="0"/>
          <w:divBdr>
            <w:top w:val="none" w:sz="0" w:space="0" w:color="auto"/>
            <w:left w:val="none" w:sz="0" w:space="0" w:color="auto"/>
            <w:bottom w:val="none" w:sz="0" w:space="0" w:color="auto"/>
            <w:right w:val="none" w:sz="0" w:space="0" w:color="auto"/>
          </w:divBdr>
          <w:divsChild>
            <w:div w:id="3505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9315">
      <w:bodyDiv w:val="1"/>
      <w:marLeft w:val="0"/>
      <w:marRight w:val="0"/>
      <w:marTop w:val="0"/>
      <w:marBottom w:val="0"/>
      <w:divBdr>
        <w:top w:val="none" w:sz="0" w:space="0" w:color="auto"/>
        <w:left w:val="none" w:sz="0" w:space="0" w:color="auto"/>
        <w:bottom w:val="none" w:sz="0" w:space="0" w:color="auto"/>
        <w:right w:val="none" w:sz="0" w:space="0" w:color="auto"/>
      </w:divBdr>
      <w:divsChild>
        <w:div w:id="2128431140">
          <w:marLeft w:val="0"/>
          <w:marRight w:val="0"/>
          <w:marTop w:val="0"/>
          <w:marBottom w:val="0"/>
          <w:divBdr>
            <w:top w:val="none" w:sz="0" w:space="0" w:color="auto"/>
            <w:left w:val="none" w:sz="0" w:space="0" w:color="auto"/>
            <w:bottom w:val="none" w:sz="0" w:space="0" w:color="auto"/>
            <w:right w:val="none" w:sz="0" w:space="0" w:color="auto"/>
          </w:divBdr>
          <w:divsChild>
            <w:div w:id="10613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99799">
      <w:bodyDiv w:val="1"/>
      <w:marLeft w:val="0"/>
      <w:marRight w:val="0"/>
      <w:marTop w:val="0"/>
      <w:marBottom w:val="0"/>
      <w:divBdr>
        <w:top w:val="none" w:sz="0" w:space="0" w:color="auto"/>
        <w:left w:val="none" w:sz="0" w:space="0" w:color="auto"/>
        <w:bottom w:val="none" w:sz="0" w:space="0" w:color="auto"/>
        <w:right w:val="none" w:sz="0" w:space="0" w:color="auto"/>
      </w:divBdr>
      <w:divsChild>
        <w:div w:id="917904547">
          <w:marLeft w:val="0"/>
          <w:marRight w:val="0"/>
          <w:marTop w:val="0"/>
          <w:marBottom w:val="0"/>
          <w:divBdr>
            <w:top w:val="none" w:sz="0" w:space="0" w:color="auto"/>
            <w:left w:val="none" w:sz="0" w:space="0" w:color="auto"/>
            <w:bottom w:val="none" w:sz="0" w:space="0" w:color="auto"/>
            <w:right w:val="none" w:sz="0" w:space="0" w:color="auto"/>
          </w:divBdr>
          <w:divsChild>
            <w:div w:id="14241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823">
      <w:bodyDiv w:val="1"/>
      <w:marLeft w:val="0"/>
      <w:marRight w:val="0"/>
      <w:marTop w:val="0"/>
      <w:marBottom w:val="0"/>
      <w:divBdr>
        <w:top w:val="none" w:sz="0" w:space="0" w:color="auto"/>
        <w:left w:val="none" w:sz="0" w:space="0" w:color="auto"/>
        <w:bottom w:val="none" w:sz="0" w:space="0" w:color="auto"/>
        <w:right w:val="none" w:sz="0" w:space="0" w:color="auto"/>
      </w:divBdr>
      <w:divsChild>
        <w:div w:id="791290707">
          <w:marLeft w:val="0"/>
          <w:marRight w:val="0"/>
          <w:marTop w:val="0"/>
          <w:marBottom w:val="0"/>
          <w:divBdr>
            <w:top w:val="none" w:sz="0" w:space="0" w:color="auto"/>
            <w:left w:val="none" w:sz="0" w:space="0" w:color="auto"/>
            <w:bottom w:val="none" w:sz="0" w:space="0" w:color="auto"/>
            <w:right w:val="none" w:sz="0" w:space="0" w:color="auto"/>
          </w:divBdr>
          <w:divsChild>
            <w:div w:id="21244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5132">
      <w:bodyDiv w:val="1"/>
      <w:marLeft w:val="0"/>
      <w:marRight w:val="0"/>
      <w:marTop w:val="0"/>
      <w:marBottom w:val="0"/>
      <w:divBdr>
        <w:top w:val="none" w:sz="0" w:space="0" w:color="auto"/>
        <w:left w:val="none" w:sz="0" w:space="0" w:color="auto"/>
        <w:bottom w:val="none" w:sz="0" w:space="0" w:color="auto"/>
        <w:right w:val="none" w:sz="0" w:space="0" w:color="auto"/>
      </w:divBdr>
      <w:divsChild>
        <w:div w:id="1757051447">
          <w:marLeft w:val="0"/>
          <w:marRight w:val="0"/>
          <w:marTop w:val="0"/>
          <w:marBottom w:val="0"/>
          <w:divBdr>
            <w:top w:val="none" w:sz="0" w:space="0" w:color="auto"/>
            <w:left w:val="none" w:sz="0" w:space="0" w:color="auto"/>
            <w:bottom w:val="none" w:sz="0" w:space="0" w:color="auto"/>
            <w:right w:val="none" w:sz="0" w:space="0" w:color="auto"/>
          </w:divBdr>
        </w:div>
      </w:divsChild>
    </w:div>
    <w:div w:id="911426810">
      <w:bodyDiv w:val="1"/>
      <w:marLeft w:val="0"/>
      <w:marRight w:val="0"/>
      <w:marTop w:val="0"/>
      <w:marBottom w:val="0"/>
      <w:divBdr>
        <w:top w:val="none" w:sz="0" w:space="0" w:color="auto"/>
        <w:left w:val="none" w:sz="0" w:space="0" w:color="auto"/>
        <w:bottom w:val="none" w:sz="0" w:space="0" w:color="auto"/>
        <w:right w:val="none" w:sz="0" w:space="0" w:color="auto"/>
      </w:divBdr>
      <w:divsChild>
        <w:div w:id="365523487">
          <w:marLeft w:val="0"/>
          <w:marRight w:val="0"/>
          <w:marTop w:val="0"/>
          <w:marBottom w:val="0"/>
          <w:divBdr>
            <w:top w:val="none" w:sz="0" w:space="0" w:color="auto"/>
            <w:left w:val="none" w:sz="0" w:space="0" w:color="auto"/>
            <w:bottom w:val="none" w:sz="0" w:space="0" w:color="auto"/>
            <w:right w:val="none" w:sz="0" w:space="0" w:color="auto"/>
          </w:divBdr>
          <w:divsChild>
            <w:div w:id="13157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9478">
      <w:bodyDiv w:val="1"/>
      <w:marLeft w:val="0"/>
      <w:marRight w:val="0"/>
      <w:marTop w:val="0"/>
      <w:marBottom w:val="0"/>
      <w:divBdr>
        <w:top w:val="none" w:sz="0" w:space="0" w:color="auto"/>
        <w:left w:val="none" w:sz="0" w:space="0" w:color="auto"/>
        <w:bottom w:val="none" w:sz="0" w:space="0" w:color="auto"/>
        <w:right w:val="none" w:sz="0" w:space="0" w:color="auto"/>
      </w:divBdr>
    </w:div>
    <w:div w:id="930429117">
      <w:bodyDiv w:val="1"/>
      <w:marLeft w:val="0"/>
      <w:marRight w:val="0"/>
      <w:marTop w:val="0"/>
      <w:marBottom w:val="0"/>
      <w:divBdr>
        <w:top w:val="none" w:sz="0" w:space="0" w:color="auto"/>
        <w:left w:val="none" w:sz="0" w:space="0" w:color="auto"/>
        <w:bottom w:val="none" w:sz="0" w:space="0" w:color="auto"/>
        <w:right w:val="none" w:sz="0" w:space="0" w:color="auto"/>
      </w:divBdr>
      <w:divsChild>
        <w:div w:id="1522428847">
          <w:marLeft w:val="0"/>
          <w:marRight w:val="0"/>
          <w:marTop w:val="0"/>
          <w:marBottom w:val="0"/>
          <w:divBdr>
            <w:top w:val="none" w:sz="0" w:space="0" w:color="auto"/>
            <w:left w:val="none" w:sz="0" w:space="0" w:color="auto"/>
            <w:bottom w:val="none" w:sz="0" w:space="0" w:color="auto"/>
            <w:right w:val="none" w:sz="0" w:space="0" w:color="auto"/>
          </w:divBdr>
          <w:divsChild>
            <w:div w:id="18622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4670">
      <w:bodyDiv w:val="1"/>
      <w:marLeft w:val="0"/>
      <w:marRight w:val="0"/>
      <w:marTop w:val="0"/>
      <w:marBottom w:val="0"/>
      <w:divBdr>
        <w:top w:val="none" w:sz="0" w:space="0" w:color="auto"/>
        <w:left w:val="none" w:sz="0" w:space="0" w:color="auto"/>
        <w:bottom w:val="none" w:sz="0" w:space="0" w:color="auto"/>
        <w:right w:val="none" w:sz="0" w:space="0" w:color="auto"/>
      </w:divBdr>
    </w:div>
    <w:div w:id="935284288">
      <w:bodyDiv w:val="1"/>
      <w:marLeft w:val="0"/>
      <w:marRight w:val="0"/>
      <w:marTop w:val="0"/>
      <w:marBottom w:val="0"/>
      <w:divBdr>
        <w:top w:val="none" w:sz="0" w:space="0" w:color="auto"/>
        <w:left w:val="none" w:sz="0" w:space="0" w:color="auto"/>
        <w:bottom w:val="none" w:sz="0" w:space="0" w:color="auto"/>
        <w:right w:val="none" w:sz="0" w:space="0" w:color="auto"/>
      </w:divBdr>
      <w:divsChild>
        <w:div w:id="64450416">
          <w:marLeft w:val="0"/>
          <w:marRight w:val="0"/>
          <w:marTop w:val="0"/>
          <w:marBottom w:val="0"/>
          <w:divBdr>
            <w:top w:val="none" w:sz="0" w:space="0" w:color="auto"/>
            <w:left w:val="none" w:sz="0" w:space="0" w:color="auto"/>
            <w:bottom w:val="none" w:sz="0" w:space="0" w:color="auto"/>
            <w:right w:val="none" w:sz="0" w:space="0" w:color="auto"/>
          </w:divBdr>
          <w:divsChild>
            <w:div w:id="17250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1584">
      <w:bodyDiv w:val="1"/>
      <w:marLeft w:val="0"/>
      <w:marRight w:val="0"/>
      <w:marTop w:val="0"/>
      <w:marBottom w:val="0"/>
      <w:divBdr>
        <w:top w:val="none" w:sz="0" w:space="0" w:color="auto"/>
        <w:left w:val="none" w:sz="0" w:space="0" w:color="auto"/>
        <w:bottom w:val="none" w:sz="0" w:space="0" w:color="auto"/>
        <w:right w:val="none" w:sz="0" w:space="0" w:color="auto"/>
      </w:divBdr>
      <w:divsChild>
        <w:div w:id="143162602">
          <w:marLeft w:val="0"/>
          <w:marRight w:val="0"/>
          <w:marTop w:val="0"/>
          <w:marBottom w:val="0"/>
          <w:divBdr>
            <w:top w:val="none" w:sz="0" w:space="0" w:color="auto"/>
            <w:left w:val="none" w:sz="0" w:space="0" w:color="auto"/>
            <w:bottom w:val="none" w:sz="0" w:space="0" w:color="auto"/>
            <w:right w:val="none" w:sz="0" w:space="0" w:color="auto"/>
          </w:divBdr>
          <w:divsChild>
            <w:div w:id="218831925">
              <w:marLeft w:val="0"/>
              <w:marRight w:val="0"/>
              <w:marTop w:val="0"/>
              <w:marBottom w:val="0"/>
              <w:divBdr>
                <w:top w:val="none" w:sz="0" w:space="0" w:color="auto"/>
                <w:left w:val="none" w:sz="0" w:space="0" w:color="auto"/>
                <w:bottom w:val="none" w:sz="0" w:space="0" w:color="auto"/>
                <w:right w:val="none" w:sz="0" w:space="0" w:color="auto"/>
              </w:divBdr>
            </w:div>
            <w:div w:id="319699088">
              <w:marLeft w:val="0"/>
              <w:marRight w:val="0"/>
              <w:marTop w:val="0"/>
              <w:marBottom w:val="0"/>
              <w:divBdr>
                <w:top w:val="none" w:sz="0" w:space="0" w:color="auto"/>
                <w:left w:val="none" w:sz="0" w:space="0" w:color="auto"/>
                <w:bottom w:val="none" w:sz="0" w:space="0" w:color="auto"/>
                <w:right w:val="none" w:sz="0" w:space="0" w:color="auto"/>
              </w:divBdr>
            </w:div>
            <w:div w:id="5792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90312">
      <w:bodyDiv w:val="1"/>
      <w:marLeft w:val="0"/>
      <w:marRight w:val="0"/>
      <w:marTop w:val="0"/>
      <w:marBottom w:val="0"/>
      <w:divBdr>
        <w:top w:val="none" w:sz="0" w:space="0" w:color="auto"/>
        <w:left w:val="none" w:sz="0" w:space="0" w:color="auto"/>
        <w:bottom w:val="none" w:sz="0" w:space="0" w:color="auto"/>
        <w:right w:val="none" w:sz="0" w:space="0" w:color="auto"/>
      </w:divBdr>
      <w:divsChild>
        <w:div w:id="954292659">
          <w:marLeft w:val="0"/>
          <w:marRight w:val="0"/>
          <w:marTop w:val="0"/>
          <w:marBottom w:val="0"/>
          <w:divBdr>
            <w:top w:val="none" w:sz="0" w:space="0" w:color="auto"/>
            <w:left w:val="none" w:sz="0" w:space="0" w:color="auto"/>
            <w:bottom w:val="none" w:sz="0" w:space="0" w:color="auto"/>
            <w:right w:val="none" w:sz="0" w:space="0" w:color="auto"/>
          </w:divBdr>
          <w:divsChild>
            <w:div w:id="1067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801">
      <w:bodyDiv w:val="1"/>
      <w:marLeft w:val="0"/>
      <w:marRight w:val="0"/>
      <w:marTop w:val="0"/>
      <w:marBottom w:val="0"/>
      <w:divBdr>
        <w:top w:val="none" w:sz="0" w:space="0" w:color="auto"/>
        <w:left w:val="none" w:sz="0" w:space="0" w:color="auto"/>
        <w:bottom w:val="none" w:sz="0" w:space="0" w:color="auto"/>
        <w:right w:val="none" w:sz="0" w:space="0" w:color="auto"/>
      </w:divBdr>
      <w:divsChild>
        <w:div w:id="542865972">
          <w:marLeft w:val="0"/>
          <w:marRight w:val="0"/>
          <w:marTop w:val="0"/>
          <w:marBottom w:val="0"/>
          <w:divBdr>
            <w:top w:val="none" w:sz="0" w:space="0" w:color="auto"/>
            <w:left w:val="none" w:sz="0" w:space="0" w:color="auto"/>
            <w:bottom w:val="none" w:sz="0" w:space="0" w:color="auto"/>
            <w:right w:val="none" w:sz="0" w:space="0" w:color="auto"/>
          </w:divBdr>
          <w:divsChild>
            <w:div w:id="11900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5602">
      <w:bodyDiv w:val="1"/>
      <w:marLeft w:val="0"/>
      <w:marRight w:val="0"/>
      <w:marTop w:val="0"/>
      <w:marBottom w:val="0"/>
      <w:divBdr>
        <w:top w:val="none" w:sz="0" w:space="0" w:color="auto"/>
        <w:left w:val="none" w:sz="0" w:space="0" w:color="auto"/>
        <w:bottom w:val="none" w:sz="0" w:space="0" w:color="auto"/>
        <w:right w:val="none" w:sz="0" w:space="0" w:color="auto"/>
      </w:divBdr>
      <w:divsChild>
        <w:div w:id="120536767">
          <w:marLeft w:val="0"/>
          <w:marRight w:val="0"/>
          <w:marTop w:val="0"/>
          <w:marBottom w:val="0"/>
          <w:divBdr>
            <w:top w:val="none" w:sz="0" w:space="0" w:color="auto"/>
            <w:left w:val="none" w:sz="0" w:space="0" w:color="auto"/>
            <w:bottom w:val="none" w:sz="0" w:space="0" w:color="auto"/>
            <w:right w:val="none" w:sz="0" w:space="0" w:color="auto"/>
          </w:divBdr>
          <w:divsChild>
            <w:div w:id="10245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03269">
      <w:bodyDiv w:val="1"/>
      <w:marLeft w:val="0"/>
      <w:marRight w:val="0"/>
      <w:marTop w:val="0"/>
      <w:marBottom w:val="0"/>
      <w:divBdr>
        <w:top w:val="none" w:sz="0" w:space="0" w:color="auto"/>
        <w:left w:val="none" w:sz="0" w:space="0" w:color="auto"/>
        <w:bottom w:val="none" w:sz="0" w:space="0" w:color="auto"/>
        <w:right w:val="none" w:sz="0" w:space="0" w:color="auto"/>
      </w:divBdr>
    </w:div>
    <w:div w:id="1052852121">
      <w:bodyDiv w:val="1"/>
      <w:marLeft w:val="0"/>
      <w:marRight w:val="0"/>
      <w:marTop w:val="0"/>
      <w:marBottom w:val="0"/>
      <w:divBdr>
        <w:top w:val="none" w:sz="0" w:space="0" w:color="auto"/>
        <w:left w:val="none" w:sz="0" w:space="0" w:color="auto"/>
        <w:bottom w:val="none" w:sz="0" w:space="0" w:color="auto"/>
        <w:right w:val="none" w:sz="0" w:space="0" w:color="auto"/>
      </w:divBdr>
      <w:divsChild>
        <w:div w:id="1725173809">
          <w:marLeft w:val="0"/>
          <w:marRight w:val="0"/>
          <w:marTop w:val="0"/>
          <w:marBottom w:val="0"/>
          <w:divBdr>
            <w:top w:val="none" w:sz="0" w:space="0" w:color="auto"/>
            <w:left w:val="none" w:sz="0" w:space="0" w:color="auto"/>
            <w:bottom w:val="none" w:sz="0" w:space="0" w:color="auto"/>
            <w:right w:val="none" w:sz="0" w:space="0" w:color="auto"/>
          </w:divBdr>
          <w:divsChild>
            <w:div w:id="165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4212">
      <w:bodyDiv w:val="1"/>
      <w:marLeft w:val="0"/>
      <w:marRight w:val="0"/>
      <w:marTop w:val="0"/>
      <w:marBottom w:val="0"/>
      <w:divBdr>
        <w:top w:val="none" w:sz="0" w:space="0" w:color="auto"/>
        <w:left w:val="none" w:sz="0" w:space="0" w:color="auto"/>
        <w:bottom w:val="none" w:sz="0" w:space="0" w:color="auto"/>
        <w:right w:val="none" w:sz="0" w:space="0" w:color="auto"/>
      </w:divBdr>
      <w:divsChild>
        <w:div w:id="1715542406">
          <w:marLeft w:val="0"/>
          <w:marRight w:val="0"/>
          <w:marTop w:val="0"/>
          <w:marBottom w:val="0"/>
          <w:divBdr>
            <w:top w:val="none" w:sz="0" w:space="0" w:color="auto"/>
            <w:left w:val="none" w:sz="0" w:space="0" w:color="auto"/>
            <w:bottom w:val="none" w:sz="0" w:space="0" w:color="auto"/>
            <w:right w:val="none" w:sz="0" w:space="0" w:color="auto"/>
          </w:divBdr>
          <w:divsChild>
            <w:div w:id="3685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5260">
      <w:bodyDiv w:val="1"/>
      <w:marLeft w:val="0"/>
      <w:marRight w:val="0"/>
      <w:marTop w:val="0"/>
      <w:marBottom w:val="0"/>
      <w:divBdr>
        <w:top w:val="none" w:sz="0" w:space="0" w:color="auto"/>
        <w:left w:val="none" w:sz="0" w:space="0" w:color="auto"/>
        <w:bottom w:val="none" w:sz="0" w:space="0" w:color="auto"/>
        <w:right w:val="none" w:sz="0" w:space="0" w:color="auto"/>
      </w:divBdr>
    </w:div>
    <w:div w:id="1109741444">
      <w:bodyDiv w:val="1"/>
      <w:marLeft w:val="0"/>
      <w:marRight w:val="0"/>
      <w:marTop w:val="0"/>
      <w:marBottom w:val="0"/>
      <w:divBdr>
        <w:top w:val="none" w:sz="0" w:space="0" w:color="auto"/>
        <w:left w:val="none" w:sz="0" w:space="0" w:color="auto"/>
        <w:bottom w:val="none" w:sz="0" w:space="0" w:color="auto"/>
        <w:right w:val="none" w:sz="0" w:space="0" w:color="auto"/>
      </w:divBdr>
      <w:divsChild>
        <w:div w:id="274485535">
          <w:marLeft w:val="0"/>
          <w:marRight w:val="0"/>
          <w:marTop w:val="0"/>
          <w:marBottom w:val="0"/>
          <w:divBdr>
            <w:top w:val="none" w:sz="0" w:space="0" w:color="auto"/>
            <w:left w:val="none" w:sz="0" w:space="0" w:color="auto"/>
            <w:bottom w:val="none" w:sz="0" w:space="0" w:color="auto"/>
            <w:right w:val="none" w:sz="0" w:space="0" w:color="auto"/>
          </w:divBdr>
          <w:divsChild>
            <w:div w:id="52890643">
              <w:marLeft w:val="0"/>
              <w:marRight w:val="0"/>
              <w:marTop w:val="0"/>
              <w:marBottom w:val="0"/>
              <w:divBdr>
                <w:top w:val="none" w:sz="0" w:space="0" w:color="auto"/>
                <w:left w:val="none" w:sz="0" w:space="0" w:color="auto"/>
                <w:bottom w:val="none" w:sz="0" w:space="0" w:color="auto"/>
                <w:right w:val="none" w:sz="0" w:space="0" w:color="auto"/>
              </w:divBdr>
            </w:div>
            <w:div w:id="496650774">
              <w:marLeft w:val="0"/>
              <w:marRight w:val="0"/>
              <w:marTop w:val="0"/>
              <w:marBottom w:val="0"/>
              <w:divBdr>
                <w:top w:val="none" w:sz="0" w:space="0" w:color="auto"/>
                <w:left w:val="none" w:sz="0" w:space="0" w:color="auto"/>
                <w:bottom w:val="none" w:sz="0" w:space="0" w:color="auto"/>
                <w:right w:val="none" w:sz="0" w:space="0" w:color="auto"/>
              </w:divBdr>
            </w:div>
            <w:div w:id="1115367923">
              <w:marLeft w:val="0"/>
              <w:marRight w:val="0"/>
              <w:marTop w:val="0"/>
              <w:marBottom w:val="0"/>
              <w:divBdr>
                <w:top w:val="none" w:sz="0" w:space="0" w:color="auto"/>
                <w:left w:val="none" w:sz="0" w:space="0" w:color="auto"/>
                <w:bottom w:val="none" w:sz="0" w:space="0" w:color="auto"/>
                <w:right w:val="none" w:sz="0" w:space="0" w:color="auto"/>
              </w:divBdr>
            </w:div>
            <w:div w:id="1228687812">
              <w:marLeft w:val="0"/>
              <w:marRight w:val="0"/>
              <w:marTop w:val="0"/>
              <w:marBottom w:val="0"/>
              <w:divBdr>
                <w:top w:val="none" w:sz="0" w:space="0" w:color="auto"/>
                <w:left w:val="none" w:sz="0" w:space="0" w:color="auto"/>
                <w:bottom w:val="none" w:sz="0" w:space="0" w:color="auto"/>
                <w:right w:val="none" w:sz="0" w:space="0" w:color="auto"/>
              </w:divBdr>
            </w:div>
            <w:div w:id="1585144946">
              <w:marLeft w:val="0"/>
              <w:marRight w:val="0"/>
              <w:marTop w:val="0"/>
              <w:marBottom w:val="0"/>
              <w:divBdr>
                <w:top w:val="none" w:sz="0" w:space="0" w:color="auto"/>
                <w:left w:val="none" w:sz="0" w:space="0" w:color="auto"/>
                <w:bottom w:val="none" w:sz="0" w:space="0" w:color="auto"/>
                <w:right w:val="none" w:sz="0" w:space="0" w:color="auto"/>
              </w:divBdr>
            </w:div>
            <w:div w:id="1918440687">
              <w:marLeft w:val="0"/>
              <w:marRight w:val="0"/>
              <w:marTop w:val="0"/>
              <w:marBottom w:val="0"/>
              <w:divBdr>
                <w:top w:val="none" w:sz="0" w:space="0" w:color="auto"/>
                <w:left w:val="none" w:sz="0" w:space="0" w:color="auto"/>
                <w:bottom w:val="none" w:sz="0" w:space="0" w:color="auto"/>
                <w:right w:val="none" w:sz="0" w:space="0" w:color="auto"/>
              </w:divBdr>
            </w:div>
            <w:div w:id="20147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29602">
      <w:bodyDiv w:val="1"/>
      <w:marLeft w:val="0"/>
      <w:marRight w:val="0"/>
      <w:marTop w:val="0"/>
      <w:marBottom w:val="0"/>
      <w:divBdr>
        <w:top w:val="none" w:sz="0" w:space="0" w:color="auto"/>
        <w:left w:val="none" w:sz="0" w:space="0" w:color="auto"/>
        <w:bottom w:val="none" w:sz="0" w:space="0" w:color="auto"/>
        <w:right w:val="none" w:sz="0" w:space="0" w:color="auto"/>
      </w:divBdr>
      <w:divsChild>
        <w:div w:id="757337274">
          <w:marLeft w:val="0"/>
          <w:marRight w:val="0"/>
          <w:marTop w:val="0"/>
          <w:marBottom w:val="0"/>
          <w:divBdr>
            <w:top w:val="none" w:sz="0" w:space="0" w:color="auto"/>
            <w:left w:val="none" w:sz="0" w:space="0" w:color="auto"/>
            <w:bottom w:val="none" w:sz="0" w:space="0" w:color="auto"/>
            <w:right w:val="none" w:sz="0" w:space="0" w:color="auto"/>
          </w:divBdr>
          <w:divsChild>
            <w:div w:id="7914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2342">
      <w:bodyDiv w:val="1"/>
      <w:marLeft w:val="0"/>
      <w:marRight w:val="0"/>
      <w:marTop w:val="0"/>
      <w:marBottom w:val="0"/>
      <w:divBdr>
        <w:top w:val="none" w:sz="0" w:space="0" w:color="auto"/>
        <w:left w:val="none" w:sz="0" w:space="0" w:color="auto"/>
        <w:bottom w:val="none" w:sz="0" w:space="0" w:color="auto"/>
        <w:right w:val="none" w:sz="0" w:space="0" w:color="auto"/>
      </w:divBdr>
      <w:divsChild>
        <w:div w:id="16545982">
          <w:marLeft w:val="0"/>
          <w:marRight w:val="0"/>
          <w:marTop w:val="0"/>
          <w:marBottom w:val="0"/>
          <w:divBdr>
            <w:top w:val="none" w:sz="0" w:space="0" w:color="auto"/>
            <w:left w:val="none" w:sz="0" w:space="0" w:color="auto"/>
            <w:bottom w:val="none" w:sz="0" w:space="0" w:color="auto"/>
            <w:right w:val="none" w:sz="0" w:space="0" w:color="auto"/>
          </w:divBdr>
          <w:divsChild>
            <w:div w:id="42808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0076">
      <w:bodyDiv w:val="1"/>
      <w:marLeft w:val="0"/>
      <w:marRight w:val="0"/>
      <w:marTop w:val="0"/>
      <w:marBottom w:val="0"/>
      <w:divBdr>
        <w:top w:val="none" w:sz="0" w:space="0" w:color="auto"/>
        <w:left w:val="none" w:sz="0" w:space="0" w:color="auto"/>
        <w:bottom w:val="none" w:sz="0" w:space="0" w:color="auto"/>
        <w:right w:val="none" w:sz="0" w:space="0" w:color="auto"/>
      </w:divBdr>
      <w:divsChild>
        <w:div w:id="1999651606">
          <w:marLeft w:val="0"/>
          <w:marRight w:val="0"/>
          <w:marTop w:val="0"/>
          <w:marBottom w:val="0"/>
          <w:divBdr>
            <w:top w:val="none" w:sz="0" w:space="0" w:color="auto"/>
            <w:left w:val="none" w:sz="0" w:space="0" w:color="auto"/>
            <w:bottom w:val="none" w:sz="0" w:space="0" w:color="auto"/>
            <w:right w:val="none" w:sz="0" w:space="0" w:color="auto"/>
          </w:divBdr>
          <w:divsChild>
            <w:div w:id="294988802">
              <w:marLeft w:val="0"/>
              <w:marRight w:val="0"/>
              <w:marTop w:val="0"/>
              <w:marBottom w:val="0"/>
              <w:divBdr>
                <w:top w:val="none" w:sz="0" w:space="0" w:color="auto"/>
                <w:left w:val="none" w:sz="0" w:space="0" w:color="auto"/>
                <w:bottom w:val="none" w:sz="0" w:space="0" w:color="auto"/>
                <w:right w:val="none" w:sz="0" w:space="0" w:color="auto"/>
              </w:divBdr>
            </w:div>
            <w:div w:id="358093033">
              <w:marLeft w:val="0"/>
              <w:marRight w:val="0"/>
              <w:marTop w:val="0"/>
              <w:marBottom w:val="0"/>
              <w:divBdr>
                <w:top w:val="none" w:sz="0" w:space="0" w:color="auto"/>
                <w:left w:val="none" w:sz="0" w:space="0" w:color="auto"/>
                <w:bottom w:val="none" w:sz="0" w:space="0" w:color="auto"/>
                <w:right w:val="none" w:sz="0" w:space="0" w:color="auto"/>
              </w:divBdr>
            </w:div>
            <w:div w:id="1356496331">
              <w:marLeft w:val="0"/>
              <w:marRight w:val="0"/>
              <w:marTop w:val="0"/>
              <w:marBottom w:val="0"/>
              <w:divBdr>
                <w:top w:val="none" w:sz="0" w:space="0" w:color="auto"/>
                <w:left w:val="none" w:sz="0" w:space="0" w:color="auto"/>
                <w:bottom w:val="none" w:sz="0" w:space="0" w:color="auto"/>
                <w:right w:val="none" w:sz="0" w:space="0" w:color="auto"/>
              </w:divBdr>
            </w:div>
            <w:div w:id="139397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53837">
      <w:bodyDiv w:val="1"/>
      <w:marLeft w:val="0"/>
      <w:marRight w:val="0"/>
      <w:marTop w:val="0"/>
      <w:marBottom w:val="0"/>
      <w:divBdr>
        <w:top w:val="none" w:sz="0" w:space="0" w:color="auto"/>
        <w:left w:val="none" w:sz="0" w:space="0" w:color="auto"/>
        <w:bottom w:val="none" w:sz="0" w:space="0" w:color="auto"/>
        <w:right w:val="none" w:sz="0" w:space="0" w:color="auto"/>
      </w:divBdr>
      <w:divsChild>
        <w:div w:id="1556307553">
          <w:marLeft w:val="0"/>
          <w:marRight w:val="0"/>
          <w:marTop w:val="0"/>
          <w:marBottom w:val="0"/>
          <w:divBdr>
            <w:top w:val="none" w:sz="0" w:space="0" w:color="auto"/>
            <w:left w:val="none" w:sz="0" w:space="0" w:color="auto"/>
            <w:bottom w:val="none" w:sz="0" w:space="0" w:color="auto"/>
            <w:right w:val="none" w:sz="0" w:space="0" w:color="auto"/>
          </w:divBdr>
          <w:divsChild>
            <w:div w:id="6526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64009">
      <w:bodyDiv w:val="1"/>
      <w:marLeft w:val="0"/>
      <w:marRight w:val="0"/>
      <w:marTop w:val="0"/>
      <w:marBottom w:val="0"/>
      <w:divBdr>
        <w:top w:val="none" w:sz="0" w:space="0" w:color="auto"/>
        <w:left w:val="none" w:sz="0" w:space="0" w:color="auto"/>
        <w:bottom w:val="none" w:sz="0" w:space="0" w:color="auto"/>
        <w:right w:val="none" w:sz="0" w:space="0" w:color="auto"/>
      </w:divBdr>
      <w:divsChild>
        <w:div w:id="1449623066">
          <w:marLeft w:val="0"/>
          <w:marRight w:val="0"/>
          <w:marTop w:val="0"/>
          <w:marBottom w:val="0"/>
          <w:divBdr>
            <w:top w:val="none" w:sz="0" w:space="0" w:color="auto"/>
            <w:left w:val="none" w:sz="0" w:space="0" w:color="auto"/>
            <w:bottom w:val="none" w:sz="0" w:space="0" w:color="auto"/>
            <w:right w:val="none" w:sz="0" w:space="0" w:color="auto"/>
          </w:divBdr>
          <w:divsChild>
            <w:div w:id="13969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48808">
      <w:bodyDiv w:val="1"/>
      <w:marLeft w:val="0"/>
      <w:marRight w:val="0"/>
      <w:marTop w:val="0"/>
      <w:marBottom w:val="0"/>
      <w:divBdr>
        <w:top w:val="none" w:sz="0" w:space="0" w:color="auto"/>
        <w:left w:val="none" w:sz="0" w:space="0" w:color="auto"/>
        <w:bottom w:val="none" w:sz="0" w:space="0" w:color="auto"/>
        <w:right w:val="none" w:sz="0" w:space="0" w:color="auto"/>
      </w:divBdr>
      <w:divsChild>
        <w:div w:id="706492465">
          <w:marLeft w:val="0"/>
          <w:marRight w:val="0"/>
          <w:marTop w:val="0"/>
          <w:marBottom w:val="0"/>
          <w:divBdr>
            <w:top w:val="none" w:sz="0" w:space="0" w:color="auto"/>
            <w:left w:val="none" w:sz="0" w:space="0" w:color="auto"/>
            <w:bottom w:val="none" w:sz="0" w:space="0" w:color="auto"/>
            <w:right w:val="none" w:sz="0" w:space="0" w:color="auto"/>
          </w:divBdr>
          <w:divsChild>
            <w:div w:id="2601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7099">
      <w:bodyDiv w:val="1"/>
      <w:marLeft w:val="0"/>
      <w:marRight w:val="0"/>
      <w:marTop w:val="0"/>
      <w:marBottom w:val="0"/>
      <w:divBdr>
        <w:top w:val="none" w:sz="0" w:space="0" w:color="auto"/>
        <w:left w:val="none" w:sz="0" w:space="0" w:color="auto"/>
        <w:bottom w:val="none" w:sz="0" w:space="0" w:color="auto"/>
        <w:right w:val="none" w:sz="0" w:space="0" w:color="auto"/>
      </w:divBdr>
      <w:divsChild>
        <w:div w:id="361980970">
          <w:marLeft w:val="0"/>
          <w:marRight w:val="0"/>
          <w:marTop w:val="0"/>
          <w:marBottom w:val="0"/>
          <w:divBdr>
            <w:top w:val="none" w:sz="0" w:space="0" w:color="auto"/>
            <w:left w:val="none" w:sz="0" w:space="0" w:color="auto"/>
            <w:bottom w:val="none" w:sz="0" w:space="0" w:color="auto"/>
            <w:right w:val="none" w:sz="0" w:space="0" w:color="auto"/>
          </w:divBdr>
          <w:divsChild>
            <w:div w:id="11823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8316">
      <w:bodyDiv w:val="1"/>
      <w:marLeft w:val="0"/>
      <w:marRight w:val="0"/>
      <w:marTop w:val="0"/>
      <w:marBottom w:val="0"/>
      <w:divBdr>
        <w:top w:val="none" w:sz="0" w:space="0" w:color="auto"/>
        <w:left w:val="none" w:sz="0" w:space="0" w:color="auto"/>
        <w:bottom w:val="none" w:sz="0" w:space="0" w:color="auto"/>
        <w:right w:val="none" w:sz="0" w:space="0" w:color="auto"/>
      </w:divBdr>
      <w:divsChild>
        <w:div w:id="637800491">
          <w:marLeft w:val="0"/>
          <w:marRight w:val="0"/>
          <w:marTop w:val="0"/>
          <w:marBottom w:val="0"/>
          <w:divBdr>
            <w:top w:val="none" w:sz="0" w:space="0" w:color="auto"/>
            <w:left w:val="none" w:sz="0" w:space="0" w:color="auto"/>
            <w:bottom w:val="none" w:sz="0" w:space="0" w:color="auto"/>
            <w:right w:val="none" w:sz="0" w:space="0" w:color="auto"/>
          </w:divBdr>
        </w:div>
      </w:divsChild>
    </w:div>
    <w:div w:id="1377042813">
      <w:bodyDiv w:val="1"/>
      <w:marLeft w:val="0"/>
      <w:marRight w:val="0"/>
      <w:marTop w:val="0"/>
      <w:marBottom w:val="0"/>
      <w:divBdr>
        <w:top w:val="none" w:sz="0" w:space="0" w:color="auto"/>
        <w:left w:val="none" w:sz="0" w:space="0" w:color="auto"/>
        <w:bottom w:val="none" w:sz="0" w:space="0" w:color="auto"/>
        <w:right w:val="none" w:sz="0" w:space="0" w:color="auto"/>
      </w:divBdr>
      <w:divsChild>
        <w:div w:id="932935891">
          <w:marLeft w:val="0"/>
          <w:marRight w:val="0"/>
          <w:marTop w:val="0"/>
          <w:marBottom w:val="0"/>
          <w:divBdr>
            <w:top w:val="none" w:sz="0" w:space="0" w:color="auto"/>
            <w:left w:val="none" w:sz="0" w:space="0" w:color="auto"/>
            <w:bottom w:val="none" w:sz="0" w:space="0" w:color="auto"/>
            <w:right w:val="none" w:sz="0" w:space="0" w:color="auto"/>
          </w:divBdr>
          <w:divsChild>
            <w:div w:id="198323012">
              <w:marLeft w:val="0"/>
              <w:marRight w:val="0"/>
              <w:marTop w:val="0"/>
              <w:marBottom w:val="0"/>
              <w:divBdr>
                <w:top w:val="none" w:sz="0" w:space="0" w:color="auto"/>
                <w:left w:val="none" w:sz="0" w:space="0" w:color="auto"/>
                <w:bottom w:val="none" w:sz="0" w:space="0" w:color="auto"/>
                <w:right w:val="none" w:sz="0" w:space="0" w:color="auto"/>
              </w:divBdr>
            </w:div>
            <w:div w:id="628826005">
              <w:marLeft w:val="0"/>
              <w:marRight w:val="0"/>
              <w:marTop w:val="0"/>
              <w:marBottom w:val="0"/>
              <w:divBdr>
                <w:top w:val="none" w:sz="0" w:space="0" w:color="auto"/>
                <w:left w:val="none" w:sz="0" w:space="0" w:color="auto"/>
                <w:bottom w:val="none" w:sz="0" w:space="0" w:color="auto"/>
                <w:right w:val="none" w:sz="0" w:space="0" w:color="auto"/>
              </w:divBdr>
            </w:div>
            <w:div w:id="776799012">
              <w:marLeft w:val="0"/>
              <w:marRight w:val="0"/>
              <w:marTop w:val="0"/>
              <w:marBottom w:val="0"/>
              <w:divBdr>
                <w:top w:val="none" w:sz="0" w:space="0" w:color="auto"/>
                <w:left w:val="none" w:sz="0" w:space="0" w:color="auto"/>
                <w:bottom w:val="none" w:sz="0" w:space="0" w:color="auto"/>
                <w:right w:val="none" w:sz="0" w:space="0" w:color="auto"/>
              </w:divBdr>
            </w:div>
            <w:div w:id="13874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9346">
      <w:bodyDiv w:val="1"/>
      <w:marLeft w:val="0"/>
      <w:marRight w:val="0"/>
      <w:marTop w:val="0"/>
      <w:marBottom w:val="0"/>
      <w:divBdr>
        <w:top w:val="none" w:sz="0" w:space="0" w:color="auto"/>
        <w:left w:val="none" w:sz="0" w:space="0" w:color="auto"/>
        <w:bottom w:val="none" w:sz="0" w:space="0" w:color="auto"/>
        <w:right w:val="none" w:sz="0" w:space="0" w:color="auto"/>
      </w:divBdr>
      <w:divsChild>
        <w:div w:id="1759516616">
          <w:marLeft w:val="0"/>
          <w:marRight w:val="0"/>
          <w:marTop w:val="0"/>
          <w:marBottom w:val="0"/>
          <w:divBdr>
            <w:top w:val="none" w:sz="0" w:space="0" w:color="auto"/>
            <w:left w:val="none" w:sz="0" w:space="0" w:color="auto"/>
            <w:bottom w:val="none" w:sz="0" w:space="0" w:color="auto"/>
            <w:right w:val="none" w:sz="0" w:space="0" w:color="auto"/>
          </w:divBdr>
          <w:divsChild>
            <w:div w:id="7340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73687">
      <w:bodyDiv w:val="1"/>
      <w:marLeft w:val="0"/>
      <w:marRight w:val="0"/>
      <w:marTop w:val="0"/>
      <w:marBottom w:val="0"/>
      <w:divBdr>
        <w:top w:val="none" w:sz="0" w:space="0" w:color="auto"/>
        <w:left w:val="none" w:sz="0" w:space="0" w:color="auto"/>
        <w:bottom w:val="none" w:sz="0" w:space="0" w:color="auto"/>
        <w:right w:val="none" w:sz="0" w:space="0" w:color="auto"/>
      </w:divBdr>
      <w:divsChild>
        <w:div w:id="971326434">
          <w:marLeft w:val="0"/>
          <w:marRight w:val="0"/>
          <w:marTop w:val="0"/>
          <w:marBottom w:val="0"/>
          <w:divBdr>
            <w:top w:val="none" w:sz="0" w:space="0" w:color="auto"/>
            <w:left w:val="none" w:sz="0" w:space="0" w:color="auto"/>
            <w:bottom w:val="none" w:sz="0" w:space="0" w:color="auto"/>
            <w:right w:val="none" w:sz="0" w:space="0" w:color="auto"/>
          </w:divBdr>
          <w:divsChild>
            <w:div w:id="1613437108">
              <w:marLeft w:val="0"/>
              <w:marRight w:val="0"/>
              <w:marTop w:val="0"/>
              <w:marBottom w:val="0"/>
              <w:divBdr>
                <w:top w:val="none" w:sz="0" w:space="0" w:color="auto"/>
                <w:left w:val="none" w:sz="0" w:space="0" w:color="auto"/>
                <w:bottom w:val="none" w:sz="0" w:space="0" w:color="auto"/>
                <w:right w:val="none" w:sz="0" w:space="0" w:color="auto"/>
              </w:divBdr>
              <w:divsChild>
                <w:div w:id="553389710">
                  <w:marLeft w:val="0"/>
                  <w:marRight w:val="0"/>
                  <w:marTop w:val="0"/>
                  <w:marBottom w:val="0"/>
                  <w:divBdr>
                    <w:top w:val="none" w:sz="0" w:space="0" w:color="auto"/>
                    <w:left w:val="none" w:sz="0" w:space="0" w:color="auto"/>
                    <w:bottom w:val="none" w:sz="0" w:space="0" w:color="auto"/>
                    <w:right w:val="none" w:sz="0" w:space="0" w:color="auto"/>
                  </w:divBdr>
                  <w:divsChild>
                    <w:div w:id="200389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090160">
      <w:bodyDiv w:val="1"/>
      <w:marLeft w:val="0"/>
      <w:marRight w:val="0"/>
      <w:marTop w:val="0"/>
      <w:marBottom w:val="0"/>
      <w:divBdr>
        <w:top w:val="none" w:sz="0" w:space="0" w:color="auto"/>
        <w:left w:val="none" w:sz="0" w:space="0" w:color="auto"/>
        <w:bottom w:val="none" w:sz="0" w:space="0" w:color="auto"/>
        <w:right w:val="none" w:sz="0" w:space="0" w:color="auto"/>
      </w:divBdr>
    </w:div>
    <w:div w:id="1415131187">
      <w:bodyDiv w:val="1"/>
      <w:marLeft w:val="0"/>
      <w:marRight w:val="0"/>
      <w:marTop w:val="0"/>
      <w:marBottom w:val="0"/>
      <w:divBdr>
        <w:top w:val="none" w:sz="0" w:space="0" w:color="auto"/>
        <w:left w:val="none" w:sz="0" w:space="0" w:color="auto"/>
        <w:bottom w:val="none" w:sz="0" w:space="0" w:color="auto"/>
        <w:right w:val="none" w:sz="0" w:space="0" w:color="auto"/>
      </w:divBdr>
    </w:div>
    <w:div w:id="1433286411">
      <w:bodyDiv w:val="1"/>
      <w:marLeft w:val="0"/>
      <w:marRight w:val="0"/>
      <w:marTop w:val="0"/>
      <w:marBottom w:val="0"/>
      <w:divBdr>
        <w:top w:val="none" w:sz="0" w:space="0" w:color="auto"/>
        <w:left w:val="none" w:sz="0" w:space="0" w:color="auto"/>
        <w:bottom w:val="none" w:sz="0" w:space="0" w:color="auto"/>
        <w:right w:val="none" w:sz="0" w:space="0" w:color="auto"/>
      </w:divBdr>
      <w:divsChild>
        <w:div w:id="25181447">
          <w:marLeft w:val="0"/>
          <w:marRight w:val="0"/>
          <w:marTop w:val="0"/>
          <w:marBottom w:val="0"/>
          <w:divBdr>
            <w:top w:val="none" w:sz="0" w:space="0" w:color="auto"/>
            <w:left w:val="none" w:sz="0" w:space="0" w:color="auto"/>
            <w:bottom w:val="none" w:sz="0" w:space="0" w:color="auto"/>
            <w:right w:val="none" w:sz="0" w:space="0" w:color="auto"/>
          </w:divBdr>
          <w:divsChild>
            <w:div w:id="9074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2026">
      <w:bodyDiv w:val="1"/>
      <w:marLeft w:val="0"/>
      <w:marRight w:val="0"/>
      <w:marTop w:val="0"/>
      <w:marBottom w:val="0"/>
      <w:divBdr>
        <w:top w:val="none" w:sz="0" w:space="0" w:color="auto"/>
        <w:left w:val="none" w:sz="0" w:space="0" w:color="auto"/>
        <w:bottom w:val="none" w:sz="0" w:space="0" w:color="auto"/>
        <w:right w:val="none" w:sz="0" w:space="0" w:color="auto"/>
      </w:divBdr>
      <w:divsChild>
        <w:div w:id="1226141012">
          <w:marLeft w:val="0"/>
          <w:marRight w:val="0"/>
          <w:marTop w:val="0"/>
          <w:marBottom w:val="0"/>
          <w:divBdr>
            <w:top w:val="none" w:sz="0" w:space="0" w:color="auto"/>
            <w:left w:val="none" w:sz="0" w:space="0" w:color="auto"/>
            <w:bottom w:val="none" w:sz="0" w:space="0" w:color="auto"/>
            <w:right w:val="none" w:sz="0" w:space="0" w:color="auto"/>
          </w:divBdr>
          <w:divsChild>
            <w:div w:id="184608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44325">
      <w:bodyDiv w:val="1"/>
      <w:marLeft w:val="0"/>
      <w:marRight w:val="0"/>
      <w:marTop w:val="0"/>
      <w:marBottom w:val="0"/>
      <w:divBdr>
        <w:top w:val="none" w:sz="0" w:space="0" w:color="auto"/>
        <w:left w:val="none" w:sz="0" w:space="0" w:color="auto"/>
        <w:bottom w:val="none" w:sz="0" w:space="0" w:color="auto"/>
        <w:right w:val="none" w:sz="0" w:space="0" w:color="auto"/>
      </w:divBdr>
      <w:divsChild>
        <w:div w:id="1327824941">
          <w:marLeft w:val="0"/>
          <w:marRight w:val="0"/>
          <w:marTop w:val="0"/>
          <w:marBottom w:val="0"/>
          <w:divBdr>
            <w:top w:val="none" w:sz="0" w:space="0" w:color="auto"/>
            <w:left w:val="none" w:sz="0" w:space="0" w:color="auto"/>
            <w:bottom w:val="none" w:sz="0" w:space="0" w:color="auto"/>
            <w:right w:val="none" w:sz="0" w:space="0" w:color="auto"/>
          </w:divBdr>
          <w:divsChild>
            <w:div w:id="12024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93583">
      <w:bodyDiv w:val="1"/>
      <w:marLeft w:val="0"/>
      <w:marRight w:val="0"/>
      <w:marTop w:val="0"/>
      <w:marBottom w:val="0"/>
      <w:divBdr>
        <w:top w:val="none" w:sz="0" w:space="0" w:color="auto"/>
        <w:left w:val="none" w:sz="0" w:space="0" w:color="auto"/>
        <w:bottom w:val="none" w:sz="0" w:space="0" w:color="auto"/>
        <w:right w:val="none" w:sz="0" w:space="0" w:color="auto"/>
      </w:divBdr>
      <w:divsChild>
        <w:div w:id="2094544048">
          <w:marLeft w:val="0"/>
          <w:marRight w:val="0"/>
          <w:marTop w:val="0"/>
          <w:marBottom w:val="0"/>
          <w:divBdr>
            <w:top w:val="none" w:sz="0" w:space="0" w:color="auto"/>
            <w:left w:val="none" w:sz="0" w:space="0" w:color="auto"/>
            <w:bottom w:val="none" w:sz="0" w:space="0" w:color="auto"/>
            <w:right w:val="none" w:sz="0" w:space="0" w:color="auto"/>
          </w:divBdr>
        </w:div>
      </w:divsChild>
    </w:div>
    <w:div w:id="1504320577">
      <w:bodyDiv w:val="1"/>
      <w:marLeft w:val="0"/>
      <w:marRight w:val="0"/>
      <w:marTop w:val="0"/>
      <w:marBottom w:val="0"/>
      <w:divBdr>
        <w:top w:val="none" w:sz="0" w:space="0" w:color="auto"/>
        <w:left w:val="none" w:sz="0" w:space="0" w:color="auto"/>
        <w:bottom w:val="none" w:sz="0" w:space="0" w:color="auto"/>
        <w:right w:val="none" w:sz="0" w:space="0" w:color="auto"/>
      </w:divBdr>
    </w:div>
    <w:div w:id="1528759771">
      <w:bodyDiv w:val="1"/>
      <w:marLeft w:val="0"/>
      <w:marRight w:val="0"/>
      <w:marTop w:val="0"/>
      <w:marBottom w:val="0"/>
      <w:divBdr>
        <w:top w:val="none" w:sz="0" w:space="0" w:color="auto"/>
        <w:left w:val="none" w:sz="0" w:space="0" w:color="auto"/>
        <w:bottom w:val="none" w:sz="0" w:space="0" w:color="auto"/>
        <w:right w:val="none" w:sz="0" w:space="0" w:color="auto"/>
      </w:divBdr>
      <w:divsChild>
        <w:div w:id="847603848">
          <w:marLeft w:val="0"/>
          <w:marRight w:val="0"/>
          <w:marTop w:val="0"/>
          <w:marBottom w:val="0"/>
          <w:divBdr>
            <w:top w:val="none" w:sz="0" w:space="0" w:color="auto"/>
            <w:left w:val="none" w:sz="0" w:space="0" w:color="auto"/>
            <w:bottom w:val="none" w:sz="0" w:space="0" w:color="auto"/>
            <w:right w:val="none" w:sz="0" w:space="0" w:color="auto"/>
          </w:divBdr>
          <w:divsChild>
            <w:div w:id="20993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86470">
      <w:bodyDiv w:val="1"/>
      <w:marLeft w:val="0"/>
      <w:marRight w:val="0"/>
      <w:marTop w:val="0"/>
      <w:marBottom w:val="0"/>
      <w:divBdr>
        <w:top w:val="none" w:sz="0" w:space="0" w:color="auto"/>
        <w:left w:val="none" w:sz="0" w:space="0" w:color="auto"/>
        <w:bottom w:val="none" w:sz="0" w:space="0" w:color="auto"/>
        <w:right w:val="none" w:sz="0" w:space="0" w:color="auto"/>
      </w:divBdr>
      <w:divsChild>
        <w:div w:id="654574591">
          <w:marLeft w:val="0"/>
          <w:marRight w:val="0"/>
          <w:marTop w:val="0"/>
          <w:marBottom w:val="0"/>
          <w:divBdr>
            <w:top w:val="none" w:sz="0" w:space="0" w:color="auto"/>
            <w:left w:val="none" w:sz="0" w:space="0" w:color="auto"/>
            <w:bottom w:val="none" w:sz="0" w:space="0" w:color="auto"/>
            <w:right w:val="none" w:sz="0" w:space="0" w:color="auto"/>
          </w:divBdr>
          <w:divsChild>
            <w:div w:id="168057575">
              <w:marLeft w:val="0"/>
              <w:marRight w:val="0"/>
              <w:marTop w:val="0"/>
              <w:marBottom w:val="0"/>
              <w:divBdr>
                <w:top w:val="none" w:sz="0" w:space="0" w:color="auto"/>
                <w:left w:val="none" w:sz="0" w:space="0" w:color="auto"/>
                <w:bottom w:val="none" w:sz="0" w:space="0" w:color="auto"/>
                <w:right w:val="none" w:sz="0" w:space="0" w:color="auto"/>
              </w:divBdr>
            </w:div>
            <w:div w:id="968124193">
              <w:marLeft w:val="0"/>
              <w:marRight w:val="0"/>
              <w:marTop w:val="0"/>
              <w:marBottom w:val="0"/>
              <w:divBdr>
                <w:top w:val="none" w:sz="0" w:space="0" w:color="auto"/>
                <w:left w:val="none" w:sz="0" w:space="0" w:color="auto"/>
                <w:bottom w:val="none" w:sz="0" w:space="0" w:color="auto"/>
                <w:right w:val="none" w:sz="0" w:space="0" w:color="auto"/>
              </w:divBdr>
            </w:div>
            <w:div w:id="20420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46937">
      <w:bodyDiv w:val="1"/>
      <w:marLeft w:val="0"/>
      <w:marRight w:val="0"/>
      <w:marTop w:val="0"/>
      <w:marBottom w:val="0"/>
      <w:divBdr>
        <w:top w:val="none" w:sz="0" w:space="0" w:color="auto"/>
        <w:left w:val="none" w:sz="0" w:space="0" w:color="auto"/>
        <w:bottom w:val="none" w:sz="0" w:space="0" w:color="auto"/>
        <w:right w:val="none" w:sz="0" w:space="0" w:color="auto"/>
      </w:divBdr>
      <w:divsChild>
        <w:div w:id="65957951">
          <w:marLeft w:val="0"/>
          <w:marRight w:val="0"/>
          <w:marTop w:val="0"/>
          <w:marBottom w:val="0"/>
          <w:divBdr>
            <w:top w:val="none" w:sz="0" w:space="0" w:color="auto"/>
            <w:left w:val="none" w:sz="0" w:space="0" w:color="auto"/>
            <w:bottom w:val="none" w:sz="0" w:space="0" w:color="auto"/>
            <w:right w:val="none" w:sz="0" w:space="0" w:color="auto"/>
          </w:divBdr>
          <w:divsChild>
            <w:div w:id="152378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5262">
      <w:bodyDiv w:val="1"/>
      <w:marLeft w:val="0"/>
      <w:marRight w:val="0"/>
      <w:marTop w:val="0"/>
      <w:marBottom w:val="0"/>
      <w:divBdr>
        <w:top w:val="none" w:sz="0" w:space="0" w:color="auto"/>
        <w:left w:val="none" w:sz="0" w:space="0" w:color="auto"/>
        <w:bottom w:val="none" w:sz="0" w:space="0" w:color="auto"/>
        <w:right w:val="none" w:sz="0" w:space="0" w:color="auto"/>
      </w:divBdr>
      <w:divsChild>
        <w:div w:id="469203162">
          <w:marLeft w:val="0"/>
          <w:marRight w:val="0"/>
          <w:marTop w:val="0"/>
          <w:marBottom w:val="0"/>
          <w:divBdr>
            <w:top w:val="none" w:sz="0" w:space="0" w:color="auto"/>
            <w:left w:val="none" w:sz="0" w:space="0" w:color="auto"/>
            <w:bottom w:val="none" w:sz="0" w:space="0" w:color="auto"/>
            <w:right w:val="none" w:sz="0" w:space="0" w:color="auto"/>
          </w:divBdr>
          <w:divsChild>
            <w:div w:id="8003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0704">
      <w:bodyDiv w:val="1"/>
      <w:marLeft w:val="0"/>
      <w:marRight w:val="0"/>
      <w:marTop w:val="0"/>
      <w:marBottom w:val="0"/>
      <w:divBdr>
        <w:top w:val="none" w:sz="0" w:space="0" w:color="auto"/>
        <w:left w:val="none" w:sz="0" w:space="0" w:color="auto"/>
        <w:bottom w:val="none" w:sz="0" w:space="0" w:color="auto"/>
        <w:right w:val="none" w:sz="0" w:space="0" w:color="auto"/>
      </w:divBdr>
      <w:divsChild>
        <w:div w:id="2061704970">
          <w:marLeft w:val="0"/>
          <w:marRight w:val="0"/>
          <w:marTop w:val="0"/>
          <w:marBottom w:val="0"/>
          <w:divBdr>
            <w:top w:val="none" w:sz="0" w:space="0" w:color="auto"/>
            <w:left w:val="none" w:sz="0" w:space="0" w:color="auto"/>
            <w:bottom w:val="none" w:sz="0" w:space="0" w:color="auto"/>
            <w:right w:val="none" w:sz="0" w:space="0" w:color="auto"/>
          </w:divBdr>
          <w:divsChild>
            <w:div w:id="19697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76332">
      <w:bodyDiv w:val="1"/>
      <w:marLeft w:val="0"/>
      <w:marRight w:val="0"/>
      <w:marTop w:val="0"/>
      <w:marBottom w:val="0"/>
      <w:divBdr>
        <w:top w:val="none" w:sz="0" w:space="0" w:color="auto"/>
        <w:left w:val="none" w:sz="0" w:space="0" w:color="auto"/>
        <w:bottom w:val="none" w:sz="0" w:space="0" w:color="auto"/>
        <w:right w:val="none" w:sz="0" w:space="0" w:color="auto"/>
      </w:divBdr>
      <w:divsChild>
        <w:div w:id="1273318031">
          <w:marLeft w:val="0"/>
          <w:marRight w:val="0"/>
          <w:marTop w:val="0"/>
          <w:marBottom w:val="0"/>
          <w:divBdr>
            <w:top w:val="none" w:sz="0" w:space="0" w:color="auto"/>
            <w:left w:val="none" w:sz="0" w:space="0" w:color="auto"/>
            <w:bottom w:val="none" w:sz="0" w:space="0" w:color="auto"/>
            <w:right w:val="none" w:sz="0" w:space="0" w:color="auto"/>
          </w:divBdr>
          <w:divsChild>
            <w:div w:id="28766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0657">
      <w:bodyDiv w:val="1"/>
      <w:marLeft w:val="0"/>
      <w:marRight w:val="0"/>
      <w:marTop w:val="0"/>
      <w:marBottom w:val="0"/>
      <w:divBdr>
        <w:top w:val="none" w:sz="0" w:space="0" w:color="auto"/>
        <w:left w:val="none" w:sz="0" w:space="0" w:color="auto"/>
        <w:bottom w:val="none" w:sz="0" w:space="0" w:color="auto"/>
        <w:right w:val="none" w:sz="0" w:space="0" w:color="auto"/>
      </w:divBdr>
      <w:divsChild>
        <w:div w:id="17776600">
          <w:marLeft w:val="0"/>
          <w:marRight w:val="0"/>
          <w:marTop w:val="0"/>
          <w:marBottom w:val="0"/>
          <w:divBdr>
            <w:top w:val="none" w:sz="0" w:space="0" w:color="auto"/>
            <w:left w:val="none" w:sz="0" w:space="0" w:color="auto"/>
            <w:bottom w:val="none" w:sz="0" w:space="0" w:color="auto"/>
            <w:right w:val="none" w:sz="0" w:space="0" w:color="auto"/>
          </w:divBdr>
          <w:divsChild>
            <w:div w:id="3652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1738">
      <w:bodyDiv w:val="1"/>
      <w:marLeft w:val="0"/>
      <w:marRight w:val="0"/>
      <w:marTop w:val="0"/>
      <w:marBottom w:val="0"/>
      <w:divBdr>
        <w:top w:val="none" w:sz="0" w:space="0" w:color="auto"/>
        <w:left w:val="none" w:sz="0" w:space="0" w:color="auto"/>
        <w:bottom w:val="none" w:sz="0" w:space="0" w:color="auto"/>
        <w:right w:val="none" w:sz="0" w:space="0" w:color="auto"/>
      </w:divBdr>
      <w:divsChild>
        <w:div w:id="1326515046">
          <w:marLeft w:val="0"/>
          <w:marRight w:val="0"/>
          <w:marTop w:val="0"/>
          <w:marBottom w:val="0"/>
          <w:divBdr>
            <w:top w:val="none" w:sz="0" w:space="0" w:color="auto"/>
            <w:left w:val="none" w:sz="0" w:space="0" w:color="auto"/>
            <w:bottom w:val="none" w:sz="0" w:space="0" w:color="auto"/>
            <w:right w:val="none" w:sz="0" w:space="0" w:color="auto"/>
          </w:divBdr>
          <w:divsChild>
            <w:div w:id="115298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58749">
      <w:bodyDiv w:val="1"/>
      <w:marLeft w:val="0"/>
      <w:marRight w:val="0"/>
      <w:marTop w:val="0"/>
      <w:marBottom w:val="0"/>
      <w:divBdr>
        <w:top w:val="none" w:sz="0" w:space="0" w:color="auto"/>
        <w:left w:val="none" w:sz="0" w:space="0" w:color="auto"/>
        <w:bottom w:val="none" w:sz="0" w:space="0" w:color="auto"/>
        <w:right w:val="none" w:sz="0" w:space="0" w:color="auto"/>
      </w:divBdr>
      <w:divsChild>
        <w:div w:id="659967014">
          <w:marLeft w:val="0"/>
          <w:marRight w:val="0"/>
          <w:marTop w:val="0"/>
          <w:marBottom w:val="0"/>
          <w:divBdr>
            <w:top w:val="none" w:sz="0" w:space="0" w:color="auto"/>
            <w:left w:val="none" w:sz="0" w:space="0" w:color="auto"/>
            <w:bottom w:val="none" w:sz="0" w:space="0" w:color="auto"/>
            <w:right w:val="none" w:sz="0" w:space="0" w:color="auto"/>
          </w:divBdr>
          <w:divsChild>
            <w:div w:id="8458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27054">
      <w:bodyDiv w:val="1"/>
      <w:marLeft w:val="0"/>
      <w:marRight w:val="0"/>
      <w:marTop w:val="0"/>
      <w:marBottom w:val="0"/>
      <w:divBdr>
        <w:top w:val="none" w:sz="0" w:space="0" w:color="auto"/>
        <w:left w:val="none" w:sz="0" w:space="0" w:color="auto"/>
        <w:bottom w:val="none" w:sz="0" w:space="0" w:color="auto"/>
        <w:right w:val="none" w:sz="0" w:space="0" w:color="auto"/>
      </w:divBdr>
      <w:divsChild>
        <w:div w:id="183056837">
          <w:marLeft w:val="0"/>
          <w:marRight w:val="0"/>
          <w:marTop w:val="0"/>
          <w:marBottom w:val="0"/>
          <w:divBdr>
            <w:top w:val="none" w:sz="0" w:space="0" w:color="auto"/>
            <w:left w:val="none" w:sz="0" w:space="0" w:color="auto"/>
            <w:bottom w:val="none" w:sz="0" w:space="0" w:color="auto"/>
            <w:right w:val="none" w:sz="0" w:space="0" w:color="auto"/>
          </w:divBdr>
          <w:divsChild>
            <w:div w:id="14745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70329">
      <w:bodyDiv w:val="1"/>
      <w:marLeft w:val="0"/>
      <w:marRight w:val="0"/>
      <w:marTop w:val="0"/>
      <w:marBottom w:val="0"/>
      <w:divBdr>
        <w:top w:val="none" w:sz="0" w:space="0" w:color="auto"/>
        <w:left w:val="none" w:sz="0" w:space="0" w:color="auto"/>
        <w:bottom w:val="none" w:sz="0" w:space="0" w:color="auto"/>
        <w:right w:val="none" w:sz="0" w:space="0" w:color="auto"/>
      </w:divBdr>
      <w:divsChild>
        <w:div w:id="2088384735">
          <w:marLeft w:val="0"/>
          <w:marRight w:val="0"/>
          <w:marTop w:val="0"/>
          <w:marBottom w:val="0"/>
          <w:divBdr>
            <w:top w:val="none" w:sz="0" w:space="0" w:color="auto"/>
            <w:left w:val="none" w:sz="0" w:space="0" w:color="auto"/>
            <w:bottom w:val="none" w:sz="0" w:space="0" w:color="auto"/>
            <w:right w:val="none" w:sz="0" w:space="0" w:color="auto"/>
          </w:divBdr>
          <w:divsChild>
            <w:div w:id="411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6112">
      <w:bodyDiv w:val="1"/>
      <w:marLeft w:val="0"/>
      <w:marRight w:val="0"/>
      <w:marTop w:val="0"/>
      <w:marBottom w:val="0"/>
      <w:divBdr>
        <w:top w:val="none" w:sz="0" w:space="0" w:color="auto"/>
        <w:left w:val="none" w:sz="0" w:space="0" w:color="auto"/>
        <w:bottom w:val="none" w:sz="0" w:space="0" w:color="auto"/>
        <w:right w:val="none" w:sz="0" w:space="0" w:color="auto"/>
      </w:divBdr>
      <w:divsChild>
        <w:div w:id="1622686670">
          <w:marLeft w:val="0"/>
          <w:marRight w:val="0"/>
          <w:marTop w:val="0"/>
          <w:marBottom w:val="0"/>
          <w:divBdr>
            <w:top w:val="none" w:sz="0" w:space="0" w:color="auto"/>
            <w:left w:val="none" w:sz="0" w:space="0" w:color="auto"/>
            <w:bottom w:val="none" w:sz="0" w:space="0" w:color="auto"/>
            <w:right w:val="none" w:sz="0" w:space="0" w:color="auto"/>
          </w:divBdr>
          <w:divsChild>
            <w:div w:id="3876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18038">
      <w:bodyDiv w:val="1"/>
      <w:marLeft w:val="0"/>
      <w:marRight w:val="0"/>
      <w:marTop w:val="0"/>
      <w:marBottom w:val="0"/>
      <w:divBdr>
        <w:top w:val="none" w:sz="0" w:space="0" w:color="auto"/>
        <w:left w:val="none" w:sz="0" w:space="0" w:color="auto"/>
        <w:bottom w:val="none" w:sz="0" w:space="0" w:color="auto"/>
        <w:right w:val="none" w:sz="0" w:space="0" w:color="auto"/>
      </w:divBdr>
    </w:div>
    <w:div w:id="1672876475">
      <w:bodyDiv w:val="1"/>
      <w:marLeft w:val="0"/>
      <w:marRight w:val="0"/>
      <w:marTop w:val="0"/>
      <w:marBottom w:val="0"/>
      <w:divBdr>
        <w:top w:val="none" w:sz="0" w:space="0" w:color="auto"/>
        <w:left w:val="none" w:sz="0" w:space="0" w:color="auto"/>
        <w:bottom w:val="none" w:sz="0" w:space="0" w:color="auto"/>
        <w:right w:val="none" w:sz="0" w:space="0" w:color="auto"/>
      </w:divBdr>
      <w:divsChild>
        <w:div w:id="1745298874">
          <w:marLeft w:val="0"/>
          <w:marRight w:val="0"/>
          <w:marTop w:val="0"/>
          <w:marBottom w:val="0"/>
          <w:divBdr>
            <w:top w:val="none" w:sz="0" w:space="0" w:color="auto"/>
            <w:left w:val="none" w:sz="0" w:space="0" w:color="auto"/>
            <w:bottom w:val="none" w:sz="0" w:space="0" w:color="auto"/>
            <w:right w:val="none" w:sz="0" w:space="0" w:color="auto"/>
          </w:divBdr>
          <w:divsChild>
            <w:div w:id="680081527">
              <w:marLeft w:val="0"/>
              <w:marRight w:val="0"/>
              <w:marTop w:val="0"/>
              <w:marBottom w:val="0"/>
              <w:divBdr>
                <w:top w:val="none" w:sz="0" w:space="0" w:color="auto"/>
                <w:left w:val="none" w:sz="0" w:space="0" w:color="auto"/>
                <w:bottom w:val="none" w:sz="0" w:space="0" w:color="auto"/>
                <w:right w:val="none" w:sz="0" w:space="0" w:color="auto"/>
              </w:divBdr>
            </w:div>
            <w:div w:id="1258295860">
              <w:marLeft w:val="0"/>
              <w:marRight w:val="0"/>
              <w:marTop w:val="0"/>
              <w:marBottom w:val="0"/>
              <w:divBdr>
                <w:top w:val="none" w:sz="0" w:space="0" w:color="auto"/>
                <w:left w:val="none" w:sz="0" w:space="0" w:color="auto"/>
                <w:bottom w:val="none" w:sz="0" w:space="0" w:color="auto"/>
                <w:right w:val="none" w:sz="0" w:space="0" w:color="auto"/>
              </w:divBdr>
            </w:div>
            <w:div w:id="175925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1796">
      <w:bodyDiv w:val="1"/>
      <w:marLeft w:val="0"/>
      <w:marRight w:val="0"/>
      <w:marTop w:val="0"/>
      <w:marBottom w:val="0"/>
      <w:divBdr>
        <w:top w:val="none" w:sz="0" w:space="0" w:color="auto"/>
        <w:left w:val="none" w:sz="0" w:space="0" w:color="auto"/>
        <w:bottom w:val="none" w:sz="0" w:space="0" w:color="auto"/>
        <w:right w:val="none" w:sz="0" w:space="0" w:color="auto"/>
      </w:divBdr>
      <w:divsChild>
        <w:div w:id="647780998">
          <w:marLeft w:val="0"/>
          <w:marRight w:val="0"/>
          <w:marTop w:val="0"/>
          <w:marBottom w:val="0"/>
          <w:divBdr>
            <w:top w:val="none" w:sz="0" w:space="0" w:color="auto"/>
            <w:left w:val="none" w:sz="0" w:space="0" w:color="auto"/>
            <w:bottom w:val="none" w:sz="0" w:space="0" w:color="auto"/>
            <w:right w:val="none" w:sz="0" w:space="0" w:color="auto"/>
          </w:divBdr>
          <w:divsChild>
            <w:div w:id="1692608554">
              <w:marLeft w:val="0"/>
              <w:marRight w:val="0"/>
              <w:marTop w:val="0"/>
              <w:marBottom w:val="0"/>
              <w:divBdr>
                <w:top w:val="none" w:sz="0" w:space="0" w:color="auto"/>
                <w:left w:val="none" w:sz="0" w:space="0" w:color="auto"/>
                <w:bottom w:val="none" w:sz="0" w:space="0" w:color="auto"/>
                <w:right w:val="none" w:sz="0" w:space="0" w:color="auto"/>
              </w:divBdr>
            </w:div>
            <w:div w:id="1872258044">
              <w:marLeft w:val="0"/>
              <w:marRight w:val="0"/>
              <w:marTop w:val="0"/>
              <w:marBottom w:val="0"/>
              <w:divBdr>
                <w:top w:val="none" w:sz="0" w:space="0" w:color="auto"/>
                <w:left w:val="none" w:sz="0" w:space="0" w:color="auto"/>
                <w:bottom w:val="none" w:sz="0" w:space="0" w:color="auto"/>
                <w:right w:val="none" w:sz="0" w:space="0" w:color="auto"/>
              </w:divBdr>
            </w:div>
            <w:div w:id="197833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997">
      <w:bodyDiv w:val="1"/>
      <w:marLeft w:val="0"/>
      <w:marRight w:val="0"/>
      <w:marTop w:val="0"/>
      <w:marBottom w:val="0"/>
      <w:divBdr>
        <w:top w:val="none" w:sz="0" w:space="0" w:color="auto"/>
        <w:left w:val="none" w:sz="0" w:space="0" w:color="auto"/>
        <w:bottom w:val="none" w:sz="0" w:space="0" w:color="auto"/>
        <w:right w:val="none" w:sz="0" w:space="0" w:color="auto"/>
      </w:divBdr>
      <w:divsChild>
        <w:div w:id="1997685751">
          <w:marLeft w:val="0"/>
          <w:marRight w:val="0"/>
          <w:marTop w:val="0"/>
          <w:marBottom w:val="0"/>
          <w:divBdr>
            <w:top w:val="none" w:sz="0" w:space="0" w:color="auto"/>
            <w:left w:val="none" w:sz="0" w:space="0" w:color="auto"/>
            <w:bottom w:val="none" w:sz="0" w:space="0" w:color="auto"/>
            <w:right w:val="none" w:sz="0" w:space="0" w:color="auto"/>
          </w:divBdr>
        </w:div>
      </w:divsChild>
    </w:div>
    <w:div w:id="1799447473">
      <w:bodyDiv w:val="1"/>
      <w:marLeft w:val="0"/>
      <w:marRight w:val="0"/>
      <w:marTop w:val="0"/>
      <w:marBottom w:val="0"/>
      <w:divBdr>
        <w:top w:val="none" w:sz="0" w:space="0" w:color="auto"/>
        <w:left w:val="none" w:sz="0" w:space="0" w:color="auto"/>
        <w:bottom w:val="none" w:sz="0" w:space="0" w:color="auto"/>
        <w:right w:val="none" w:sz="0" w:space="0" w:color="auto"/>
      </w:divBdr>
      <w:divsChild>
        <w:div w:id="251548694">
          <w:marLeft w:val="0"/>
          <w:marRight w:val="0"/>
          <w:marTop w:val="0"/>
          <w:marBottom w:val="0"/>
          <w:divBdr>
            <w:top w:val="none" w:sz="0" w:space="0" w:color="auto"/>
            <w:left w:val="none" w:sz="0" w:space="0" w:color="auto"/>
            <w:bottom w:val="none" w:sz="0" w:space="0" w:color="auto"/>
            <w:right w:val="none" w:sz="0" w:space="0" w:color="auto"/>
          </w:divBdr>
          <w:divsChild>
            <w:div w:id="14533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6920">
      <w:bodyDiv w:val="1"/>
      <w:marLeft w:val="0"/>
      <w:marRight w:val="0"/>
      <w:marTop w:val="0"/>
      <w:marBottom w:val="0"/>
      <w:divBdr>
        <w:top w:val="none" w:sz="0" w:space="0" w:color="auto"/>
        <w:left w:val="none" w:sz="0" w:space="0" w:color="auto"/>
        <w:bottom w:val="none" w:sz="0" w:space="0" w:color="auto"/>
        <w:right w:val="none" w:sz="0" w:space="0" w:color="auto"/>
      </w:divBdr>
      <w:divsChild>
        <w:div w:id="1888254574">
          <w:marLeft w:val="0"/>
          <w:marRight w:val="0"/>
          <w:marTop w:val="0"/>
          <w:marBottom w:val="0"/>
          <w:divBdr>
            <w:top w:val="none" w:sz="0" w:space="0" w:color="auto"/>
            <w:left w:val="none" w:sz="0" w:space="0" w:color="auto"/>
            <w:bottom w:val="none" w:sz="0" w:space="0" w:color="auto"/>
            <w:right w:val="none" w:sz="0" w:space="0" w:color="auto"/>
          </w:divBdr>
          <w:divsChild>
            <w:div w:id="6786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0877">
      <w:bodyDiv w:val="1"/>
      <w:marLeft w:val="0"/>
      <w:marRight w:val="0"/>
      <w:marTop w:val="0"/>
      <w:marBottom w:val="0"/>
      <w:divBdr>
        <w:top w:val="none" w:sz="0" w:space="0" w:color="auto"/>
        <w:left w:val="none" w:sz="0" w:space="0" w:color="auto"/>
        <w:bottom w:val="none" w:sz="0" w:space="0" w:color="auto"/>
        <w:right w:val="none" w:sz="0" w:space="0" w:color="auto"/>
      </w:divBdr>
      <w:divsChild>
        <w:div w:id="108013981">
          <w:marLeft w:val="0"/>
          <w:marRight w:val="0"/>
          <w:marTop w:val="0"/>
          <w:marBottom w:val="0"/>
          <w:divBdr>
            <w:top w:val="none" w:sz="0" w:space="0" w:color="auto"/>
            <w:left w:val="none" w:sz="0" w:space="0" w:color="auto"/>
            <w:bottom w:val="none" w:sz="0" w:space="0" w:color="auto"/>
            <w:right w:val="none" w:sz="0" w:space="0" w:color="auto"/>
          </w:divBdr>
          <w:divsChild>
            <w:div w:id="8441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7475">
      <w:bodyDiv w:val="1"/>
      <w:marLeft w:val="0"/>
      <w:marRight w:val="0"/>
      <w:marTop w:val="0"/>
      <w:marBottom w:val="0"/>
      <w:divBdr>
        <w:top w:val="none" w:sz="0" w:space="0" w:color="auto"/>
        <w:left w:val="none" w:sz="0" w:space="0" w:color="auto"/>
        <w:bottom w:val="none" w:sz="0" w:space="0" w:color="auto"/>
        <w:right w:val="none" w:sz="0" w:space="0" w:color="auto"/>
      </w:divBdr>
      <w:divsChild>
        <w:div w:id="939993774">
          <w:marLeft w:val="0"/>
          <w:marRight w:val="0"/>
          <w:marTop w:val="0"/>
          <w:marBottom w:val="0"/>
          <w:divBdr>
            <w:top w:val="none" w:sz="0" w:space="0" w:color="auto"/>
            <w:left w:val="none" w:sz="0" w:space="0" w:color="auto"/>
            <w:bottom w:val="none" w:sz="0" w:space="0" w:color="auto"/>
            <w:right w:val="none" w:sz="0" w:space="0" w:color="auto"/>
          </w:divBdr>
          <w:divsChild>
            <w:div w:id="1759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48017">
      <w:bodyDiv w:val="1"/>
      <w:marLeft w:val="0"/>
      <w:marRight w:val="0"/>
      <w:marTop w:val="0"/>
      <w:marBottom w:val="0"/>
      <w:divBdr>
        <w:top w:val="none" w:sz="0" w:space="0" w:color="auto"/>
        <w:left w:val="none" w:sz="0" w:space="0" w:color="auto"/>
        <w:bottom w:val="none" w:sz="0" w:space="0" w:color="auto"/>
        <w:right w:val="none" w:sz="0" w:space="0" w:color="auto"/>
      </w:divBdr>
      <w:divsChild>
        <w:div w:id="1096945308">
          <w:marLeft w:val="0"/>
          <w:marRight w:val="0"/>
          <w:marTop w:val="0"/>
          <w:marBottom w:val="0"/>
          <w:divBdr>
            <w:top w:val="none" w:sz="0" w:space="0" w:color="auto"/>
            <w:left w:val="none" w:sz="0" w:space="0" w:color="auto"/>
            <w:bottom w:val="none" w:sz="0" w:space="0" w:color="auto"/>
            <w:right w:val="none" w:sz="0" w:space="0" w:color="auto"/>
          </w:divBdr>
          <w:divsChild>
            <w:div w:id="108660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2860">
      <w:bodyDiv w:val="1"/>
      <w:marLeft w:val="0"/>
      <w:marRight w:val="0"/>
      <w:marTop w:val="0"/>
      <w:marBottom w:val="0"/>
      <w:divBdr>
        <w:top w:val="none" w:sz="0" w:space="0" w:color="auto"/>
        <w:left w:val="none" w:sz="0" w:space="0" w:color="auto"/>
        <w:bottom w:val="none" w:sz="0" w:space="0" w:color="auto"/>
        <w:right w:val="none" w:sz="0" w:space="0" w:color="auto"/>
      </w:divBdr>
      <w:divsChild>
        <w:div w:id="1097362155">
          <w:marLeft w:val="0"/>
          <w:marRight w:val="0"/>
          <w:marTop w:val="0"/>
          <w:marBottom w:val="0"/>
          <w:divBdr>
            <w:top w:val="none" w:sz="0" w:space="0" w:color="auto"/>
            <w:left w:val="none" w:sz="0" w:space="0" w:color="auto"/>
            <w:bottom w:val="none" w:sz="0" w:space="0" w:color="auto"/>
            <w:right w:val="none" w:sz="0" w:space="0" w:color="auto"/>
          </w:divBdr>
        </w:div>
      </w:divsChild>
    </w:div>
    <w:div w:id="1928420731">
      <w:bodyDiv w:val="1"/>
      <w:marLeft w:val="0"/>
      <w:marRight w:val="0"/>
      <w:marTop w:val="0"/>
      <w:marBottom w:val="0"/>
      <w:divBdr>
        <w:top w:val="none" w:sz="0" w:space="0" w:color="auto"/>
        <w:left w:val="none" w:sz="0" w:space="0" w:color="auto"/>
        <w:bottom w:val="none" w:sz="0" w:space="0" w:color="auto"/>
        <w:right w:val="none" w:sz="0" w:space="0" w:color="auto"/>
      </w:divBdr>
      <w:divsChild>
        <w:div w:id="802116443">
          <w:marLeft w:val="0"/>
          <w:marRight w:val="0"/>
          <w:marTop w:val="0"/>
          <w:marBottom w:val="0"/>
          <w:divBdr>
            <w:top w:val="none" w:sz="0" w:space="0" w:color="auto"/>
            <w:left w:val="none" w:sz="0" w:space="0" w:color="auto"/>
            <w:bottom w:val="none" w:sz="0" w:space="0" w:color="auto"/>
            <w:right w:val="none" w:sz="0" w:space="0" w:color="auto"/>
          </w:divBdr>
          <w:divsChild>
            <w:div w:id="47850921">
              <w:marLeft w:val="0"/>
              <w:marRight w:val="0"/>
              <w:marTop w:val="0"/>
              <w:marBottom w:val="0"/>
              <w:divBdr>
                <w:top w:val="none" w:sz="0" w:space="0" w:color="auto"/>
                <w:left w:val="none" w:sz="0" w:space="0" w:color="auto"/>
                <w:bottom w:val="none" w:sz="0" w:space="0" w:color="auto"/>
                <w:right w:val="none" w:sz="0" w:space="0" w:color="auto"/>
              </w:divBdr>
            </w:div>
            <w:div w:id="282688346">
              <w:marLeft w:val="0"/>
              <w:marRight w:val="0"/>
              <w:marTop w:val="0"/>
              <w:marBottom w:val="0"/>
              <w:divBdr>
                <w:top w:val="none" w:sz="0" w:space="0" w:color="auto"/>
                <w:left w:val="none" w:sz="0" w:space="0" w:color="auto"/>
                <w:bottom w:val="none" w:sz="0" w:space="0" w:color="auto"/>
                <w:right w:val="none" w:sz="0" w:space="0" w:color="auto"/>
              </w:divBdr>
            </w:div>
            <w:div w:id="307365276">
              <w:marLeft w:val="0"/>
              <w:marRight w:val="0"/>
              <w:marTop w:val="0"/>
              <w:marBottom w:val="0"/>
              <w:divBdr>
                <w:top w:val="none" w:sz="0" w:space="0" w:color="auto"/>
                <w:left w:val="none" w:sz="0" w:space="0" w:color="auto"/>
                <w:bottom w:val="none" w:sz="0" w:space="0" w:color="auto"/>
                <w:right w:val="none" w:sz="0" w:space="0" w:color="auto"/>
              </w:divBdr>
            </w:div>
            <w:div w:id="349649273">
              <w:marLeft w:val="0"/>
              <w:marRight w:val="0"/>
              <w:marTop w:val="0"/>
              <w:marBottom w:val="0"/>
              <w:divBdr>
                <w:top w:val="none" w:sz="0" w:space="0" w:color="auto"/>
                <w:left w:val="none" w:sz="0" w:space="0" w:color="auto"/>
                <w:bottom w:val="none" w:sz="0" w:space="0" w:color="auto"/>
                <w:right w:val="none" w:sz="0" w:space="0" w:color="auto"/>
              </w:divBdr>
            </w:div>
            <w:div w:id="406735481">
              <w:marLeft w:val="0"/>
              <w:marRight w:val="0"/>
              <w:marTop w:val="0"/>
              <w:marBottom w:val="0"/>
              <w:divBdr>
                <w:top w:val="none" w:sz="0" w:space="0" w:color="auto"/>
                <w:left w:val="none" w:sz="0" w:space="0" w:color="auto"/>
                <w:bottom w:val="none" w:sz="0" w:space="0" w:color="auto"/>
                <w:right w:val="none" w:sz="0" w:space="0" w:color="auto"/>
              </w:divBdr>
            </w:div>
            <w:div w:id="507645724">
              <w:marLeft w:val="0"/>
              <w:marRight w:val="0"/>
              <w:marTop w:val="0"/>
              <w:marBottom w:val="0"/>
              <w:divBdr>
                <w:top w:val="none" w:sz="0" w:space="0" w:color="auto"/>
                <w:left w:val="none" w:sz="0" w:space="0" w:color="auto"/>
                <w:bottom w:val="none" w:sz="0" w:space="0" w:color="auto"/>
                <w:right w:val="none" w:sz="0" w:space="0" w:color="auto"/>
              </w:divBdr>
            </w:div>
            <w:div w:id="632905837">
              <w:marLeft w:val="0"/>
              <w:marRight w:val="0"/>
              <w:marTop w:val="0"/>
              <w:marBottom w:val="0"/>
              <w:divBdr>
                <w:top w:val="none" w:sz="0" w:space="0" w:color="auto"/>
                <w:left w:val="none" w:sz="0" w:space="0" w:color="auto"/>
                <w:bottom w:val="none" w:sz="0" w:space="0" w:color="auto"/>
                <w:right w:val="none" w:sz="0" w:space="0" w:color="auto"/>
              </w:divBdr>
            </w:div>
            <w:div w:id="671761123">
              <w:marLeft w:val="0"/>
              <w:marRight w:val="0"/>
              <w:marTop w:val="0"/>
              <w:marBottom w:val="0"/>
              <w:divBdr>
                <w:top w:val="none" w:sz="0" w:space="0" w:color="auto"/>
                <w:left w:val="none" w:sz="0" w:space="0" w:color="auto"/>
                <w:bottom w:val="none" w:sz="0" w:space="0" w:color="auto"/>
                <w:right w:val="none" w:sz="0" w:space="0" w:color="auto"/>
              </w:divBdr>
            </w:div>
            <w:div w:id="939532665">
              <w:marLeft w:val="0"/>
              <w:marRight w:val="0"/>
              <w:marTop w:val="0"/>
              <w:marBottom w:val="0"/>
              <w:divBdr>
                <w:top w:val="none" w:sz="0" w:space="0" w:color="auto"/>
                <w:left w:val="none" w:sz="0" w:space="0" w:color="auto"/>
                <w:bottom w:val="none" w:sz="0" w:space="0" w:color="auto"/>
                <w:right w:val="none" w:sz="0" w:space="0" w:color="auto"/>
              </w:divBdr>
            </w:div>
            <w:div w:id="957490438">
              <w:marLeft w:val="0"/>
              <w:marRight w:val="0"/>
              <w:marTop w:val="0"/>
              <w:marBottom w:val="0"/>
              <w:divBdr>
                <w:top w:val="none" w:sz="0" w:space="0" w:color="auto"/>
                <w:left w:val="none" w:sz="0" w:space="0" w:color="auto"/>
                <w:bottom w:val="none" w:sz="0" w:space="0" w:color="auto"/>
                <w:right w:val="none" w:sz="0" w:space="0" w:color="auto"/>
              </w:divBdr>
            </w:div>
            <w:div w:id="1130510387">
              <w:marLeft w:val="0"/>
              <w:marRight w:val="0"/>
              <w:marTop w:val="0"/>
              <w:marBottom w:val="0"/>
              <w:divBdr>
                <w:top w:val="none" w:sz="0" w:space="0" w:color="auto"/>
                <w:left w:val="none" w:sz="0" w:space="0" w:color="auto"/>
                <w:bottom w:val="none" w:sz="0" w:space="0" w:color="auto"/>
                <w:right w:val="none" w:sz="0" w:space="0" w:color="auto"/>
              </w:divBdr>
            </w:div>
            <w:div w:id="1372455980">
              <w:marLeft w:val="0"/>
              <w:marRight w:val="0"/>
              <w:marTop w:val="0"/>
              <w:marBottom w:val="0"/>
              <w:divBdr>
                <w:top w:val="none" w:sz="0" w:space="0" w:color="auto"/>
                <w:left w:val="none" w:sz="0" w:space="0" w:color="auto"/>
                <w:bottom w:val="none" w:sz="0" w:space="0" w:color="auto"/>
                <w:right w:val="none" w:sz="0" w:space="0" w:color="auto"/>
              </w:divBdr>
            </w:div>
            <w:div w:id="1530878676">
              <w:marLeft w:val="0"/>
              <w:marRight w:val="0"/>
              <w:marTop w:val="0"/>
              <w:marBottom w:val="0"/>
              <w:divBdr>
                <w:top w:val="none" w:sz="0" w:space="0" w:color="auto"/>
                <w:left w:val="none" w:sz="0" w:space="0" w:color="auto"/>
                <w:bottom w:val="none" w:sz="0" w:space="0" w:color="auto"/>
                <w:right w:val="none" w:sz="0" w:space="0" w:color="auto"/>
              </w:divBdr>
            </w:div>
            <w:div w:id="1640306964">
              <w:marLeft w:val="0"/>
              <w:marRight w:val="0"/>
              <w:marTop w:val="0"/>
              <w:marBottom w:val="0"/>
              <w:divBdr>
                <w:top w:val="none" w:sz="0" w:space="0" w:color="auto"/>
                <w:left w:val="none" w:sz="0" w:space="0" w:color="auto"/>
                <w:bottom w:val="none" w:sz="0" w:space="0" w:color="auto"/>
                <w:right w:val="none" w:sz="0" w:space="0" w:color="auto"/>
              </w:divBdr>
            </w:div>
            <w:div w:id="1674647810">
              <w:marLeft w:val="0"/>
              <w:marRight w:val="0"/>
              <w:marTop w:val="0"/>
              <w:marBottom w:val="0"/>
              <w:divBdr>
                <w:top w:val="none" w:sz="0" w:space="0" w:color="auto"/>
                <w:left w:val="none" w:sz="0" w:space="0" w:color="auto"/>
                <w:bottom w:val="none" w:sz="0" w:space="0" w:color="auto"/>
                <w:right w:val="none" w:sz="0" w:space="0" w:color="auto"/>
              </w:divBdr>
            </w:div>
            <w:div w:id="1702705474">
              <w:marLeft w:val="0"/>
              <w:marRight w:val="0"/>
              <w:marTop w:val="0"/>
              <w:marBottom w:val="0"/>
              <w:divBdr>
                <w:top w:val="none" w:sz="0" w:space="0" w:color="auto"/>
                <w:left w:val="none" w:sz="0" w:space="0" w:color="auto"/>
                <w:bottom w:val="none" w:sz="0" w:space="0" w:color="auto"/>
                <w:right w:val="none" w:sz="0" w:space="0" w:color="auto"/>
              </w:divBdr>
            </w:div>
            <w:div w:id="18705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1356">
      <w:bodyDiv w:val="1"/>
      <w:marLeft w:val="0"/>
      <w:marRight w:val="0"/>
      <w:marTop w:val="0"/>
      <w:marBottom w:val="0"/>
      <w:divBdr>
        <w:top w:val="none" w:sz="0" w:space="0" w:color="auto"/>
        <w:left w:val="none" w:sz="0" w:space="0" w:color="auto"/>
        <w:bottom w:val="none" w:sz="0" w:space="0" w:color="auto"/>
        <w:right w:val="none" w:sz="0" w:space="0" w:color="auto"/>
      </w:divBdr>
      <w:divsChild>
        <w:div w:id="99842990">
          <w:marLeft w:val="0"/>
          <w:marRight w:val="0"/>
          <w:marTop w:val="0"/>
          <w:marBottom w:val="0"/>
          <w:divBdr>
            <w:top w:val="none" w:sz="0" w:space="0" w:color="auto"/>
            <w:left w:val="none" w:sz="0" w:space="0" w:color="auto"/>
            <w:bottom w:val="none" w:sz="0" w:space="0" w:color="auto"/>
            <w:right w:val="none" w:sz="0" w:space="0" w:color="auto"/>
          </w:divBdr>
          <w:divsChild>
            <w:div w:id="313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2686">
      <w:bodyDiv w:val="1"/>
      <w:marLeft w:val="0"/>
      <w:marRight w:val="0"/>
      <w:marTop w:val="0"/>
      <w:marBottom w:val="0"/>
      <w:divBdr>
        <w:top w:val="none" w:sz="0" w:space="0" w:color="auto"/>
        <w:left w:val="none" w:sz="0" w:space="0" w:color="auto"/>
        <w:bottom w:val="none" w:sz="0" w:space="0" w:color="auto"/>
        <w:right w:val="none" w:sz="0" w:space="0" w:color="auto"/>
      </w:divBdr>
      <w:divsChild>
        <w:div w:id="489256778">
          <w:marLeft w:val="0"/>
          <w:marRight w:val="0"/>
          <w:marTop w:val="0"/>
          <w:marBottom w:val="0"/>
          <w:divBdr>
            <w:top w:val="none" w:sz="0" w:space="0" w:color="auto"/>
            <w:left w:val="none" w:sz="0" w:space="0" w:color="auto"/>
            <w:bottom w:val="none" w:sz="0" w:space="0" w:color="auto"/>
            <w:right w:val="none" w:sz="0" w:space="0" w:color="auto"/>
          </w:divBdr>
        </w:div>
      </w:divsChild>
    </w:div>
    <w:div w:id="1935094594">
      <w:bodyDiv w:val="1"/>
      <w:marLeft w:val="0"/>
      <w:marRight w:val="0"/>
      <w:marTop w:val="0"/>
      <w:marBottom w:val="0"/>
      <w:divBdr>
        <w:top w:val="none" w:sz="0" w:space="0" w:color="auto"/>
        <w:left w:val="none" w:sz="0" w:space="0" w:color="auto"/>
        <w:bottom w:val="none" w:sz="0" w:space="0" w:color="auto"/>
        <w:right w:val="none" w:sz="0" w:space="0" w:color="auto"/>
      </w:divBdr>
    </w:div>
    <w:div w:id="1936669980">
      <w:bodyDiv w:val="1"/>
      <w:marLeft w:val="0"/>
      <w:marRight w:val="0"/>
      <w:marTop w:val="0"/>
      <w:marBottom w:val="0"/>
      <w:divBdr>
        <w:top w:val="none" w:sz="0" w:space="0" w:color="auto"/>
        <w:left w:val="none" w:sz="0" w:space="0" w:color="auto"/>
        <w:bottom w:val="none" w:sz="0" w:space="0" w:color="auto"/>
        <w:right w:val="none" w:sz="0" w:space="0" w:color="auto"/>
      </w:divBdr>
      <w:divsChild>
        <w:div w:id="1818103568">
          <w:marLeft w:val="0"/>
          <w:marRight w:val="0"/>
          <w:marTop w:val="0"/>
          <w:marBottom w:val="0"/>
          <w:divBdr>
            <w:top w:val="none" w:sz="0" w:space="0" w:color="auto"/>
            <w:left w:val="none" w:sz="0" w:space="0" w:color="auto"/>
            <w:bottom w:val="none" w:sz="0" w:space="0" w:color="auto"/>
            <w:right w:val="none" w:sz="0" w:space="0" w:color="auto"/>
          </w:divBdr>
          <w:divsChild>
            <w:div w:id="14629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99585">
      <w:bodyDiv w:val="1"/>
      <w:marLeft w:val="0"/>
      <w:marRight w:val="0"/>
      <w:marTop w:val="0"/>
      <w:marBottom w:val="0"/>
      <w:divBdr>
        <w:top w:val="none" w:sz="0" w:space="0" w:color="auto"/>
        <w:left w:val="none" w:sz="0" w:space="0" w:color="auto"/>
        <w:bottom w:val="none" w:sz="0" w:space="0" w:color="auto"/>
        <w:right w:val="none" w:sz="0" w:space="0" w:color="auto"/>
      </w:divBdr>
      <w:divsChild>
        <w:div w:id="1943222943">
          <w:marLeft w:val="0"/>
          <w:marRight w:val="0"/>
          <w:marTop w:val="0"/>
          <w:marBottom w:val="0"/>
          <w:divBdr>
            <w:top w:val="none" w:sz="0" w:space="0" w:color="auto"/>
            <w:left w:val="none" w:sz="0" w:space="0" w:color="auto"/>
            <w:bottom w:val="none" w:sz="0" w:space="0" w:color="auto"/>
            <w:right w:val="none" w:sz="0" w:space="0" w:color="auto"/>
          </w:divBdr>
        </w:div>
      </w:divsChild>
    </w:div>
    <w:div w:id="1956524525">
      <w:bodyDiv w:val="1"/>
      <w:marLeft w:val="0"/>
      <w:marRight w:val="0"/>
      <w:marTop w:val="0"/>
      <w:marBottom w:val="0"/>
      <w:divBdr>
        <w:top w:val="none" w:sz="0" w:space="0" w:color="auto"/>
        <w:left w:val="none" w:sz="0" w:space="0" w:color="auto"/>
        <w:bottom w:val="none" w:sz="0" w:space="0" w:color="auto"/>
        <w:right w:val="none" w:sz="0" w:space="0" w:color="auto"/>
      </w:divBdr>
      <w:divsChild>
        <w:div w:id="1234659612">
          <w:marLeft w:val="0"/>
          <w:marRight w:val="0"/>
          <w:marTop w:val="0"/>
          <w:marBottom w:val="0"/>
          <w:divBdr>
            <w:top w:val="none" w:sz="0" w:space="0" w:color="auto"/>
            <w:left w:val="none" w:sz="0" w:space="0" w:color="auto"/>
            <w:bottom w:val="none" w:sz="0" w:space="0" w:color="auto"/>
            <w:right w:val="none" w:sz="0" w:space="0" w:color="auto"/>
          </w:divBdr>
          <w:divsChild>
            <w:div w:id="16258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5198">
      <w:bodyDiv w:val="1"/>
      <w:marLeft w:val="0"/>
      <w:marRight w:val="0"/>
      <w:marTop w:val="0"/>
      <w:marBottom w:val="0"/>
      <w:divBdr>
        <w:top w:val="none" w:sz="0" w:space="0" w:color="auto"/>
        <w:left w:val="none" w:sz="0" w:space="0" w:color="auto"/>
        <w:bottom w:val="none" w:sz="0" w:space="0" w:color="auto"/>
        <w:right w:val="none" w:sz="0" w:space="0" w:color="auto"/>
      </w:divBdr>
    </w:div>
    <w:div w:id="2006543115">
      <w:bodyDiv w:val="1"/>
      <w:marLeft w:val="0"/>
      <w:marRight w:val="0"/>
      <w:marTop w:val="0"/>
      <w:marBottom w:val="0"/>
      <w:divBdr>
        <w:top w:val="none" w:sz="0" w:space="0" w:color="auto"/>
        <w:left w:val="none" w:sz="0" w:space="0" w:color="auto"/>
        <w:bottom w:val="none" w:sz="0" w:space="0" w:color="auto"/>
        <w:right w:val="none" w:sz="0" w:space="0" w:color="auto"/>
      </w:divBdr>
      <w:divsChild>
        <w:div w:id="1935941063">
          <w:marLeft w:val="0"/>
          <w:marRight w:val="0"/>
          <w:marTop w:val="0"/>
          <w:marBottom w:val="0"/>
          <w:divBdr>
            <w:top w:val="none" w:sz="0" w:space="0" w:color="auto"/>
            <w:left w:val="none" w:sz="0" w:space="0" w:color="auto"/>
            <w:bottom w:val="none" w:sz="0" w:space="0" w:color="auto"/>
            <w:right w:val="none" w:sz="0" w:space="0" w:color="auto"/>
          </w:divBdr>
          <w:divsChild>
            <w:div w:id="129617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73499">
      <w:bodyDiv w:val="1"/>
      <w:marLeft w:val="0"/>
      <w:marRight w:val="0"/>
      <w:marTop w:val="0"/>
      <w:marBottom w:val="0"/>
      <w:divBdr>
        <w:top w:val="none" w:sz="0" w:space="0" w:color="auto"/>
        <w:left w:val="none" w:sz="0" w:space="0" w:color="auto"/>
        <w:bottom w:val="none" w:sz="0" w:space="0" w:color="auto"/>
        <w:right w:val="none" w:sz="0" w:space="0" w:color="auto"/>
      </w:divBdr>
      <w:divsChild>
        <w:div w:id="319623759">
          <w:marLeft w:val="0"/>
          <w:marRight w:val="0"/>
          <w:marTop w:val="0"/>
          <w:marBottom w:val="0"/>
          <w:divBdr>
            <w:top w:val="none" w:sz="0" w:space="0" w:color="auto"/>
            <w:left w:val="none" w:sz="0" w:space="0" w:color="auto"/>
            <w:bottom w:val="none" w:sz="0" w:space="0" w:color="auto"/>
            <w:right w:val="none" w:sz="0" w:space="0" w:color="auto"/>
          </w:divBdr>
          <w:divsChild>
            <w:div w:id="648174096">
              <w:marLeft w:val="0"/>
              <w:marRight w:val="0"/>
              <w:marTop w:val="0"/>
              <w:marBottom w:val="0"/>
              <w:divBdr>
                <w:top w:val="none" w:sz="0" w:space="0" w:color="auto"/>
                <w:left w:val="none" w:sz="0" w:space="0" w:color="auto"/>
                <w:bottom w:val="none" w:sz="0" w:space="0" w:color="auto"/>
                <w:right w:val="none" w:sz="0" w:space="0" w:color="auto"/>
              </w:divBdr>
            </w:div>
            <w:div w:id="1088775039">
              <w:marLeft w:val="0"/>
              <w:marRight w:val="0"/>
              <w:marTop w:val="0"/>
              <w:marBottom w:val="0"/>
              <w:divBdr>
                <w:top w:val="none" w:sz="0" w:space="0" w:color="auto"/>
                <w:left w:val="none" w:sz="0" w:space="0" w:color="auto"/>
                <w:bottom w:val="none" w:sz="0" w:space="0" w:color="auto"/>
                <w:right w:val="none" w:sz="0" w:space="0" w:color="auto"/>
              </w:divBdr>
            </w:div>
            <w:div w:id="122009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00104">
      <w:bodyDiv w:val="1"/>
      <w:marLeft w:val="0"/>
      <w:marRight w:val="0"/>
      <w:marTop w:val="0"/>
      <w:marBottom w:val="0"/>
      <w:divBdr>
        <w:top w:val="none" w:sz="0" w:space="0" w:color="auto"/>
        <w:left w:val="none" w:sz="0" w:space="0" w:color="auto"/>
        <w:bottom w:val="none" w:sz="0" w:space="0" w:color="auto"/>
        <w:right w:val="none" w:sz="0" w:space="0" w:color="auto"/>
      </w:divBdr>
      <w:divsChild>
        <w:div w:id="945230966">
          <w:marLeft w:val="0"/>
          <w:marRight w:val="0"/>
          <w:marTop w:val="0"/>
          <w:marBottom w:val="0"/>
          <w:divBdr>
            <w:top w:val="none" w:sz="0" w:space="0" w:color="auto"/>
            <w:left w:val="none" w:sz="0" w:space="0" w:color="auto"/>
            <w:bottom w:val="none" w:sz="0" w:space="0" w:color="auto"/>
            <w:right w:val="none" w:sz="0" w:space="0" w:color="auto"/>
          </w:divBdr>
          <w:divsChild>
            <w:div w:id="742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Bank" TargetMode="External"/><Relationship Id="rId117" Type="http://schemas.microsoft.com/office/2007/relationships/diagramDrawing" Target="diagrams/drawing1.xml"/><Relationship Id="rId21" Type="http://schemas.openxmlformats.org/officeDocument/2006/relationships/hyperlink" Target="http://en.wikipedia.org/wiki/Interest" TargetMode="External"/><Relationship Id="rId42" Type="http://schemas.openxmlformats.org/officeDocument/2006/relationships/hyperlink" Target="http://www.businessdictionary.com/definition/location.html" TargetMode="External"/><Relationship Id="rId47" Type="http://schemas.openxmlformats.org/officeDocument/2006/relationships/hyperlink" Target="http://en.wikipedia.org/wiki/Investment" TargetMode="External"/><Relationship Id="rId63" Type="http://schemas.openxmlformats.org/officeDocument/2006/relationships/image" Target="media/image12.emf"/><Relationship Id="rId68" Type="http://schemas.openxmlformats.org/officeDocument/2006/relationships/hyperlink" Target="http://www.riskglossary.com/articles/valuation.htm" TargetMode="External"/><Relationship Id="rId84" Type="http://schemas.openxmlformats.org/officeDocument/2006/relationships/image" Target="media/image17.png"/><Relationship Id="rId89" Type="http://schemas.openxmlformats.org/officeDocument/2006/relationships/hyperlink" Target="http://en.wikipedia.org/wiki/Company_%28law%29" TargetMode="External"/><Relationship Id="rId112" Type="http://schemas.openxmlformats.org/officeDocument/2006/relationships/oleObject" Target="embeddings/oleObject6.bin"/><Relationship Id="rId133"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image" Target="media/image25.jpeg"/><Relationship Id="rId11" Type="http://schemas.openxmlformats.org/officeDocument/2006/relationships/hyperlink" Target="http://www.cognizant.com" TargetMode="External"/><Relationship Id="rId32" Type="http://schemas.openxmlformats.org/officeDocument/2006/relationships/hyperlink" Target="http://en.wikipedia.org/wiki/Tranches" TargetMode="External"/><Relationship Id="rId37" Type="http://schemas.openxmlformats.org/officeDocument/2006/relationships/image" Target="media/image7.wmf"/><Relationship Id="rId53" Type="http://schemas.openxmlformats.org/officeDocument/2006/relationships/hyperlink" Target="http://en.wikipedia.org/wiki/Equity" TargetMode="External"/><Relationship Id="rId58" Type="http://schemas.openxmlformats.org/officeDocument/2006/relationships/hyperlink" Target="http://en.wikipedia.org/wiki/Venture_capital" TargetMode="External"/><Relationship Id="rId74" Type="http://schemas.openxmlformats.org/officeDocument/2006/relationships/image" Target="media/image15.png"/><Relationship Id="rId79" Type="http://schemas.openxmlformats.org/officeDocument/2006/relationships/hyperlink" Target="http://www.riskglossary.com/articles/var_measure.htm" TargetMode="External"/><Relationship Id="rId102" Type="http://schemas.openxmlformats.org/officeDocument/2006/relationships/hyperlink" Target="http://www.investorwords.com/2189/going_concern.html" TargetMode="External"/><Relationship Id="rId123" Type="http://schemas.openxmlformats.org/officeDocument/2006/relationships/image" Target="media/image32.jpeg"/><Relationship Id="rId128" Type="http://schemas.openxmlformats.org/officeDocument/2006/relationships/oleObject" Target="embeddings/oleObject7.bin"/><Relationship Id="rId5" Type="http://schemas.openxmlformats.org/officeDocument/2006/relationships/styles" Target="styles.xml"/><Relationship Id="rId90" Type="http://schemas.openxmlformats.org/officeDocument/2006/relationships/hyperlink" Target="http://en.wikipedia.org/wiki/Customer_Identification_Program" TargetMode="External"/><Relationship Id="rId95" Type="http://schemas.openxmlformats.org/officeDocument/2006/relationships/image" Target="media/image20.emf"/><Relationship Id="rId14" Type="http://schemas.openxmlformats.org/officeDocument/2006/relationships/hyperlink" Target="http://en.wikipedia.org/wiki/Asset" TargetMode="External"/><Relationship Id="rId22" Type="http://schemas.openxmlformats.org/officeDocument/2006/relationships/hyperlink" Target="http://en.wikipedia.org/wiki/Accrued_interest" TargetMode="External"/><Relationship Id="rId27" Type="http://schemas.openxmlformats.org/officeDocument/2006/relationships/hyperlink" Target="http://en.wikipedia.org/wiki/Savings_and_loan_association" TargetMode="External"/><Relationship Id="rId30" Type="http://schemas.openxmlformats.org/officeDocument/2006/relationships/hyperlink" Target="http://en.wikipedia.org/wiki/Asset-backed_security" TargetMode="External"/><Relationship Id="rId35" Type="http://schemas.openxmlformats.org/officeDocument/2006/relationships/hyperlink" Target="http://en.wikipedia.org/wiki/Default_risk" TargetMode="External"/><Relationship Id="rId43" Type="http://schemas.openxmlformats.org/officeDocument/2006/relationships/header" Target="header1.xml"/><Relationship Id="rId48" Type="http://schemas.openxmlformats.org/officeDocument/2006/relationships/hyperlink" Target="http://en.wikipedia.org/wiki/Financial_services" TargetMode="External"/><Relationship Id="rId56" Type="http://schemas.openxmlformats.org/officeDocument/2006/relationships/hyperlink" Target="http://en.wikipedia.org/wiki/Leveraged_buyout" TargetMode="External"/><Relationship Id="rId64" Type="http://schemas.openxmlformats.org/officeDocument/2006/relationships/hyperlink" Target="http://www.riskglossary.com/articles/risk_metric_and_risk_measure.htm" TargetMode="External"/><Relationship Id="rId69" Type="http://schemas.openxmlformats.org/officeDocument/2006/relationships/hyperlink" Target="http://www.riskglossary.com/articles/risk.htm" TargetMode="External"/><Relationship Id="rId77" Type="http://schemas.openxmlformats.org/officeDocument/2006/relationships/hyperlink" Target="http://www.riskglossary.com/articles/return.htm" TargetMode="External"/><Relationship Id="rId100" Type="http://schemas.openxmlformats.org/officeDocument/2006/relationships/hyperlink" Target="http://www.investorwords.com/2816/limited_liability.html" TargetMode="External"/><Relationship Id="rId105" Type="http://schemas.openxmlformats.org/officeDocument/2006/relationships/image" Target="media/image24.emf"/><Relationship Id="rId113" Type="http://schemas.openxmlformats.org/officeDocument/2006/relationships/diagramData" Target="diagrams/data1.xml"/><Relationship Id="rId118" Type="http://schemas.openxmlformats.org/officeDocument/2006/relationships/image" Target="media/image28.emf"/><Relationship Id="rId126" Type="http://schemas.openxmlformats.org/officeDocument/2006/relationships/image" Target="media/image35.jpeg"/><Relationship Id="rId13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en.wikipedia.org/wiki/Wealth_management" TargetMode="External"/><Relationship Id="rId72" Type="http://schemas.openxmlformats.org/officeDocument/2006/relationships/hyperlink" Target="http://www.riskglossary.com/articles/currency_codes.htm" TargetMode="External"/><Relationship Id="rId80" Type="http://schemas.openxmlformats.org/officeDocument/2006/relationships/hyperlink" Target="http://www.riskglossary.com/articles/var_metric.htm" TargetMode="External"/><Relationship Id="rId85" Type="http://schemas.openxmlformats.org/officeDocument/2006/relationships/image" Target="media/image18.emf"/><Relationship Id="rId93" Type="http://schemas.openxmlformats.org/officeDocument/2006/relationships/image" Target="media/image19.png"/><Relationship Id="rId98" Type="http://schemas.openxmlformats.org/officeDocument/2006/relationships/image" Target="media/image22.emf"/><Relationship Id="rId121" Type="http://schemas.openxmlformats.org/officeDocument/2006/relationships/image" Target="media/image30.emf"/><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4.emf"/><Relationship Id="rId25" Type="http://schemas.openxmlformats.org/officeDocument/2006/relationships/hyperlink" Target="http://en.wikipedia.org/wiki/Time_deposit" TargetMode="External"/><Relationship Id="rId33" Type="http://schemas.openxmlformats.org/officeDocument/2006/relationships/hyperlink" Target="http://en.wikipedia.org/wiki/Credit_rating" TargetMode="External"/><Relationship Id="rId38" Type="http://schemas.openxmlformats.org/officeDocument/2006/relationships/oleObject" Target="embeddings/oleObject2.bin"/><Relationship Id="rId46" Type="http://schemas.openxmlformats.org/officeDocument/2006/relationships/hyperlink" Target="http://en.wikipedia.org/wiki/Bank" TargetMode="External"/><Relationship Id="rId59" Type="http://schemas.openxmlformats.org/officeDocument/2006/relationships/hyperlink" Target="http://en.wikipedia.org/wiki/Venture_Capital" TargetMode="External"/><Relationship Id="rId67" Type="http://schemas.openxmlformats.org/officeDocument/2006/relationships/hyperlink" Target="http://www.riskglossary.com/articles/risk_metric_and_risk_measure.htm" TargetMode="External"/><Relationship Id="rId103" Type="http://schemas.openxmlformats.org/officeDocument/2006/relationships/hyperlink" Target="http://www.investorwords.com/1707/endowment.html" TargetMode="External"/><Relationship Id="rId108" Type="http://schemas.openxmlformats.org/officeDocument/2006/relationships/hyperlink" Target="http://www.northerntrust.com/pws/jsp/display2.jsp?XML=pages/nt/0403/49511540_528.xml&amp;TYPE=interior" TargetMode="External"/><Relationship Id="rId116" Type="http://schemas.openxmlformats.org/officeDocument/2006/relationships/diagramColors" Target="diagrams/colors1.xml"/><Relationship Id="rId124" Type="http://schemas.openxmlformats.org/officeDocument/2006/relationships/image" Target="media/image33.emf"/><Relationship Id="rId129" Type="http://schemas.openxmlformats.org/officeDocument/2006/relationships/hyperlink" Target="http://www.bobsguide.com/" TargetMode="External"/><Relationship Id="rId20" Type="http://schemas.openxmlformats.org/officeDocument/2006/relationships/hyperlink" Target="http://en.wikipedia.org/wiki/Bond_%28finance%29" TargetMode="External"/><Relationship Id="rId41" Type="http://schemas.openxmlformats.org/officeDocument/2006/relationships/hyperlink" Target="http://www.businessdictionary.com/definition/fund.html" TargetMode="External"/><Relationship Id="rId54" Type="http://schemas.openxmlformats.org/officeDocument/2006/relationships/hyperlink" Target="http://en.wikipedia.org/wiki/Publicly_traded" TargetMode="External"/><Relationship Id="rId62" Type="http://schemas.openxmlformats.org/officeDocument/2006/relationships/image" Target="media/image11.emf"/><Relationship Id="rId70" Type="http://schemas.openxmlformats.org/officeDocument/2006/relationships/image" Target="media/image13.png"/><Relationship Id="rId75" Type="http://schemas.openxmlformats.org/officeDocument/2006/relationships/image" Target="media/image16.png"/><Relationship Id="rId83" Type="http://schemas.openxmlformats.org/officeDocument/2006/relationships/hyperlink" Target="http://www.riskglossary.com/articles/currency_codes.htm" TargetMode="External"/><Relationship Id="rId88" Type="http://schemas.openxmlformats.org/officeDocument/2006/relationships/hyperlink" Target="http://en.wikipedia.org/wiki/Financial_institutions" TargetMode="External"/><Relationship Id="rId91" Type="http://schemas.openxmlformats.org/officeDocument/2006/relationships/hyperlink" Target="http://en.wikipedia.org/wiki/Bank_Secrecy_Act" TargetMode="External"/><Relationship Id="rId96" Type="http://schemas.openxmlformats.org/officeDocument/2006/relationships/oleObject" Target="embeddings/oleObject3.bin"/><Relationship Id="rId111" Type="http://schemas.openxmlformats.org/officeDocument/2006/relationships/image" Target="media/image27.emf"/><Relationship Id="rId132" Type="http://schemas.openxmlformats.org/officeDocument/2006/relationships/hyperlink" Target="http://www.investmentuk.org"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en.wikipedia.org/wiki/Portfolio_%28finance%29" TargetMode="External"/><Relationship Id="rId23" Type="http://schemas.openxmlformats.org/officeDocument/2006/relationships/hyperlink" Target="http://en.wikipedia.org/wiki/Dirty_price" TargetMode="External"/><Relationship Id="rId28" Type="http://schemas.openxmlformats.org/officeDocument/2006/relationships/hyperlink" Target="http://en.wikipedia.org/wiki/Credit_union" TargetMode="External"/><Relationship Id="rId36" Type="http://schemas.openxmlformats.org/officeDocument/2006/relationships/image" Target="media/image6.png"/><Relationship Id="rId49" Type="http://schemas.openxmlformats.org/officeDocument/2006/relationships/hyperlink" Target="http://en.wikipedia.org/wiki/Retail_banking" TargetMode="External"/><Relationship Id="rId57" Type="http://schemas.openxmlformats.org/officeDocument/2006/relationships/hyperlink" Target="http://en.wikipedia.org/wiki/Leveraged_buyout" TargetMode="External"/><Relationship Id="rId106" Type="http://schemas.openxmlformats.org/officeDocument/2006/relationships/oleObject" Target="embeddings/oleObject4.bin"/><Relationship Id="rId114" Type="http://schemas.openxmlformats.org/officeDocument/2006/relationships/diagramLayout" Target="diagrams/layout1.xml"/><Relationship Id="rId119" Type="http://schemas.openxmlformats.org/officeDocument/2006/relationships/hyperlink" Target="http://www.ici.org" TargetMode="External"/><Relationship Id="rId127" Type="http://schemas.openxmlformats.org/officeDocument/2006/relationships/image" Target="media/image36.emf"/><Relationship Id="rId10" Type="http://schemas.openxmlformats.org/officeDocument/2006/relationships/image" Target="media/image1.png"/><Relationship Id="rId31" Type="http://schemas.openxmlformats.org/officeDocument/2006/relationships/hyperlink" Target="http://en.wikipedia.org/wiki/Structured_finance" TargetMode="External"/><Relationship Id="rId44" Type="http://schemas.openxmlformats.org/officeDocument/2006/relationships/footer" Target="footer1.xml"/><Relationship Id="rId52" Type="http://schemas.openxmlformats.org/officeDocument/2006/relationships/hyperlink" Target="http://en.wikipedia.org/wiki/Asset_class" TargetMode="External"/><Relationship Id="rId60" Type="http://schemas.openxmlformats.org/officeDocument/2006/relationships/hyperlink" Target="http://en.wikipedia.org/wiki/Start-up_companies" TargetMode="External"/><Relationship Id="rId65" Type="http://schemas.openxmlformats.org/officeDocument/2006/relationships/hyperlink" Target="http://www.riskglossary.com/articles/market_risk.htm" TargetMode="External"/><Relationship Id="rId73" Type="http://schemas.openxmlformats.org/officeDocument/2006/relationships/hyperlink" Target="http://www.riskglossary.com/articles/mm.htm" TargetMode="External"/><Relationship Id="rId78" Type="http://schemas.openxmlformats.org/officeDocument/2006/relationships/hyperlink" Target="http://www.riskglossary.com/articles/liquidity.htm" TargetMode="External"/><Relationship Id="rId81" Type="http://schemas.openxmlformats.org/officeDocument/2006/relationships/hyperlink" Target="http://www.riskglossary.com/articles/currency_codes.htm" TargetMode="External"/><Relationship Id="rId86" Type="http://schemas.openxmlformats.org/officeDocument/2006/relationships/hyperlink" Target="http://en.wikipedia.org/wiki/Due_diligence" TargetMode="External"/><Relationship Id="rId94" Type="http://schemas.openxmlformats.org/officeDocument/2006/relationships/image" Target="cid:image001.png@01C9B3A2.9CEAB0B0" TargetMode="External"/><Relationship Id="rId99" Type="http://schemas.openxmlformats.org/officeDocument/2006/relationships/image" Target="media/image23.png"/><Relationship Id="rId101" Type="http://schemas.openxmlformats.org/officeDocument/2006/relationships/hyperlink" Target="http://www.investorwords.com/4725/stock.html" TargetMode="External"/><Relationship Id="rId122" Type="http://schemas.openxmlformats.org/officeDocument/2006/relationships/image" Target="media/image31.jpeg"/><Relationship Id="rId130" Type="http://schemas.openxmlformats.org/officeDocument/2006/relationships/hyperlink" Target="http://www.investmentmanagement.com"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en.wikipedia.org/wiki/Rate_of_return" TargetMode="External"/><Relationship Id="rId18" Type="http://schemas.openxmlformats.org/officeDocument/2006/relationships/oleObject" Target="embeddings/oleObject1.bin"/><Relationship Id="rId39" Type="http://schemas.openxmlformats.org/officeDocument/2006/relationships/hyperlink" Target="http://www.businessdictionary.com/definition/access.html" TargetMode="External"/><Relationship Id="rId109" Type="http://schemas.openxmlformats.org/officeDocument/2006/relationships/image" Target="media/image26.emf"/><Relationship Id="rId34" Type="http://schemas.openxmlformats.org/officeDocument/2006/relationships/hyperlink" Target="http://en.wikipedia.org/wiki/Coupon_%28bond%29" TargetMode="External"/><Relationship Id="rId50" Type="http://schemas.openxmlformats.org/officeDocument/2006/relationships/hyperlink" Target="http://en.wikipedia.org/wiki/High_net_worth_individual" TargetMode="External"/><Relationship Id="rId55" Type="http://schemas.openxmlformats.org/officeDocument/2006/relationships/hyperlink" Target="http://en.wikipedia.org/wiki/Stock_exchange" TargetMode="External"/><Relationship Id="rId76" Type="http://schemas.openxmlformats.org/officeDocument/2006/relationships/hyperlink" Target="http://www.riskglossary.com/articles/standard_deviation.htm" TargetMode="External"/><Relationship Id="rId97" Type="http://schemas.openxmlformats.org/officeDocument/2006/relationships/image" Target="media/image21.emf"/><Relationship Id="rId104" Type="http://schemas.openxmlformats.org/officeDocument/2006/relationships/hyperlink" Target="http://www.investorwords.com/2501/institution.html" TargetMode="External"/><Relationship Id="rId120" Type="http://schemas.openxmlformats.org/officeDocument/2006/relationships/image" Target="media/image29.jpeg"/><Relationship Id="rId125" Type="http://schemas.openxmlformats.org/officeDocument/2006/relationships/image" Target="media/image34.png"/><Relationship Id="rId7" Type="http://schemas.openxmlformats.org/officeDocument/2006/relationships/webSettings" Target="webSettings.xml"/><Relationship Id="rId71" Type="http://schemas.openxmlformats.org/officeDocument/2006/relationships/image" Target="media/image14.png"/><Relationship Id="rId92" Type="http://schemas.openxmlformats.org/officeDocument/2006/relationships/hyperlink" Target="http://en.wikipedia.org/wiki/USA_PATRIOT_Act" TargetMode="External"/><Relationship Id="rId2" Type="http://schemas.openxmlformats.org/officeDocument/2006/relationships/customXml" Target="../customXml/item2.xml"/><Relationship Id="rId29" Type="http://schemas.openxmlformats.org/officeDocument/2006/relationships/image" Target="media/image5.emf"/><Relationship Id="rId24" Type="http://schemas.openxmlformats.org/officeDocument/2006/relationships/hyperlink" Target="http://en.wikipedia.org/wiki/Accrued_interest" TargetMode="External"/><Relationship Id="rId40" Type="http://schemas.openxmlformats.org/officeDocument/2006/relationships/hyperlink" Target="http://www.investorwords.com/3173/mutual_fund.html" TargetMode="External"/><Relationship Id="rId45" Type="http://schemas.openxmlformats.org/officeDocument/2006/relationships/header" Target="header2.xml"/><Relationship Id="rId66" Type="http://schemas.openxmlformats.org/officeDocument/2006/relationships/hyperlink" Target="http://www.riskglossary.com/articles/volatility.htm" TargetMode="External"/><Relationship Id="rId87" Type="http://schemas.openxmlformats.org/officeDocument/2006/relationships/hyperlink" Target="http://en.wikipedia.org/wiki/Bank_regulation" TargetMode="External"/><Relationship Id="rId110" Type="http://schemas.openxmlformats.org/officeDocument/2006/relationships/oleObject" Target="embeddings/oleObject5.bin"/><Relationship Id="rId115" Type="http://schemas.openxmlformats.org/officeDocument/2006/relationships/diagramQuickStyle" Target="diagrams/quickStyle1.xml"/><Relationship Id="rId131" Type="http://schemas.openxmlformats.org/officeDocument/2006/relationships/hyperlink" Target="http://www.managedfunds.org" TargetMode="External"/><Relationship Id="rId61" Type="http://schemas.openxmlformats.org/officeDocument/2006/relationships/hyperlink" Target="http://en.wikipedia.org/wiki/Growth_capital" TargetMode="External"/><Relationship Id="rId82" Type="http://schemas.openxmlformats.org/officeDocument/2006/relationships/hyperlink" Target="http://www.riskglossary.com/articles/var_metric.htm" TargetMode="External"/><Relationship Id="rId19" Type="http://schemas.openxmlformats.org/officeDocument/2006/relationships/hyperlink" Target="http://en.wikipedia.org/wiki/Pric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notes.xml.rels><?xml version="1.0" encoding="UTF-8" standalone="yes"?>
<Relationships xmlns="http://schemas.openxmlformats.org/package/2006/relationships"><Relationship Id="rId1" Type="http://schemas.openxmlformats.org/officeDocument/2006/relationships/hyperlink" Target="http://www.moneychim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wm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0B9202D-C416-4EBF-9817-60E92293D471}" type="doc">
      <dgm:prSet loTypeId="urn:microsoft.com/office/officeart/2005/8/layout/orgChart1" loCatId="hierarchy" qsTypeId="urn:microsoft.com/office/officeart/2005/8/quickstyle/simple1" qsCatId="simple" csTypeId="urn:microsoft.com/office/officeart/2005/8/colors/accent1_2" csCatId="accent1"/>
      <dgm:spPr/>
    </dgm:pt>
    <dgm:pt modelId="{235EAFED-985D-4714-B7F3-05823E2FD8E2}">
      <dgm:prSet/>
      <dgm:spPr/>
      <dgm:t>
        <a:bodyPr/>
        <a:lstStyle/>
        <a:p>
          <a:pPr marR="0" algn="ctr" rtl="0"/>
          <a:r>
            <a:rPr lang="en-US" b="1" baseline="0" smtClean="0">
              <a:latin typeface="Verdana"/>
            </a:rPr>
            <a:t>Sponsor</a:t>
          </a:r>
          <a:endParaRPr lang="en-US" smtClean="0"/>
        </a:p>
      </dgm:t>
    </dgm:pt>
    <dgm:pt modelId="{357B1047-369B-4ED9-84F9-57A45B06CF96}" type="parTrans" cxnId="{EE762B56-C13A-4F90-9A63-F077598E3D98}">
      <dgm:prSet/>
      <dgm:spPr/>
      <dgm:t>
        <a:bodyPr/>
        <a:lstStyle/>
        <a:p>
          <a:endParaRPr lang="en-US"/>
        </a:p>
      </dgm:t>
    </dgm:pt>
    <dgm:pt modelId="{928668E9-AD83-46B3-93FE-AC92ACF7CE95}" type="sibTrans" cxnId="{EE762B56-C13A-4F90-9A63-F077598E3D98}">
      <dgm:prSet/>
      <dgm:spPr/>
      <dgm:t>
        <a:bodyPr/>
        <a:lstStyle/>
        <a:p>
          <a:endParaRPr lang="en-US"/>
        </a:p>
      </dgm:t>
    </dgm:pt>
    <dgm:pt modelId="{07297FDC-B739-4B9B-9C80-AF14200E2CDA}">
      <dgm:prSet/>
      <dgm:spPr/>
      <dgm:t>
        <a:bodyPr/>
        <a:lstStyle/>
        <a:p>
          <a:pPr marR="0" algn="ctr" rtl="0"/>
          <a:r>
            <a:rPr lang="en-US" b="1" baseline="0" smtClean="0">
              <a:latin typeface="Verdana"/>
            </a:rPr>
            <a:t>Board of Trustees</a:t>
          </a:r>
          <a:endParaRPr lang="en-US" smtClean="0"/>
        </a:p>
      </dgm:t>
    </dgm:pt>
    <dgm:pt modelId="{4B72835E-868B-47E9-9D7B-22701F0373EB}" type="parTrans" cxnId="{387B077D-165D-4934-8649-C811769302AB}">
      <dgm:prSet/>
      <dgm:spPr/>
      <dgm:t>
        <a:bodyPr/>
        <a:lstStyle/>
        <a:p>
          <a:endParaRPr lang="en-US"/>
        </a:p>
      </dgm:t>
    </dgm:pt>
    <dgm:pt modelId="{3296776D-3DFC-46E6-94B8-9AE626761003}" type="sibTrans" cxnId="{387B077D-165D-4934-8649-C811769302AB}">
      <dgm:prSet/>
      <dgm:spPr/>
      <dgm:t>
        <a:bodyPr/>
        <a:lstStyle/>
        <a:p>
          <a:endParaRPr lang="en-US"/>
        </a:p>
      </dgm:t>
    </dgm:pt>
    <dgm:pt modelId="{1C0D6E31-444D-48D9-9B19-4D2887A89D5C}">
      <dgm:prSet/>
      <dgm:spPr/>
      <dgm:t>
        <a:bodyPr/>
        <a:lstStyle/>
        <a:p>
          <a:pPr marR="0" algn="ctr" rtl="0"/>
          <a:r>
            <a:rPr lang="en-US" b="1" baseline="0" smtClean="0">
              <a:latin typeface="Verdana"/>
            </a:rPr>
            <a:t>Asset Management Company</a:t>
          </a:r>
          <a:endParaRPr lang="en-US" smtClean="0"/>
        </a:p>
      </dgm:t>
    </dgm:pt>
    <dgm:pt modelId="{BF9B37F0-69AF-48D4-AA1C-4DC89E1061F3}" type="parTrans" cxnId="{F578DA79-D361-4508-A5EC-07B199B0C81A}">
      <dgm:prSet/>
      <dgm:spPr/>
      <dgm:t>
        <a:bodyPr/>
        <a:lstStyle/>
        <a:p>
          <a:endParaRPr lang="en-US"/>
        </a:p>
      </dgm:t>
    </dgm:pt>
    <dgm:pt modelId="{1E964A7B-AC6A-47EA-B282-E0F227AF0B7A}" type="sibTrans" cxnId="{F578DA79-D361-4508-A5EC-07B199B0C81A}">
      <dgm:prSet/>
      <dgm:spPr/>
      <dgm:t>
        <a:bodyPr/>
        <a:lstStyle/>
        <a:p>
          <a:endParaRPr lang="en-US"/>
        </a:p>
      </dgm:t>
    </dgm:pt>
    <dgm:pt modelId="{BCE60424-364C-40EE-BB6C-83C40DB0BDE6}">
      <dgm:prSet/>
      <dgm:spPr/>
      <dgm:t>
        <a:bodyPr/>
        <a:lstStyle/>
        <a:p>
          <a:pPr marR="0" algn="ctr" rtl="0"/>
          <a:r>
            <a:rPr lang="en-US" b="1" baseline="0" smtClean="0">
              <a:latin typeface="Verdana"/>
            </a:rPr>
            <a:t>Support Service</a:t>
          </a:r>
          <a:endParaRPr lang="en-US" smtClean="0"/>
        </a:p>
      </dgm:t>
    </dgm:pt>
    <dgm:pt modelId="{61E629E6-F285-467A-9157-386FF142CF2C}" type="parTrans" cxnId="{6C11B67A-2D7B-47F0-889C-5C9AFA4CF55D}">
      <dgm:prSet/>
      <dgm:spPr/>
      <dgm:t>
        <a:bodyPr/>
        <a:lstStyle/>
        <a:p>
          <a:endParaRPr lang="en-US"/>
        </a:p>
      </dgm:t>
    </dgm:pt>
    <dgm:pt modelId="{5C977FCA-876C-4170-9AA0-0E1DC9711546}" type="sibTrans" cxnId="{6C11B67A-2D7B-47F0-889C-5C9AFA4CF55D}">
      <dgm:prSet/>
      <dgm:spPr/>
      <dgm:t>
        <a:bodyPr/>
        <a:lstStyle/>
        <a:p>
          <a:endParaRPr lang="en-US"/>
        </a:p>
      </dgm:t>
    </dgm:pt>
    <dgm:pt modelId="{3E2DC089-3B67-4034-874B-C7AACDAFC3C7}">
      <dgm:prSet/>
      <dgm:spPr/>
      <dgm:t>
        <a:bodyPr/>
        <a:lstStyle/>
        <a:p>
          <a:pPr marR="0" algn="ctr" rtl="0"/>
          <a:r>
            <a:rPr lang="en-US" b="1" baseline="0" smtClean="0">
              <a:latin typeface="Verdana"/>
            </a:rPr>
            <a:t>Research and Development</a:t>
          </a:r>
          <a:endParaRPr lang="en-US" smtClean="0"/>
        </a:p>
      </dgm:t>
    </dgm:pt>
    <dgm:pt modelId="{044E80B3-3BFA-4AAB-BA8D-32CAA75589DE}" type="parTrans" cxnId="{E2B49941-1CD5-4BA7-A3FC-40E27C627076}">
      <dgm:prSet/>
      <dgm:spPr/>
      <dgm:t>
        <a:bodyPr/>
        <a:lstStyle/>
        <a:p>
          <a:endParaRPr lang="en-US"/>
        </a:p>
      </dgm:t>
    </dgm:pt>
    <dgm:pt modelId="{0A6CE2D0-4FA9-42BA-8A2B-54AAE2894FD1}" type="sibTrans" cxnId="{E2B49941-1CD5-4BA7-A3FC-40E27C627076}">
      <dgm:prSet/>
      <dgm:spPr/>
      <dgm:t>
        <a:bodyPr/>
        <a:lstStyle/>
        <a:p>
          <a:endParaRPr lang="en-US"/>
        </a:p>
      </dgm:t>
    </dgm:pt>
    <dgm:pt modelId="{A391C8BB-5DEF-4C6F-8065-8F658278EF72}">
      <dgm:prSet/>
      <dgm:spPr/>
      <dgm:t>
        <a:bodyPr/>
        <a:lstStyle/>
        <a:p>
          <a:pPr marR="0" algn="ctr" rtl="0"/>
          <a:r>
            <a:rPr lang="en-US" b="1" baseline="0" smtClean="0">
              <a:latin typeface="Verdana"/>
            </a:rPr>
            <a:t>Sales and marketing</a:t>
          </a:r>
          <a:endParaRPr lang="en-US" smtClean="0"/>
        </a:p>
      </dgm:t>
    </dgm:pt>
    <dgm:pt modelId="{E2646423-0274-408E-B18C-60FE76F65547}" type="parTrans" cxnId="{D2207B28-E55C-431E-9BEC-DE6B841FAA40}">
      <dgm:prSet/>
      <dgm:spPr/>
      <dgm:t>
        <a:bodyPr/>
        <a:lstStyle/>
        <a:p>
          <a:endParaRPr lang="en-US"/>
        </a:p>
      </dgm:t>
    </dgm:pt>
    <dgm:pt modelId="{511D320D-47CC-41FF-B99D-8B68210EFCD4}" type="sibTrans" cxnId="{D2207B28-E55C-431E-9BEC-DE6B841FAA40}">
      <dgm:prSet/>
      <dgm:spPr/>
      <dgm:t>
        <a:bodyPr/>
        <a:lstStyle/>
        <a:p>
          <a:endParaRPr lang="en-US"/>
        </a:p>
      </dgm:t>
    </dgm:pt>
    <dgm:pt modelId="{4BCFE3A4-86DF-4A55-837B-079E7FCAB5AA}">
      <dgm:prSet/>
      <dgm:spPr/>
      <dgm:t>
        <a:bodyPr/>
        <a:lstStyle/>
        <a:p>
          <a:pPr marR="0" algn="ctr" rtl="0"/>
          <a:r>
            <a:rPr lang="en-US" b="1" baseline="0" smtClean="0">
              <a:latin typeface="Verdana"/>
            </a:rPr>
            <a:t>Compliance and Reporting</a:t>
          </a:r>
          <a:endParaRPr lang="en-US" smtClean="0"/>
        </a:p>
      </dgm:t>
    </dgm:pt>
    <dgm:pt modelId="{7C519AA5-629E-4021-9FF8-3922E536E06C}" type="parTrans" cxnId="{21118B2E-C7B6-4561-B62F-8248CE6117E0}">
      <dgm:prSet/>
      <dgm:spPr/>
      <dgm:t>
        <a:bodyPr/>
        <a:lstStyle/>
        <a:p>
          <a:endParaRPr lang="en-US"/>
        </a:p>
      </dgm:t>
    </dgm:pt>
    <dgm:pt modelId="{CF81D497-CE82-4401-9048-C3BBB63C8776}" type="sibTrans" cxnId="{21118B2E-C7B6-4561-B62F-8248CE6117E0}">
      <dgm:prSet/>
      <dgm:spPr/>
      <dgm:t>
        <a:bodyPr/>
        <a:lstStyle/>
        <a:p>
          <a:endParaRPr lang="en-US"/>
        </a:p>
      </dgm:t>
    </dgm:pt>
    <dgm:pt modelId="{93079C0C-1EE6-461D-B92D-F9E956197529}">
      <dgm:prSet/>
      <dgm:spPr/>
      <dgm:t>
        <a:bodyPr/>
        <a:lstStyle/>
        <a:p>
          <a:pPr marR="0" algn="ctr" rtl="0"/>
          <a:r>
            <a:rPr lang="en-US" b="1" baseline="0" smtClean="0">
              <a:latin typeface="Verdana"/>
            </a:rPr>
            <a:t>Operations</a:t>
          </a:r>
          <a:endParaRPr lang="en-US" smtClean="0"/>
        </a:p>
      </dgm:t>
    </dgm:pt>
    <dgm:pt modelId="{23E3499F-88BC-4F27-B9F7-12C5B2D41870}" type="parTrans" cxnId="{62FAC57E-1F28-4BB9-BF56-0C943335D50E}">
      <dgm:prSet/>
      <dgm:spPr/>
      <dgm:t>
        <a:bodyPr/>
        <a:lstStyle/>
        <a:p>
          <a:endParaRPr lang="en-US"/>
        </a:p>
      </dgm:t>
    </dgm:pt>
    <dgm:pt modelId="{42E1F519-0007-4D74-93F5-D8AAB283E591}" type="sibTrans" cxnId="{62FAC57E-1F28-4BB9-BF56-0C943335D50E}">
      <dgm:prSet/>
      <dgm:spPr/>
      <dgm:t>
        <a:bodyPr/>
        <a:lstStyle/>
        <a:p>
          <a:endParaRPr lang="en-US"/>
        </a:p>
      </dgm:t>
    </dgm:pt>
    <dgm:pt modelId="{EA817847-B661-4F07-95CB-C52F0B229852}">
      <dgm:prSet/>
      <dgm:spPr/>
      <dgm:t>
        <a:bodyPr/>
        <a:lstStyle/>
        <a:p>
          <a:pPr marR="0" algn="ctr" rtl="0"/>
          <a:r>
            <a:rPr lang="en-US" b="1" baseline="0" smtClean="0">
              <a:latin typeface="Verdana"/>
            </a:rPr>
            <a:t>Finance and Accounting</a:t>
          </a:r>
          <a:endParaRPr lang="en-US" smtClean="0"/>
        </a:p>
      </dgm:t>
    </dgm:pt>
    <dgm:pt modelId="{C66F301F-F8FC-4708-9E1F-A534D768AF3B}" type="parTrans" cxnId="{25C5BCC1-4207-4BF8-ADAD-60051E9734C8}">
      <dgm:prSet/>
      <dgm:spPr/>
      <dgm:t>
        <a:bodyPr/>
        <a:lstStyle/>
        <a:p>
          <a:endParaRPr lang="en-US"/>
        </a:p>
      </dgm:t>
    </dgm:pt>
    <dgm:pt modelId="{5C6F6293-770C-4F03-87D0-E59721E17FA6}" type="sibTrans" cxnId="{25C5BCC1-4207-4BF8-ADAD-60051E9734C8}">
      <dgm:prSet/>
      <dgm:spPr/>
      <dgm:t>
        <a:bodyPr/>
        <a:lstStyle/>
        <a:p>
          <a:endParaRPr lang="en-US"/>
        </a:p>
      </dgm:t>
    </dgm:pt>
    <dgm:pt modelId="{3B5C6AC8-34D7-464E-A692-27A0ABC2E046}" type="pres">
      <dgm:prSet presAssocID="{20B9202D-C416-4EBF-9817-60E92293D471}" presName="hierChild1" presStyleCnt="0">
        <dgm:presLayoutVars>
          <dgm:orgChart val="1"/>
          <dgm:chPref val="1"/>
          <dgm:dir/>
          <dgm:animOne val="branch"/>
          <dgm:animLvl val="lvl"/>
          <dgm:resizeHandles/>
        </dgm:presLayoutVars>
      </dgm:prSet>
      <dgm:spPr/>
    </dgm:pt>
    <dgm:pt modelId="{5593A95E-DB5A-45C6-A133-D4CFAABFB061}" type="pres">
      <dgm:prSet presAssocID="{235EAFED-985D-4714-B7F3-05823E2FD8E2}" presName="hierRoot1" presStyleCnt="0">
        <dgm:presLayoutVars>
          <dgm:hierBranch/>
        </dgm:presLayoutVars>
      </dgm:prSet>
      <dgm:spPr/>
    </dgm:pt>
    <dgm:pt modelId="{3279A182-6055-48B7-A9C5-08173F12796B}" type="pres">
      <dgm:prSet presAssocID="{235EAFED-985D-4714-B7F3-05823E2FD8E2}" presName="rootComposite1" presStyleCnt="0"/>
      <dgm:spPr/>
    </dgm:pt>
    <dgm:pt modelId="{09B39CF5-B990-4184-8024-005200E5603B}" type="pres">
      <dgm:prSet presAssocID="{235EAFED-985D-4714-B7F3-05823E2FD8E2}" presName="rootText1" presStyleLbl="node0" presStyleIdx="0" presStyleCnt="1">
        <dgm:presLayoutVars>
          <dgm:chPref val="3"/>
        </dgm:presLayoutVars>
      </dgm:prSet>
      <dgm:spPr/>
      <dgm:t>
        <a:bodyPr/>
        <a:lstStyle/>
        <a:p>
          <a:endParaRPr lang="en-US"/>
        </a:p>
      </dgm:t>
    </dgm:pt>
    <dgm:pt modelId="{0E4A61C0-AB37-4FF0-A3D1-1B8B1329846C}" type="pres">
      <dgm:prSet presAssocID="{235EAFED-985D-4714-B7F3-05823E2FD8E2}" presName="rootConnector1" presStyleLbl="node1" presStyleIdx="0" presStyleCnt="0"/>
      <dgm:spPr/>
      <dgm:t>
        <a:bodyPr/>
        <a:lstStyle/>
        <a:p>
          <a:endParaRPr lang="en-US"/>
        </a:p>
      </dgm:t>
    </dgm:pt>
    <dgm:pt modelId="{5714008F-0696-42A8-8213-C086BECBDE69}" type="pres">
      <dgm:prSet presAssocID="{235EAFED-985D-4714-B7F3-05823E2FD8E2}" presName="hierChild2" presStyleCnt="0"/>
      <dgm:spPr/>
    </dgm:pt>
    <dgm:pt modelId="{3F21D1BF-713E-47D6-B37E-AECB35333840}" type="pres">
      <dgm:prSet presAssocID="{4B72835E-868B-47E9-9D7B-22701F0373EB}" presName="Name35" presStyleLbl="parChTrans1D2" presStyleIdx="0" presStyleCnt="1"/>
      <dgm:spPr/>
      <dgm:t>
        <a:bodyPr/>
        <a:lstStyle/>
        <a:p>
          <a:endParaRPr lang="en-US"/>
        </a:p>
      </dgm:t>
    </dgm:pt>
    <dgm:pt modelId="{82FF9884-D43B-43E9-B335-DC87E3FD9C88}" type="pres">
      <dgm:prSet presAssocID="{07297FDC-B739-4B9B-9C80-AF14200E2CDA}" presName="hierRoot2" presStyleCnt="0">
        <dgm:presLayoutVars>
          <dgm:hierBranch/>
        </dgm:presLayoutVars>
      </dgm:prSet>
      <dgm:spPr/>
    </dgm:pt>
    <dgm:pt modelId="{49876166-DBD9-47F6-8B7F-BE88A532DD3A}" type="pres">
      <dgm:prSet presAssocID="{07297FDC-B739-4B9B-9C80-AF14200E2CDA}" presName="rootComposite" presStyleCnt="0"/>
      <dgm:spPr/>
    </dgm:pt>
    <dgm:pt modelId="{E3C48360-DE05-4F2D-B665-C11A200AF77E}" type="pres">
      <dgm:prSet presAssocID="{07297FDC-B739-4B9B-9C80-AF14200E2CDA}" presName="rootText" presStyleLbl="node2" presStyleIdx="0" presStyleCnt="1">
        <dgm:presLayoutVars>
          <dgm:chPref val="3"/>
        </dgm:presLayoutVars>
      </dgm:prSet>
      <dgm:spPr/>
      <dgm:t>
        <a:bodyPr/>
        <a:lstStyle/>
        <a:p>
          <a:endParaRPr lang="en-US"/>
        </a:p>
      </dgm:t>
    </dgm:pt>
    <dgm:pt modelId="{C7C5EC60-09DC-4287-906B-3CDF2E2275F0}" type="pres">
      <dgm:prSet presAssocID="{07297FDC-B739-4B9B-9C80-AF14200E2CDA}" presName="rootConnector" presStyleLbl="node2" presStyleIdx="0" presStyleCnt="1"/>
      <dgm:spPr/>
      <dgm:t>
        <a:bodyPr/>
        <a:lstStyle/>
        <a:p>
          <a:endParaRPr lang="en-US"/>
        </a:p>
      </dgm:t>
    </dgm:pt>
    <dgm:pt modelId="{FC51F943-FA79-4A85-8836-7068BBE25681}" type="pres">
      <dgm:prSet presAssocID="{07297FDC-B739-4B9B-9C80-AF14200E2CDA}" presName="hierChild4" presStyleCnt="0"/>
      <dgm:spPr/>
    </dgm:pt>
    <dgm:pt modelId="{BB08708E-33F5-4BDB-B810-6E8117335458}" type="pres">
      <dgm:prSet presAssocID="{BF9B37F0-69AF-48D4-AA1C-4DC89E1061F3}" presName="Name35" presStyleLbl="parChTrans1D3" presStyleIdx="0" presStyleCnt="1"/>
      <dgm:spPr/>
      <dgm:t>
        <a:bodyPr/>
        <a:lstStyle/>
        <a:p>
          <a:endParaRPr lang="en-US"/>
        </a:p>
      </dgm:t>
    </dgm:pt>
    <dgm:pt modelId="{B022AE0F-FF38-44D2-81D7-FBE021766B8B}" type="pres">
      <dgm:prSet presAssocID="{1C0D6E31-444D-48D9-9B19-4D2887A89D5C}" presName="hierRoot2" presStyleCnt="0">
        <dgm:presLayoutVars>
          <dgm:hierBranch val="hang"/>
        </dgm:presLayoutVars>
      </dgm:prSet>
      <dgm:spPr/>
    </dgm:pt>
    <dgm:pt modelId="{03660D39-9710-4396-80B0-A4B28D0E9656}" type="pres">
      <dgm:prSet presAssocID="{1C0D6E31-444D-48D9-9B19-4D2887A89D5C}" presName="rootComposite" presStyleCnt="0"/>
      <dgm:spPr/>
    </dgm:pt>
    <dgm:pt modelId="{BC13D466-1BA7-419B-A450-6ADECDC2B96C}" type="pres">
      <dgm:prSet presAssocID="{1C0D6E31-444D-48D9-9B19-4D2887A89D5C}" presName="rootText" presStyleLbl="node3" presStyleIdx="0" presStyleCnt="1">
        <dgm:presLayoutVars>
          <dgm:chPref val="3"/>
        </dgm:presLayoutVars>
      </dgm:prSet>
      <dgm:spPr/>
      <dgm:t>
        <a:bodyPr/>
        <a:lstStyle/>
        <a:p>
          <a:endParaRPr lang="en-US"/>
        </a:p>
      </dgm:t>
    </dgm:pt>
    <dgm:pt modelId="{66E9A61E-C864-4C91-8E6E-5A4F03600A91}" type="pres">
      <dgm:prSet presAssocID="{1C0D6E31-444D-48D9-9B19-4D2887A89D5C}" presName="rootConnector" presStyleLbl="node3" presStyleIdx="0" presStyleCnt="1"/>
      <dgm:spPr/>
      <dgm:t>
        <a:bodyPr/>
        <a:lstStyle/>
        <a:p>
          <a:endParaRPr lang="en-US"/>
        </a:p>
      </dgm:t>
    </dgm:pt>
    <dgm:pt modelId="{78B2F5CD-CD35-4E7B-AF18-118B36331DD5}" type="pres">
      <dgm:prSet presAssocID="{1C0D6E31-444D-48D9-9B19-4D2887A89D5C}" presName="hierChild4" presStyleCnt="0"/>
      <dgm:spPr/>
    </dgm:pt>
    <dgm:pt modelId="{379D1E9D-1613-46D2-B861-5CABD53A3D74}" type="pres">
      <dgm:prSet presAssocID="{61E629E6-F285-467A-9157-386FF142CF2C}" presName="Name48" presStyleLbl="parChTrans1D4" presStyleIdx="0" presStyleCnt="6"/>
      <dgm:spPr/>
      <dgm:t>
        <a:bodyPr/>
        <a:lstStyle/>
        <a:p>
          <a:endParaRPr lang="en-US"/>
        </a:p>
      </dgm:t>
    </dgm:pt>
    <dgm:pt modelId="{CECE012A-B3C4-481C-8D95-4336362FEA1B}" type="pres">
      <dgm:prSet presAssocID="{BCE60424-364C-40EE-BB6C-83C40DB0BDE6}" presName="hierRoot2" presStyleCnt="0">
        <dgm:presLayoutVars>
          <dgm:hierBranch val="r"/>
        </dgm:presLayoutVars>
      </dgm:prSet>
      <dgm:spPr/>
    </dgm:pt>
    <dgm:pt modelId="{19D6493F-29F9-4CB3-AA7A-53DCB6EFFB41}" type="pres">
      <dgm:prSet presAssocID="{BCE60424-364C-40EE-BB6C-83C40DB0BDE6}" presName="rootComposite" presStyleCnt="0"/>
      <dgm:spPr/>
    </dgm:pt>
    <dgm:pt modelId="{EDAFE317-E70A-49D9-9AD2-44FC5FD69F37}" type="pres">
      <dgm:prSet presAssocID="{BCE60424-364C-40EE-BB6C-83C40DB0BDE6}" presName="rootText" presStyleLbl="node4" presStyleIdx="0" presStyleCnt="6">
        <dgm:presLayoutVars>
          <dgm:chPref val="3"/>
        </dgm:presLayoutVars>
      </dgm:prSet>
      <dgm:spPr/>
      <dgm:t>
        <a:bodyPr/>
        <a:lstStyle/>
        <a:p>
          <a:endParaRPr lang="en-US"/>
        </a:p>
      </dgm:t>
    </dgm:pt>
    <dgm:pt modelId="{625128E4-CE01-4763-8408-B9FF3967AE08}" type="pres">
      <dgm:prSet presAssocID="{BCE60424-364C-40EE-BB6C-83C40DB0BDE6}" presName="rootConnector" presStyleLbl="node4" presStyleIdx="0" presStyleCnt="6"/>
      <dgm:spPr/>
      <dgm:t>
        <a:bodyPr/>
        <a:lstStyle/>
        <a:p>
          <a:endParaRPr lang="en-US"/>
        </a:p>
      </dgm:t>
    </dgm:pt>
    <dgm:pt modelId="{2042B1BB-3A93-439B-B30D-466DD5C8BAD9}" type="pres">
      <dgm:prSet presAssocID="{BCE60424-364C-40EE-BB6C-83C40DB0BDE6}" presName="hierChild4" presStyleCnt="0"/>
      <dgm:spPr/>
    </dgm:pt>
    <dgm:pt modelId="{88B28028-315B-47AA-A245-BFBF7FC7EA0A}" type="pres">
      <dgm:prSet presAssocID="{BCE60424-364C-40EE-BB6C-83C40DB0BDE6}" presName="hierChild5" presStyleCnt="0"/>
      <dgm:spPr/>
    </dgm:pt>
    <dgm:pt modelId="{B532CE69-97BC-44C9-881B-F51C418E0C48}" type="pres">
      <dgm:prSet presAssocID="{044E80B3-3BFA-4AAB-BA8D-32CAA75589DE}" presName="Name48" presStyleLbl="parChTrans1D4" presStyleIdx="1" presStyleCnt="6"/>
      <dgm:spPr/>
      <dgm:t>
        <a:bodyPr/>
        <a:lstStyle/>
        <a:p>
          <a:endParaRPr lang="en-US"/>
        </a:p>
      </dgm:t>
    </dgm:pt>
    <dgm:pt modelId="{053411B2-E292-4C2B-8107-E92334EC9869}" type="pres">
      <dgm:prSet presAssocID="{3E2DC089-3B67-4034-874B-C7AACDAFC3C7}" presName="hierRoot2" presStyleCnt="0">
        <dgm:presLayoutVars>
          <dgm:hierBranch val="r"/>
        </dgm:presLayoutVars>
      </dgm:prSet>
      <dgm:spPr/>
    </dgm:pt>
    <dgm:pt modelId="{C11F4EA5-815C-4B68-BC52-5593EE156728}" type="pres">
      <dgm:prSet presAssocID="{3E2DC089-3B67-4034-874B-C7AACDAFC3C7}" presName="rootComposite" presStyleCnt="0"/>
      <dgm:spPr/>
    </dgm:pt>
    <dgm:pt modelId="{827D11E8-63A2-4E73-8788-F864CA8BE917}" type="pres">
      <dgm:prSet presAssocID="{3E2DC089-3B67-4034-874B-C7AACDAFC3C7}" presName="rootText" presStyleLbl="node4" presStyleIdx="1" presStyleCnt="6">
        <dgm:presLayoutVars>
          <dgm:chPref val="3"/>
        </dgm:presLayoutVars>
      </dgm:prSet>
      <dgm:spPr/>
      <dgm:t>
        <a:bodyPr/>
        <a:lstStyle/>
        <a:p>
          <a:endParaRPr lang="en-US"/>
        </a:p>
      </dgm:t>
    </dgm:pt>
    <dgm:pt modelId="{F7570EFA-5841-4F91-A6BA-41406AF5B357}" type="pres">
      <dgm:prSet presAssocID="{3E2DC089-3B67-4034-874B-C7AACDAFC3C7}" presName="rootConnector" presStyleLbl="node4" presStyleIdx="1" presStyleCnt="6"/>
      <dgm:spPr/>
      <dgm:t>
        <a:bodyPr/>
        <a:lstStyle/>
        <a:p>
          <a:endParaRPr lang="en-US"/>
        </a:p>
      </dgm:t>
    </dgm:pt>
    <dgm:pt modelId="{9FA54BF9-AE4B-4008-87F7-F8F676983B4A}" type="pres">
      <dgm:prSet presAssocID="{3E2DC089-3B67-4034-874B-C7AACDAFC3C7}" presName="hierChild4" presStyleCnt="0"/>
      <dgm:spPr/>
    </dgm:pt>
    <dgm:pt modelId="{1240CB57-4946-4A54-BDF1-53C92CAAD30A}" type="pres">
      <dgm:prSet presAssocID="{3E2DC089-3B67-4034-874B-C7AACDAFC3C7}" presName="hierChild5" presStyleCnt="0"/>
      <dgm:spPr/>
    </dgm:pt>
    <dgm:pt modelId="{C3F1C73E-89E0-4DAC-BAFD-59BFD11EC0D9}" type="pres">
      <dgm:prSet presAssocID="{E2646423-0274-408E-B18C-60FE76F65547}" presName="Name48" presStyleLbl="parChTrans1D4" presStyleIdx="2" presStyleCnt="6"/>
      <dgm:spPr/>
      <dgm:t>
        <a:bodyPr/>
        <a:lstStyle/>
        <a:p>
          <a:endParaRPr lang="en-US"/>
        </a:p>
      </dgm:t>
    </dgm:pt>
    <dgm:pt modelId="{1F79277B-6AB6-44E5-85DB-A600176F88B4}" type="pres">
      <dgm:prSet presAssocID="{A391C8BB-5DEF-4C6F-8065-8F658278EF72}" presName="hierRoot2" presStyleCnt="0">
        <dgm:presLayoutVars>
          <dgm:hierBranch val="r"/>
        </dgm:presLayoutVars>
      </dgm:prSet>
      <dgm:spPr/>
    </dgm:pt>
    <dgm:pt modelId="{F2393948-222C-4138-8880-83E7BEB0B422}" type="pres">
      <dgm:prSet presAssocID="{A391C8BB-5DEF-4C6F-8065-8F658278EF72}" presName="rootComposite" presStyleCnt="0"/>
      <dgm:spPr/>
    </dgm:pt>
    <dgm:pt modelId="{160DFF59-3EE6-4ED4-9E42-9C262080AABB}" type="pres">
      <dgm:prSet presAssocID="{A391C8BB-5DEF-4C6F-8065-8F658278EF72}" presName="rootText" presStyleLbl="node4" presStyleIdx="2" presStyleCnt="6">
        <dgm:presLayoutVars>
          <dgm:chPref val="3"/>
        </dgm:presLayoutVars>
      </dgm:prSet>
      <dgm:spPr/>
      <dgm:t>
        <a:bodyPr/>
        <a:lstStyle/>
        <a:p>
          <a:endParaRPr lang="en-US"/>
        </a:p>
      </dgm:t>
    </dgm:pt>
    <dgm:pt modelId="{FE6F4C33-29D3-4BCB-B37C-4C7707CA6959}" type="pres">
      <dgm:prSet presAssocID="{A391C8BB-5DEF-4C6F-8065-8F658278EF72}" presName="rootConnector" presStyleLbl="node4" presStyleIdx="2" presStyleCnt="6"/>
      <dgm:spPr/>
      <dgm:t>
        <a:bodyPr/>
        <a:lstStyle/>
        <a:p>
          <a:endParaRPr lang="en-US"/>
        </a:p>
      </dgm:t>
    </dgm:pt>
    <dgm:pt modelId="{071B7030-2534-420F-8E02-1C77AA702617}" type="pres">
      <dgm:prSet presAssocID="{A391C8BB-5DEF-4C6F-8065-8F658278EF72}" presName="hierChild4" presStyleCnt="0"/>
      <dgm:spPr/>
    </dgm:pt>
    <dgm:pt modelId="{401AC986-A577-4BC2-81D4-BFBF26DEA271}" type="pres">
      <dgm:prSet presAssocID="{A391C8BB-5DEF-4C6F-8065-8F658278EF72}" presName="hierChild5" presStyleCnt="0"/>
      <dgm:spPr/>
    </dgm:pt>
    <dgm:pt modelId="{E86EC432-F126-4956-83BA-1A4835F6ACBB}" type="pres">
      <dgm:prSet presAssocID="{7C519AA5-629E-4021-9FF8-3922E536E06C}" presName="Name48" presStyleLbl="parChTrans1D4" presStyleIdx="3" presStyleCnt="6"/>
      <dgm:spPr/>
      <dgm:t>
        <a:bodyPr/>
        <a:lstStyle/>
        <a:p>
          <a:endParaRPr lang="en-US"/>
        </a:p>
      </dgm:t>
    </dgm:pt>
    <dgm:pt modelId="{11C0042E-458D-45FA-8B51-544B9B82D94C}" type="pres">
      <dgm:prSet presAssocID="{4BCFE3A4-86DF-4A55-837B-079E7FCAB5AA}" presName="hierRoot2" presStyleCnt="0">
        <dgm:presLayoutVars>
          <dgm:hierBranch val="hang"/>
        </dgm:presLayoutVars>
      </dgm:prSet>
      <dgm:spPr/>
    </dgm:pt>
    <dgm:pt modelId="{44E9F3CC-6B06-408E-9E1D-7B9EE7721E9C}" type="pres">
      <dgm:prSet presAssocID="{4BCFE3A4-86DF-4A55-837B-079E7FCAB5AA}" presName="rootComposite" presStyleCnt="0"/>
      <dgm:spPr/>
    </dgm:pt>
    <dgm:pt modelId="{1772F2C8-DF38-41F1-BBD1-7C21A5EDA1E1}" type="pres">
      <dgm:prSet presAssocID="{4BCFE3A4-86DF-4A55-837B-079E7FCAB5AA}" presName="rootText" presStyleLbl="node4" presStyleIdx="3" presStyleCnt="6">
        <dgm:presLayoutVars>
          <dgm:chPref val="3"/>
        </dgm:presLayoutVars>
      </dgm:prSet>
      <dgm:spPr/>
      <dgm:t>
        <a:bodyPr/>
        <a:lstStyle/>
        <a:p>
          <a:endParaRPr lang="en-US"/>
        </a:p>
      </dgm:t>
    </dgm:pt>
    <dgm:pt modelId="{BDFA77C4-FB3C-43EF-925F-5F17745C951B}" type="pres">
      <dgm:prSet presAssocID="{4BCFE3A4-86DF-4A55-837B-079E7FCAB5AA}" presName="rootConnector" presStyleLbl="node4" presStyleIdx="3" presStyleCnt="6"/>
      <dgm:spPr/>
      <dgm:t>
        <a:bodyPr/>
        <a:lstStyle/>
        <a:p>
          <a:endParaRPr lang="en-US"/>
        </a:p>
      </dgm:t>
    </dgm:pt>
    <dgm:pt modelId="{44E02A40-B2E5-4A26-A061-38E9B859406D}" type="pres">
      <dgm:prSet presAssocID="{4BCFE3A4-86DF-4A55-837B-079E7FCAB5AA}" presName="hierChild4" presStyleCnt="0"/>
      <dgm:spPr/>
    </dgm:pt>
    <dgm:pt modelId="{666D05F2-55A6-4D67-8CC2-9DBEB2536DCC}" type="pres">
      <dgm:prSet presAssocID="{4BCFE3A4-86DF-4A55-837B-079E7FCAB5AA}" presName="hierChild5" presStyleCnt="0"/>
      <dgm:spPr/>
    </dgm:pt>
    <dgm:pt modelId="{F4201FB9-4B69-4559-89CC-982F08F573E7}" type="pres">
      <dgm:prSet presAssocID="{23E3499F-88BC-4F27-B9F7-12C5B2D41870}" presName="Name48" presStyleLbl="parChTrans1D4" presStyleIdx="4" presStyleCnt="6"/>
      <dgm:spPr/>
      <dgm:t>
        <a:bodyPr/>
        <a:lstStyle/>
        <a:p>
          <a:endParaRPr lang="en-US"/>
        </a:p>
      </dgm:t>
    </dgm:pt>
    <dgm:pt modelId="{B86254B1-E2E0-4FCA-BE4B-ADDE9EA1B739}" type="pres">
      <dgm:prSet presAssocID="{93079C0C-1EE6-461D-B92D-F9E956197529}" presName="hierRoot2" presStyleCnt="0">
        <dgm:presLayoutVars>
          <dgm:hierBranch val="hang"/>
        </dgm:presLayoutVars>
      </dgm:prSet>
      <dgm:spPr/>
    </dgm:pt>
    <dgm:pt modelId="{2DC4EB16-467D-431C-8A35-5724AB51FF5A}" type="pres">
      <dgm:prSet presAssocID="{93079C0C-1EE6-461D-B92D-F9E956197529}" presName="rootComposite" presStyleCnt="0"/>
      <dgm:spPr/>
    </dgm:pt>
    <dgm:pt modelId="{F54D0037-1C1B-442D-8EEF-3AD50DFBF2CD}" type="pres">
      <dgm:prSet presAssocID="{93079C0C-1EE6-461D-B92D-F9E956197529}" presName="rootText" presStyleLbl="node4" presStyleIdx="4" presStyleCnt="6">
        <dgm:presLayoutVars>
          <dgm:chPref val="3"/>
        </dgm:presLayoutVars>
      </dgm:prSet>
      <dgm:spPr/>
      <dgm:t>
        <a:bodyPr/>
        <a:lstStyle/>
        <a:p>
          <a:endParaRPr lang="en-US"/>
        </a:p>
      </dgm:t>
    </dgm:pt>
    <dgm:pt modelId="{123B2B82-905D-4155-96BD-8F8519A6DDE4}" type="pres">
      <dgm:prSet presAssocID="{93079C0C-1EE6-461D-B92D-F9E956197529}" presName="rootConnector" presStyleLbl="node4" presStyleIdx="4" presStyleCnt="6"/>
      <dgm:spPr/>
      <dgm:t>
        <a:bodyPr/>
        <a:lstStyle/>
        <a:p>
          <a:endParaRPr lang="en-US"/>
        </a:p>
      </dgm:t>
    </dgm:pt>
    <dgm:pt modelId="{AFC38705-166F-426E-8A18-06E561AB134A}" type="pres">
      <dgm:prSet presAssocID="{93079C0C-1EE6-461D-B92D-F9E956197529}" presName="hierChild4" presStyleCnt="0"/>
      <dgm:spPr/>
    </dgm:pt>
    <dgm:pt modelId="{77BD212E-FDA6-4F8E-876B-B208742571A5}" type="pres">
      <dgm:prSet presAssocID="{93079C0C-1EE6-461D-B92D-F9E956197529}" presName="hierChild5" presStyleCnt="0"/>
      <dgm:spPr/>
    </dgm:pt>
    <dgm:pt modelId="{64DB4A30-C71B-4738-8543-5A19878BFB68}" type="pres">
      <dgm:prSet presAssocID="{C66F301F-F8FC-4708-9E1F-A534D768AF3B}" presName="Name48" presStyleLbl="parChTrans1D4" presStyleIdx="5" presStyleCnt="6"/>
      <dgm:spPr/>
      <dgm:t>
        <a:bodyPr/>
        <a:lstStyle/>
        <a:p>
          <a:endParaRPr lang="en-US"/>
        </a:p>
      </dgm:t>
    </dgm:pt>
    <dgm:pt modelId="{82CDDD78-55F8-478A-AAA4-43050E238C7A}" type="pres">
      <dgm:prSet presAssocID="{EA817847-B661-4F07-95CB-C52F0B229852}" presName="hierRoot2" presStyleCnt="0">
        <dgm:presLayoutVars>
          <dgm:hierBranch val="hang"/>
        </dgm:presLayoutVars>
      </dgm:prSet>
      <dgm:spPr/>
    </dgm:pt>
    <dgm:pt modelId="{8C22A6D5-191E-48D5-9B4C-88202FA711D1}" type="pres">
      <dgm:prSet presAssocID="{EA817847-B661-4F07-95CB-C52F0B229852}" presName="rootComposite" presStyleCnt="0"/>
      <dgm:spPr/>
    </dgm:pt>
    <dgm:pt modelId="{DB537EC1-436B-4E9C-8604-34E07548FA9D}" type="pres">
      <dgm:prSet presAssocID="{EA817847-B661-4F07-95CB-C52F0B229852}" presName="rootText" presStyleLbl="node4" presStyleIdx="5" presStyleCnt="6">
        <dgm:presLayoutVars>
          <dgm:chPref val="3"/>
        </dgm:presLayoutVars>
      </dgm:prSet>
      <dgm:spPr/>
      <dgm:t>
        <a:bodyPr/>
        <a:lstStyle/>
        <a:p>
          <a:endParaRPr lang="en-US"/>
        </a:p>
      </dgm:t>
    </dgm:pt>
    <dgm:pt modelId="{85164591-925D-4D6D-9E8B-C6EEEA4D8077}" type="pres">
      <dgm:prSet presAssocID="{EA817847-B661-4F07-95CB-C52F0B229852}" presName="rootConnector" presStyleLbl="node4" presStyleIdx="5" presStyleCnt="6"/>
      <dgm:spPr/>
      <dgm:t>
        <a:bodyPr/>
        <a:lstStyle/>
        <a:p>
          <a:endParaRPr lang="en-US"/>
        </a:p>
      </dgm:t>
    </dgm:pt>
    <dgm:pt modelId="{A48F6457-D557-4FCC-B5DC-E4B3F4FB2A40}" type="pres">
      <dgm:prSet presAssocID="{EA817847-B661-4F07-95CB-C52F0B229852}" presName="hierChild4" presStyleCnt="0"/>
      <dgm:spPr/>
    </dgm:pt>
    <dgm:pt modelId="{6352C364-F712-4A71-8553-618DF3113493}" type="pres">
      <dgm:prSet presAssocID="{EA817847-B661-4F07-95CB-C52F0B229852}" presName="hierChild5" presStyleCnt="0"/>
      <dgm:spPr/>
    </dgm:pt>
    <dgm:pt modelId="{4969819A-7B3D-46BA-9D11-918788E4F7CD}" type="pres">
      <dgm:prSet presAssocID="{1C0D6E31-444D-48D9-9B19-4D2887A89D5C}" presName="hierChild5" presStyleCnt="0"/>
      <dgm:spPr/>
    </dgm:pt>
    <dgm:pt modelId="{2E6E337D-E6BB-4836-BF5B-FDFFCB27B8DB}" type="pres">
      <dgm:prSet presAssocID="{07297FDC-B739-4B9B-9C80-AF14200E2CDA}" presName="hierChild5" presStyleCnt="0"/>
      <dgm:spPr/>
    </dgm:pt>
    <dgm:pt modelId="{23B62C94-C98D-4A8D-932B-391726A6091A}" type="pres">
      <dgm:prSet presAssocID="{235EAFED-985D-4714-B7F3-05823E2FD8E2}" presName="hierChild3" presStyleCnt="0"/>
      <dgm:spPr/>
    </dgm:pt>
  </dgm:ptLst>
  <dgm:cxnLst>
    <dgm:cxn modelId="{53D08B25-1E47-4495-B518-C6657C20306F}" type="presOf" srcId="{A391C8BB-5DEF-4C6F-8065-8F658278EF72}" destId="{160DFF59-3EE6-4ED4-9E42-9C262080AABB}" srcOrd="0" destOrd="0" presId="urn:microsoft.com/office/officeart/2005/8/layout/orgChart1"/>
    <dgm:cxn modelId="{63D655E2-D2A3-49A0-BD00-660069AEC4FA}" type="presOf" srcId="{23E3499F-88BC-4F27-B9F7-12C5B2D41870}" destId="{F4201FB9-4B69-4559-89CC-982F08F573E7}" srcOrd="0" destOrd="0" presId="urn:microsoft.com/office/officeart/2005/8/layout/orgChart1"/>
    <dgm:cxn modelId="{4A98745F-E794-41BA-9EFB-A7A48B31B476}" type="presOf" srcId="{BCE60424-364C-40EE-BB6C-83C40DB0BDE6}" destId="{EDAFE317-E70A-49D9-9AD2-44FC5FD69F37}" srcOrd="0" destOrd="0" presId="urn:microsoft.com/office/officeart/2005/8/layout/orgChart1"/>
    <dgm:cxn modelId="{18D0B820-552D-4E2D-A55C-AA85AD5F7D70}" type="presOf" srcId="{1C0D6E31-444D-48D9-9B19-4D2887A89D5C}" destId="{66E9A61E-C864-4C91-8E6E-5A4F03600A91}" srcOrd="1" destOrd="0" presId="urn:microsoft.com/office/officeart/2005/8/layout/orgChart1"/>
    <dgm:cxn modelId="{F4FB5105-F745-406A-9FCF-989D43F58B39}" type="presOf" srcId="{BF9B37F0-69AF-48D4-AA1C-4DC89E1061F3}" destId="{BB08708E-33F5-4BDB-B810-6E8117335458}" srcOrd="0" destOrd="0" presId="urn:microsoft.com/office/officeart/2005/8/layout/orgChart1"/>
    <dgm:cxn modelId="{EEC81622-DC71-4BDC-9431-6ECDB65012D8}" type="presOf" srcId="{20B9202D-C416-4EBF-9817-60E92293D471}" destId="{3B5C6AC8-34D7-464E-A692-27A0ABC2E046}" srcOrd="0" destOrd="0" presId="urn:microsoft.com/office/officeart/2005/8/layout/orgChart1"/>
    <dgm:cxn modelId="{600C3737-9F61-4C68-BF23-C5500CF24F87}" type="presOf" srcId="{C66F301F-F8FC-4708-9E1F-A534D768AF3B}" destId="{64DB4A30-C71B-4738-8543-5A19878BFB68}" srcOrd="0" destOrd="0" presId="urn:microsoft.com/office/officeart/2005/8/layout/orgChart1"/>
    <dgm:cxn modelId="{21118B2E-C7B6-4561-B62F-8248CE6117E0}" srcId="{1C0D6E31-444D-48D9-9B19-4D2887A89D5C}" destId="{4BCFE3A4-86DF-4A55-837B-079E7FCAB5AA}" srcOrd="3" destOrd="0" parTransId="{7C519AA5-629E-4021-9FF8-3922E536E06C}" sibTransId="{CF81D497-CE82-4401-9048-C3BBB63C8776}"/>
    <dgm:cxn modelId="{68C42A57-ADE6-4314-99F4-AC879539C0F8}" type="presOf" srcId="{93079C0C-1EE6-461D-B92D-F9E956197529}" destId="{123B2B82-905D-4155-96BD-8F8519A6DDE4}" srcOrd="1" destOrd="0" presId="urn:microsoft.com/office/officeart/2005/8/layout/orgChart1"/>
    <dgm:cxn modelId="{62FAC57E-1F28-4BB9-BF56-0C943335D50E}" srcId="{1C0D6E31-444D-48D9-9B19-4D2887A89D5C}" destId="{93079C0C-1EE6-461D-B92D-F9E956197529}" srcOrd="4" destOrd="0" parTransId="{23E3499F-88BC-4F27-B9F7-12C5B2D41870}" sibTransId="{42E1F519-0007-4D74-93F5-D8AAB283E591}"/>
    <dgm:cxn modelId="{D2CD3497-6557-4CC5-A537-F23778F8CCDF}" type="presOf" srcId="{044E80B3-3BFA-4AAB-BA8D-32CAA75589DE}" destId="{B532CE69-97BC-44C9-881B-F51C418E0C48}" srcOrd="0" destOrd="0" presId="urn:microsoft.com/office/officeart/2005/8/layout/orgChart1"/>
    <dgm:cxn modelId="{56F450AC-5E87-4466-B246-74C0372121B8}" type="presOf" srcId="{3E2DC089-3B67-4034-874B-C7AACDAFC3C7}" destId="{F7570EFA-5841-4F91-A6BA-41406AF5B357}" srcOrd="1" destOrd="0" presId="urn:microsoft.com/office/officeart/2005/8/layout/orgChart1"/>
    <dgm:cxn modelId="{D2207B28-E55C-431E-9BEC-DE6B841FAA40}" srcId="{1C0D6E31-444D-48D9-9B19-4D2887A89D5C}" destId="{A391C8BB-5DEF-4C6F-8065-8F658278EF72}" srcOrd="2" destOrd="0" parTransId="{E2646423-0274-408E-B18C-60FE76F65547}" sibTransId="{511D320D-47CC-41FF-B99D-8B68210EFCD4}"/>
    <dgm:cxn modelId="{F578DA79-D361-4508-A5EC-07B199B0C81A}" srcId="{07297FDC-B739-4B9B-9C80-AF14200E2CDA}" destId="{1C0D6E31-444D-48D9-9B19-4D2887A89D5C}" srcOrd="0" destOrd="0" parTransId="{BF9B37F0-69AF-48D4-AA1C-4DC89E1061F3}" sibTransId="{1E964A7B-AC6A-47EA-B282-E0F227AF0B7A}"/>
    <dgm:cxn modelId="{EE762B56-C13A-4F90-9A63-F077598E3D98}" srcId="{20B9202D-C416-4EBF-9817-60E92293D471}" destId="{235EAFED-985D-4714-B7F3-05823E2FD8E2}" srcOrd="0" destOrd="0" parTransId="{357B1047-369B-4ED9-84F9-57A45B06CF96}" sibTransId="{928668E9-AD83-46B3-93FE-AC92ACF7CE95}"/>
    <dgm:cxn modelId="{E2B49941-1CD5-4BA7-A3FC-40E27C627076}" srcId="{1C0D6E31-444D-48D9-9B19-4D2887A89D5C}" destId="{3E2DC089-3B67-4034-874B-C7AACDAFC3C7}" srcOrd="1" destOrd="0" parTransId="{044E80B3-3BFA-4AAB-BA8D-32CAA75589DE}" sibTransId="{0A6CE2D0-4FA9-42BA-8A2B-54AAE2894FD1}"/>
    <dgm:cxn modelId="{223D859C-CF91-4377-8E04-41ABBF0B97D0}" type="presOf" srcId="{3E2DC089-3B67-4034-874B-C7AACDAFC3C7}" destId="{827D11E8-63A2-4E73-8788-F864CA8BE917}" srcOrd="0" destOrd="0" presId="urn:microsoft.com/office/officeart/2005/8/layout/orgChart1"/>
    <dgm:cxn modelId="{C79BBC0D-5A02-4305-BFA1-E8D4BF4CCA4D}" type="presOf" srcId="{A391C8BB-5DEF-4C6F-8065-8F658278EF72}" destId="{FE6F4C33-29D3-4BCB-B37C-4C7707CA6959}" srcOrd="1" destOrd="0" presId="urn:microsoft.com/office/officeart/2005/8/layout/orgChart1"/>
    <dgm:cxn modelId="{DF22694C-E829-4DF5-BC26-596B481A252E}" type="presOf" srcId="{61E629E6-F285-467A-9157-386FF142CF2C}" destId="{379D1E9D-1613-46D2-B861-5CABD53A3D74}" srcOrd="0" destOrd="0" presId="urn:microsoft.com/office/officeart/2005/8/layout/orgChart1"/>
    <dgm:cxn modelId="{BD23B9B5-AA4F-489B-BF52-5244977B0FC0}" type="presOf" srcId="{07297FDC-B739-4B9B-9C80-AF14200E2CDA}" destId="{C7C5EC60-09DC-4287-906B-3CDF2E2275F0}" srcOrd="1" destOrd="0" presId="urn:microsoft.com/office/officeart/2005/8/layout/orgChart1"/>
    <dgm:cxn modelId="{B17DC6D5-0F58-4523-BFCE-5C62468C3803}" type="presOf" srcId="{7C519AA5-629E-4021-9FF8-3922E536E06C}" destId="{E86EC432-F126-4956-83BA-1A4835F6ACBB}" srcOrd="0" destOrd="0" presId="urn:microsoft.com/office/officeart/2005/8/layout/orgChart1"/>
    <dgm:cxn modelId="{9F3C4EB8-0B03-4830-864D-B31DF7129B1F}" type="presOf" srcId="{4BCFE3A4-86DF-4A55-837B-079E7FCAB5AA}" destId="{1772F2C8-DF38-41F1-BBD1-7C21A5EDA1E1}" srcOrd="0" destOrd="0" presId="urn:microsoft.com/office/officeart/2005/8/layout/orgChart1"/>
    <dgm:cxn modelId="{6C11B67A-2D7B-47F0-889C-5C9AFA4CF55D}" srcId="{1C0D6E31-444D-48D9-9B19-4D2887A89D5C}" destId="{BCE60424-364C-40EE-BB6C-83C40DB0BDE6}" srcOrd="0" destOrd="0" parTransId="{61E629E6-F285-467A-9157-386FF142CF2C}" sibTransId="{5C977FCA-876C-4170-9AA0-0E1DC9711546}"/>
    <dgm:cxn modelId="{95F918FF-6919-4581-A9B9-EDF9BC3064A7}" type="presOf" srcId="{4BCFE3A4-86DF-4A55-837B-079E7FCAB5AA}" destId="{BDFA77C4-FB3C-43EF-925F-5F17745C951B}" srcOrd="1" destOrd="0" presId="urn:microsoft.com/office/officeart/2005/8/layout/orgChart1"/>
    <dgm:cxn modelId="{4B1027DF-1DCD-47E1-A071-108CB88D2F67}" type="presOf" srcId="{235EAFED-985D-4714-B7F3-05823E2FD8E2}" destId="{09B39CF5-B990-4184-8024-005200E5603B}" srcOrd="0" destOrd="0" presId="urn:microsoft.com/office/officeart/2005/8/layout/orgChart1"/>
    <dgm:cxn modelId="{EEA2E32B-35BC-4A9A-915C-623ABAA0EBC3}" type="presOf" srcId="{07297FDC-B739-4B9B-9C80-AF14200E2CDA}" destId="{E3C48360-DE05-4F2D-B665-C11A200AF77E}" srcOrd="0" destOrd="0" presId="urn:microsoft.com/office/officeart/2005/8/layout/orgChart1"/>
    <dgm:cxn modelId="{F3418563-AF46-4691-BB03-656FCF247CD5}" type="presOf" srcId="{EA817847-B661-4F07-95CB-C52F0B229852}" destId="{DB537EC1-436B-4E9C-8604-34E07548FA9D}" srcOrd="0" destOrd="0" presId="urn:microsoft.com/office/officeart/2005/8/layout/orgChart1"/>
    <dgm:cxn modelId="{769A2694-A199-40DC-B01D-B4DE9616C84B}" type="presOf" srcId="{BCE60424-364C-40EE-BB6C-83C40DB0BDE6}" destId="{625128E4-CE01-4763-8408-B9FF3967AE08}" srcOrd="1" destOrd="0" presId="urn:microsoft.com/office/officeart/2005/8/layout/orgChart1"/>
    <dgm:cxn modelId="{4D242427-F24E-4BE2-A93D-82429200772A}" type="presOf" srcId="{93079C0C-1EE6-461D-B92D-F9E956197529}" destId="{F54D0037-1C1B-442D-8EEF-3AD50DFBF2CD}" srcOrd="0" destOrd="0" presId="urn:microsoft.com/office/officeart/2005/8/layout/orgChart1"/>
    <dgm:cxn modelId="{C9F6C44E-9162-45E5-8822-1807D561A3C1}" type="presOf" srcId="{E2646423-0274-408E-B18C-60FE76F65547}" destId="{C3F1C73E-89E0-4DAC-BAFD-59BFD11EC0D9}" srcOrd="0" destOrd="0" presId="urn:microsoft.com/office/officeart/2005/8/layout/orgChart1"/>
    <dgm:cxn modelId="{8FFCF5E0-5C06-412F-A23B-1A12EA82E932}" type="presOf" srcId="{235EAFED-985D-4714-B7F3-05823E2FD8E2}" destId="{0E4A61C0-AB37-4FF0-A3D1-1B8B1329846C}" srcOrd="1" destOrd="0" presId="urn:microsoft.com/office/officeart/2005/8/layout/orgChart1"/>
    <dgm:cxn modelId="{115F4918-B987-46C4-B81D-C7F43B11DE7E}" type="presOf" srcId="{1C0D6E31-444D-48D9-9B19-4D2887A89D5C}" destId="{BC13D466-1BA7-419B-A450-6ADECDC2B96C}" srcOrd="0" destOrd="0" presId="urn:microsoft.com/office/officeart/2005/8/layout/orgChart1"/>
    <dgm:cxn modelId="{F29A5844-6B6A-45F3-AF3C-182721632A9D}" type="presOf" srcId="{EA817847-B661-4F07-95CB-C52F0B229852}" destId="{85164591-925D-4D6D-9E8B-C6EEEA4D8077}" srcOrd="1" destOrd="0" presId="urn:microsoft.com/office/officeart/2005/8/layout/orgChart1"/>
    <dgm:cxn modelId="{25C5BCC1-4207-4BF8-ADAD-60051E9734C8}" srcId="{1C0D6E31-444D-48D9-9B19-4D2887A89D5C}" destId="{EA817847-B661-4F07-95CB-C52F0B229852}" srcOrd="5" destOrd="0" parTransId="{C66F301F-F8FC-4708-9E1F-A534D768AF3B}" sibTransId="{5C6F6293-770C-4F03-87D0-E59721E17FA6}"/>
    <dgm:cxn modelId="{387B077D-165D-4934-8649-C811769302AB}" srcId="{235EAFED-985D-4714-B7F3-05823E2FD8E2}" destId="{07297FDC-B739-4B9B-9C80-AF14200E2CDA}" srcOrd="0" destOrd="0" parTransId="{4B72835E-868B-47E9-9D7B-22701F0373EB}" sibTransId="{3296776D-3DFC-46E6-94B8-9AE626761003}"/>
    <dgm:cxn modelId="{1A86E6C8-5537-4476-A1F5-C39B23966DD7}" type="presOf" srcId="{4B72835E-868B-47E9-9D7B-22701F0373EB}" destId="{3F21D1BF-713E-47D6-B37E-AECB35333840}" srcOrd="0" destOrd="0" presId="urn:microsoft.com/office/officeart/2005/8/layout/orgChart1"/>
    <dgm:cxn modelId="{6EC83A90-7BC5-42E4-8BCC-4E3E34397ADA}" type="presParOf" srcId="{3B5C6AC8-34D7-464E-A692-27A0ABC2E046}" destId="{5593A95E-DB5A-45C6-A133-D4CFAABFB061}" srcOrd="0" destOrd="0" presId="urn:microsoft.com/office/officeart/2005/8/layout/orgChart1"/>
    <dgm:cxn modelId="{B581D818-1C88-4B83-AFA6-C2BA47E586C0}" type="presParOf" srcId="{5593A95E-DB5A-45C6-A133-D4CFAABFB061}" destId="{3279A182-6055-48B7-A9C5-08173F12796B}" srcOrd="0" destOrd="0" presId="urn:microsoft.com/office/officeart/2005/8/layout/orgChart1"/>
    <dgm:cxn modelId="{35E197A2-D45B-466E-A147-1392F4778D73}" type="presParOf" srcId="{3279A182-6055-48B7-A9C5-08173F12796B}" destId="{09B39CF5-B990-4184-8024-005200E5603B}" srcOrd="0" destOrd="0" presId="urn:microsoft.com/office/officeart/2005/8/layout/orgChart1"/>
    <dgm:cxn modelId="{DBE46947-9225-4305-AF3B-8A4BCADD8960}" type="presParOf" srcId="{3279A182-6055-48B7-A9C5-08173F12796B}" destId="{0E4A61C0-AB37-4FF0-A3D1-1B8B1329846C}" srcOrd="1" destOrd="0" presId="urn:microsoft.com/office/officeart/2005/8/layout/orgChart1"/>
    <dgm:cxn modelId="{826B22E9-B65C-4AA9-9866-927CF91CCE4C}" type="presParOf" srcId="{5593A95E-DB5A-45C6-A133-D4CFAABFB061}" destId="{5714008F-0696-42A8-8213-C086BECBDE69}" srcOrd="1" destOrd="0" presId="urn:microsoft.com/office/officeart/2005/8/layout/orgChart1"/>
    <dgm:cxn modelId="{F4EEADE6-90A7-4860-8EE6-CF9E3FD7D91E}" type="presParOf" srcId="{5714008F-0696-42A8-8213-C086BECBDE69}" destId="{3F21D1BF-713E-47D6-B37E-AECB35333840}" srcOrd="0" destOrd="0" presId="urn:microsoft.com/office/officeart/2005/8/layout/orgChart1"/>
    <dgm:cxn modelId="{471724A5-7CAB-422C-946F-A78CABAAB167}" type="presParOf" srcId="{5714008F-0696-42A8-8213-C086BECBDE69}" destId="{82FF9884-D43B-43E9-B335-DC87E3FD9C88}" srcOrd="1" destOrd="0" presId="urn:microsoft.com/office/officeart/2005/8/layout/orgChart1"/>
    <dgm:cxn modelId="{5F2E941F-4EEF-482C-B922-8BA86F4FEEE7}" type="presParOf" srcId="{82FF9884-D43B-43E9-B335-DC87E3FD9C88}" destId="{49876166-DBD9-47F6-8B7F-BE88A532DD3A}" srcOrd="0" destOrd="0" presId="urn:microsoft.com/office/officeart/2005/8/layout/orgChart1"/>
    <dgm:cxn modelId="{82E53F31-1B9E-4815-9F7E-E866F7E7C0BB}" type="presParOf" srcId="{49876166-DBD9-47F6-8B7F-BE88A532DD3A}" destId="{E3C48360-DE05-4F2D-B665-C11A200AF77E}" srcOrd="0" destOrd="0" presId="urn:microsoft.com/office/officeart/2005/8/layout/orgChart1"/>
    <dgm:cxn modelId="{89D61C3F-E820-4B76-8B24-B9E9F4103943}" type="presParOf" srcId="{49876166-DBD9-47F6-8B7F-BE88A532DD3A}" destId="{C7C5EC60-09DC-4287-906B-3CDF2E2275F0}" srcOrd="1" destOrd="0" presId="urn:microsoft.com/office/officeart/2005/8/layout/orgChart1"/>
    <dgm:cxn modelId="{C9BBC6B8-DFA8-4E6E-AA7C-CA185B545EF4}" type="presParOf" srcId="{82FF9884-D43B-43E9-B335-DC87E3FD9C88}" destId="{FC51F943-FA79-4A85-8836-7068BBE25681}" srcOrd="1" destOrd="0" presId="urn:microsoft.com/office/officeart/2005/8/layout/orgChart1"/>
    <dgm:cxn modelId="{DC3F6142-8571-49DA-B5DA-4FDE682AA1BF}" type="presParOf" srcId="{FC51F943-FA79-4A85-8836-7068BBE25681}" destId="{BB08708E-33F5-4BDB-B810-6E8117335458}" srcOrd="0" destOrd="0" presId="urn:microsoft.com/office/officeart/2005/8/layout/orgChart1"/>
    <dgm:cxn modelId="{FBF04B0B-D316-41AB-BF01-A2739B6E0E0B}" type="presParOf" srcId="{FC51F943-FA79-4A85-8836-7068BBE25681}" destId="{B022AE0F-FF38-44D2-81D7-FBE021766B8B}" srcOrd="1" destOrd="0" presId="urn:microsoft.com/office/officeart/2005/8/layout/orgChart1"/>
    <dgm:cxn modelId="{489989C8-520D-43D2-960B-A761931FEC1E}" type="presParOf" srcId="{B022AE0F-FF38-44D2-81D7-FBE021766B8B}" destId="{03660D39-9710-4396-80B0-A4B28D0E9656}" srcOrd="0" destOrd="0" presId="urn:microsoft.com/office/officeart/2005/8/layout/orgChart1"/>
    <dgm:cxn modelId="{0CB9C378-E1A3-4BE7-A95B-3DA18E88EE63}" type="presParOf" srcId="{03660D39-9710-4396-80B0-A4B28D0E9656}" destId="{BC13D466-1BA7-419B-A450-6ADECDC2B96C}" srcOrd="0" destOrd="0" presId="urn:microsoft.com/office/officeart/2005/8/layout/orgChart1"/>
    <dgm:cxn modelId="{FC6B0CAC-D009-4E93-896B-42471E9E9329}" type="presParOf" srcId="{03660D39-9710-4396-80B0-A4B28D0E9656}" destId="{66E9A61E-C864-4C91-8E6E-5A4F03600A91}" srcOrd="1" destOrd="0" presId="urn:microsoft.com/office/officeart/2005/8/layout/orgChart1"/>
    <dgm:cxn modelId="{37E80163-C4F8-4FE2-9B0D-4BC2BED7B1A6}" type="presParOf" srcId="{B022AE0F-FF38-44D2-81D7-FBE021766B8B}" destId="{78B2F5CD-CD35-4E7B-AF18-118B36331DD5}" srcOrd="1" destOrd="0" presId="urn:microsoft.com/office/officeart/2005/8/layout/orgChart1"/>
    <dgm:cxn modelId="{9D729726-C694-4B53-85F6-6D275E58ED4C}" type="presParOf" srcId="{78B2F5CD-CD35-4E7B-AF18-118B36331DD5}" destId="{379D1E9D-1613-46D2-B861-5CABD53A3D74}" srcOrd="0" destOrd="0" presId="urn:microsoft.com/office/officeart/2005/8/layout/orgChart1"/>
    <dgm:cxn modelId="{F1933DBD-D972-4E2F-8805-06EF5B31129D}" type="presParOf" srcId="{78B2F5CD-CD35-4E7B-AF18-118B36331DD5}" destId="{CECE012A-B3C4-481C-8D95-4336362FEA1B}" srcOrd="1" destOrd="0" presId="urn:microsoft.com/office/officeart/2005/8/layout/orgChart1"/>
    <dgm:cxn modelId="{BD2D62D3-BB77-4F56-9806-0280D1A90B71}" type="presParOf" srcId="{CECE012A-B3C4-481C-8D95-4336362FEA1B}" destId="{19D6493F-29F9-4CB3-AA7A-53DCB6EFFB41}" srcOrd="0" destOrd="0" presId="urn:microsoft.com/office/officeart/2005/8/layout/orgChart1"/>
    <dgm:cxn modelId="{66074D43-7C4D-4BA4-AE97-2AA70348297E}" type="presParOf" srcId="{19D6493F-29F9-4CB3-AA7A-53DCB6EFFB41}" destId="{EDAFE317-E70A-49D9-9AD2-44FC5FD69F37}" srcOrd="0" destOrd="0" presId="urn:microsoft.com/office/officeart/2005/8/layout/orgChart1"/>
    <dgm:cxn modelId="{4FC399B2-9B6C-4686-B82A-7EF026836794}" type="presParOf" srcId="{19D6493F-29F9-4CB3-AA7A-53DCB6EFFB41}" destId="{625128E4-CE01-4763-8408-B9FF3967AE08}" srcOrd="1" destOrd="0" presId="urn:microsoft.com/office/officeart/2005/8/layout/orgChart1"/>
    <dgm:cxn modelId="{A473DBD4-37C4-4B0C-BF44-D7F3795EDEDB}" type="presParOf" srcId="{CECE012A-B3C4-481C-8D95-4336362FEA1B}" destId="{2042B1BB-3A93-439B-B30D-466DD5C8BAD9}" srcOrd="1" destOrd="0" presId="urn:microsoft.com/office/officeart/2005/8/layout/orgChart1"/>
    <dgm:cxn modelId="{502E4E11-3660-446B-A7AC-2E8791C0632B}" type="presParOf" srcId="{CECE012A-B3C4-481C-8D95-4336362FEA1B}" destId="{88B28028-315B-47AA-A245-BFBF7FC7EA0A}" srcOrd="2" destOrd="0" presId="urn:microsoft.com/office/officeart/2005/8/layout/orgChart1"/>
    <dgm:cxn modelId="{83138B96-BB45-416F-8D20-3AD45EA8E9B0}" type="presParOf" srcId="{78B2F5CD-CD35-4E7B-AF18-118B36331DD5}" destId="{B532CE69-97BC-44C9-881B-F51C418E0C48}" srcOrd="2" destOrd="0" presId="urn:microsoft.com/office/officeart/2005/8/layout/orgChart1"/>
    <dgm:cxn modelId="{B20CBE55-6398-4247-B971-91CE1099A316}" type="presParOf" srcId="{78B2F5CD-CD35-4E7B-AF18-118B36331DD5}" destId="{053411B2-E292-4C2B-8107-E92334EC9869}" srcOrd="3" destOrd="0" presId="urn:microsoft.com/office/officeart/2005/8/layout/orgChart1"/>
    <dgm:cxn modelId="{C61DC37B-F8A8-4267-B6C6-854AFF423335}" type="presParOf" srcId="{053411B2-E292-4C2B-8107-E92334EC9869}" destId="{C11F4EA5-815C-4B68-BC52-5593EE156728}" srcOrd="0" destOrd="0" presId="urn:microsoft.com/office/officeart/2005/8/layout/orgChart1"/>
    <dgm:cxn modelId="{04BF5332-5E0C-4084-816C-96F3FC7BEB9C}" type="presParOf" srcId="{C11F4EA5-815C-4B68-BC52-5593EE156728}" destId="{827D11E8-63A2-4E73-8788-F864CA8BE917}" srcOrd="0" destOrd="0" presId="urn:microsoft.com/office/officeart/2005/8/layout/orgChart1"/>
    <dgm:cxn modelId="{4BA3056F-2873-4C5F-862F-26E00519A994}" type="presParOf" srcId="{C11F4EA5-815C-4B68-BC52-5593EE156728}" destId="{F7570EFA-5841-4F91-A6BA-41406AF5B357}" srcOrd="1" destOrd="0" presId="urn:microsoft.com/office/officeart/2005/8/layout/orgChart1"/>
    <dgm:cxn modelId="{72384D75-B315-4158-B1A0-BAB6D3729212}" type="presParOf" srcId="{053411B2-E292-4C2B-8107-E92334EC9869}" destId="{9FA54BF9-AE4B-4008-87F7-F8F676983B4A}" srcOrd="1" destOrd="0" presId="urn:microsoft.com/office/officeart/2005/8/layout/orgChart1"/>
    <dgm:cxn modelId="{B645F17F-EDE1-4098-9820-9FCFFC5979F9}" type="presParOf" srcId="{053411B2-E292-4C2B-8107-E92334EC9869}" destId="{1240CB57-4946-4A54-BDF1-53C92CAAD30A}" srcOrd="2" destOrd="0" presId="urn:microsoft.com/office/officeart/2005/8/layout/orgChart1"/>
    <dgm:cxn modelId="{229517FF-F7F3-4E5B-BDF2-01EABB1E6C82}" type="presParOf" srcId="{78B2F5CD-CD35-4E7B-AF18-118B36331DD5}" destId="{C3F1C73E-89E0-4DAC-BAFD-59BFD11EC0D9}" srcOrd="4" destOrd="0" presId="urn:microsoft.com/office/officeart/2005/8/layout/orgChart1"/>
    <dgm:cxn modelId="{3579E057-BA92-4404-8061-6C76129B1E3B}" type="presParOf" srcId="{78B2F5CD-CD35-4E7B-AF18-118B36331DD5}" destId="{1F79277B-6AB6-44E5-85DB-A600176F88B4}" srcOrd="5" destOrd="0" presId="urn:microsoft.com/office/officeart/2005/8/layout/orgChart1"/>
    <dgm:cxn modelId="{9D0E9A46-BD49-4889-A9C2-0976EB9C6587}" type="presParOf" srcId="{1F79277B-6AB6-44E5-85DB-A600176F88B4}" destId="{F2393948-222C-4138-8880-83E7BEB0B422}" srcOrd="0" destOrd="0" presId="urn:microsoft.com/office/officeart/2005/8/layout/orgChart1"/>
    <dgm:cxn modelId="{525579AF-A657-4C1F-AC72-30F72AD2C31F}" type="presParOf" srcId="{F2393948-222C-4138-8880-83E7BEB0B422}" destId="{160DFF59-3EE6-4ED4-9E42-9C262080AABB}" srcOrd="0" destOrd="0" presId="urn:microsoft.com/office/officeart/2005/8/layout/orgChart1"/>
    <dgm:cxn modelId="{80146DE7-4F1F-4C52-89D6-314770BFF979}" type="presParOf" srcId="{F2393948-222C-4138-8880-83E7BEB0B422}" destId="{FE6F4C33-29D3-4BCB-B37C-4C7707CA6959}" srcOrd="1" destOrd="0" presId="urn:microsoft.com/office/officeart/2005/8/layout/orgChart1"/>
    <dgm:cxn modelId="{18AADC66-25E4-4F20-9BFB-C993D529B609}" type="presParOf" srcId="{1F79277B-6AB6-44E5-85DB-A600176F88B4}" destId="{071B7030-2534-420F-8E02-1C77AA702617}" srcOrd="1" destOrd="0" presId="urn:microsoft.com/office/officeart/2005/8/layout/orgChart1"/>
    <dgm:cxn modelId="{408530D7-0BB2-4B6D-B551-F97E17AC383B}" type="presParOf" srcId="{1F79277B-6AB6-44E5-85DB-A600176F88B4}" destId="{401AC986-A577-4BC2-81D4-BFBF26DEA271}" srcOrd="2" destOrd="0" presId="urn:microsoft.com/office/officeart/2005/8/layout/orgChart1"/>
    <dgm:cxn modelId="{CC027DC9-13EB-4AB1-A86E-7554193CCB02}" type="presParOf" srcId="{78B2F5CD-CD35-4E7B-AF18-118B36331DD5}" destId="{E86EC432-F126-4956-83BA-1A4835F6ACBB}" srcOrd="6" destOrd="0" presId="urn:microsoft.com/office/officeart/2005/8/layout/orgChart1"/>
    <dgm:cxn modelId="{ADB6F6BE-0461-42EF-B53B-54E57C5990A4}" type="presParOf" srcId="{78B2F5CD-CD35-4E7B-AF18-118B36331DD5}" destId="{11C0042E-458D-45FA-8B51-544B9B82D94C}" srcOrd="7" destOrd="0" presId="urn:microsoft.com/office/officeart/2005/8/layout/orgChart1"/>
    <dgm:cxn modelId="{93B04258-DC75-4851-8258-0F2C301046A8}" type="presParOf" srcId="{11C0042E-458D-45FA-8B51-544B9B82D94C}" destId="{44E9F3CC-6B06-408E-9E1D-7B9EE7721E9C}" srcOrd="0" destOrd="0" presId="urn:microsoft.com/office/officeart/2005/8/layout/orgChart1"/>
    <dgm:cxn modelId="{2EA55FFA-1A03-4B70-BE47-3781869E71D9}" type="presParOf" srcId="{44E9F3CC-6B06-408E-9E1D-7B9EE7721E9C}" destId="{1772F2C8-DF38-41F1-BBD1-7C21A5EDA1E1}" srcOrd="0" destOrd="0" presId="urn:microsoft.com/office/officeart/2005/8/layout/orgChart1"/>
    <dgm:cxn modelId="{DDA238D2-CD04-4B15-AFAA-6D18A36D4E9A}" type="presParOf" srcId="{44E9F3CC-6B06-408E-9E1D-7B9EE7721E9C}" destId="{BDFA77C4-FB3C-43EF-925F-5F17745C951B}" srcOrd="1" destOrd="0" presId="urn:microsoft.com/office/officeart/2005/8/layout/orgChart1"/>
    <dgm:cxn modelId="{A88D58BB-7DC9-4019-AD4D-22980BE94F60}" type="presParOf" srcId="{11C0042E-458D-45FA-8B51-544B9B82D94C}" destId="{44E02A40-B2E5-4A26-A061-38E9B859406D}" srcOrd="1" destOrd="0" presId="urn:microsoft.com/office/officeart/2005/8/layout/orgChart1"/>
    <dgm:cxn modelId="{DA57295A-7504-4F7B-8CDF-52D322E94F87}" type="presParOf" srcId="{11C0042E-458D-45FA-8B51-544B9B82D94C}" destId="{666D05F2-55A6-4D67-8CC2-9DBEB2536DCC}" srcOrd="2" destOrd="0" presId="urn:microsoft.com/office/officeart/2005/8/layout/orgChart1"/>
    <dgm:cxn modelId="{050F8BC7-7B50-4826-AD5E-5A864AF55898}" type="presParOf" srcId="{78B2F5CD-CD35-4E7B-AF18-118B36331DD5}" destId="{F4201FB9-4B69-4559-89CC-982F08F573E7}" srcOrd="8" destOrd="0" presId="urn:microsoft.com/office/officeart/2005/8/layout/orgChart1"/>
    <dgm:cxn modelId="{95AD1D94-071D-4F02-8509-993A66E27C63}" type="presParOf" srcId="{78B2F5CD-CD35-4E7B-AF18-118B36331DD5}" destId="{B86254B1-E2E0-4FCA-BE4B-ADDE9EA1B739}" srcOrd="9" destOrd="0" presId="urn:microsoft.com/office/officeart/2005/8/layout/orgChart1"/>
    <dgm:cxn modelId="{5505DE70-1804-4149-907A-F2601F6E75A1}" type="presParOf" srcId="{B86254B1-E2E0-4FCA-BE4B-ADDE9EA1B739}" destId="{2DC4EB16-467D-431C-8A35-5724AB51FF5A}" srcOrd="0" destOrd="0" presId="urn:microsoft.com/office/officeart/2005/8/layout/orgChart1"/>
    <dgm:cxn modelId="{4CB1C2DC-2FC7-4680-81BE-1A673FB14779}" type="presParOf" srcId="{2DC4EB16-467D-431C-8A35-5724AB51FF5A}" destId="{F54D0037-1C1B-442D-8EEF-3AD50DFBF2CD}" srcOrd="0" destOrd="0" presId="urn:microsoft.com/office/officeart/2005/8/layout/orgChart1"/>
    <dgm:cxn modelId="{852ECFF1-F6E1-4D10-8094-9948C5492D1B}" type="presParOf" srcId="{2DC4EB16-467D-431C-8A35-5724AB51FF5A}" destId="{123B2B82-905D-4155-96BD-8F8519A6DDE4}" srcOrd="1" destOrd="0" presId="urn:microsoft.com/office/officeart/2005/8/layout/orgChart1"/>
    <dgm:cxn modelId="{A0F223D0-D8F0-403E-92C7-7AD28EEF6F21}" type="presParOf" srcId="{B86254B1-E2E0-4FCA-BE4B-ADDE9EA1B739}" destId="{AFC38705-166F-426E-8A18-06E561AB134A}" srcOrd="1" destOrd="0" presId="urn:microsoft.com/office/officeart/2005/8/layout/orgChart1"/>
    <dgm:cxn modelId="{8D40C9B2-2E8D-4FB1-BD68-957D68D5927E}" type="presParOf" srcId="{B86254B1-E2E0-4FCA-BE4B-ADDE9EA1B739}" destId="{77BD212E-FDA6-4F8E-876B-B208742571A5}" srcOrd="2" destOrd="0" presId="urn:microsoft.com/office/officeart/2005/8/layout/orgChart1"/>
    <dgm:cxn modelId="{82FF94D6-C4BB-4DB7-8B8D-14941A4808D0}" type="presParOf" srcId="{78B2F5CD-CD35-4E7B-AF18-118B36331DD5}" destId="{64DB4A30-C71B-4738-8543-5A19878BFB68}" srcOrd="10" destOrd="0" presId="urn:microsoft.com/office/officeart/2005/8/layout/orgChart1"/>
    <dgm:cxn modelId="{CCCEA3DA-4111-4CE4-89E7-366515E85E27}" type="presParOf" srcId="{78B2F5CD-CD35-4E7B-AF18-118B36331DD5}" destId="{82CDDD78-55F8-478A-AAA4-43050E238C7A}" srcOrd="11" destOrd="0" presId="urn:microsoft.com/office/officeart/2005/8/layout/orgChart1"/>
    <dgm:cxn modelId="{D31A56C9-E50C-45D3-9DF9-26FA130A0570}" type="presParOf" srcId="{82CDDD78-55F8-478A-AAA4-43050E238C7A}" destId="{8C22A6D5-191E-48D5-9B4C-88202FA711D1}" srcOrd="0" destOrd="0" presId="urn:microsoft.com/office/officeart/2005/8/layout/orgChart1"/>
    <dgm:cxn modelId="{B86F738E-2ED4-4B2C-AD52-0EFD269D123F}" type="presParOf" srcId="{8C22A6D5-191E-48D5-9B4C-88202FA711D1}" destId="{DB537EC1-436B-4E9C-8604-34E07548FA9D}" srcOrd="0" destOrd="0" presId="urn:microsoft.com/office/officeart/2005/8/layout/orgChart1"/>
    <dgm:cxn modelId="{5EC4BEDF-6E53-4F77-A846-AC95172625EE}" type="presParOf" srcId="{8C22A6D5-191E-48D5-9B4C-88202FA711D1}" destId="{85164591-925D-4D6D-9E8B-C6EEEA4D8077}" srcOrd="1" destOrd="0" presId="urn:microsoft.com/office/officeart/2005/8/layout/orgChart1"/>
    <dgm:cxn modelId="{4A59BE40-C156-4A40-A6E5-A9B0AE3F7C35}" type="presParOf" srcId="{82CDDD78-55F8-478A-AAA4-43050E238C7A}" destId="{A48F6457-D557-4FCC-B5DC-E4B3F4FB2A40}" srcOrd="1" destOrd="0" presId="urn:microsoft.com/office/officeart/2005/8/layout/orgChart1"/>
    <dgm:cxn modelId="{8B33506D-B9B0-46EC-8AAE-20E17D25A2B8}" type="presParOf" srcId="{82CDDD78-55F8-478A-AAA4-43050E238C7A}" destId="{6352C364-F712-4A71-8553-618DF3113493}" srcOrd="2" destOrd="0" presId="urn:microsoft.com/office/officeart/2005/8/layout/orgChart1"/>
    <dgm:cxn modelId="{EC7CC4D0-8A81-4109-BFBB-68E7E39BE3A5}" type="presParOf" srcId="{B022AE0F-FF38-44D2-81D7-FBE021766B8B}" destId="{4969819A-7B3D-46BA-9D11-918788E4F7CD}" srcOrd="2" destOrd="0" presId="urn:microsoft.com/office/officeart/2005/8/layout/orgChart1"/>
    <dgm:cxn modelId="{E65331F1-BDAF-4945-8F4A-91CEDA53226D}" type="presParOf" srcId="{82FF9884-D43B-43E9-B335-DC87E3FD9C88}" destId="{2E6E337D-E6BB-4836-BF5B-FDFFCB27B8DB}" srcOrd="2" destOrd="0" presId="urn:microsoft.com/office/officeart/2005/8/layout/orgChart1"/>
    <dgm:cxn modelId="{123F921B-FFA2-486E-BE53-CD5AFE75C8AB}" type="presParOf" srcId="{5593A95E-DB5A-45C6-A133-D4CFAABFB061}" destId="{23B62C94-C98D-4A8D-932B-391726A6091A}" srcOrd="2" destOrd="0" presId="urn:microsoft.com/office/officeart/2005/8/layout/orgChart1"/>
  </dgm:cxnLst>
  <dgm:bg/>
  <dgm:whole/>
  <dgm:extLst>
    <a:ext uri="http://schemas.microsoft.com/office/drawing/2008/diagram">
      <dsp:dataModelExt xmlns:dsp="http://schemas.microsoft.com/office/drawing/2008/diagram" xmlns="" relId="rId117"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64DB4A30-C71B-4738-8543-5A19878BFB68}">
      <dsp:nvSpPr>
        <dsp:cNvPr id="0" name=""/>
        <dsp:cNvSpPr/>
      </dsp:nvSpPr>
      <dsp:spPr>
        <a:xfrm>
          <a:off x="2811780" y="1517242"/>
          <a:ext cx="91440" cy="1485327"/>
        </a:xfrm>
        <a:custGeom>
          <a:avLst/>
          <a:gdLst/>
          <a:ahLst/>
          <a:cxnLst/>
          <a:rect l="0" t="0" r="0" b="0"/>
          <a:pathLst>
            <a:path>
              <a:moveTo>
                <a:pt x="45720" y="0"/>
              </a:moveTo>
              <a:lnTo>
                <a:pt x="45720" y="1485327"/>
              </a:lnTo>
              <a:lnTo>
                <a:pt x="128677" y="14853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201FB9-4B69-4559-89CC-982F08F573E7}">
      <dsp:nvSpPr>
        <dsp:cNvPr id="0" name=""/>
        <dsp:cNvSpPr/>
      </dsp:nvSpPr>
      <dsp:spPr>
        <a:xfrm>
          <a:off x="2728822" y="1517242"/>
          <a:ext cx="91440" cy="1485327"/>
        </a:xfrm>
        <a:custGeom>
          <a:avLst/>
          <a:gdLst/>
          <a:ahLst/>
          <a:cxnLst/>
          <a:rect l="0" t="0" r="0" b="0"/>
          <a:pathLst>
            <a:path>
              <a:moveTo>
                <a:pt x="128677" y="0"/>
              </a:moveTo>
              <a:lnTo>
                <a:pt x="128677" y="1485327"/>
              </a:lnTo>
              <a:lnTo>
                <a:pt x="45720" y="14853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6EC432-F126-4956-83BA-1A4835F6ACBB}">
      <dsp:nvSpPr>
        <dsp:cNvPr id="0" name=""/>
        <dsp:cNvSpPr/>
      </dsp:nvSpPr>
      <dsp:spPr>
        <a:xfrm>
          <a:off x="2811780" y="1517242"/>
          <a:ext cx="91440" cy="924379"/>
        </a:xfrm>
        <a:custGeom>
          <a:avLst/>
          <a:gdLst/>
          <a:ahLst/>
          <a:cxnLst/>
          <a:rect l="0" t="0" r="0" b="0"/>
          <a:pathLst>
            <a:path>
              <a:moveTo>
                <a:pt x="45720" y="0"/>
              </a:moveTo>
              <a:lnTo>
                <a:pt x="45720" y="924379"/>
              </a:lnTo>
              <a:lnTo>
                <a:pt x="128677" y="9243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3F1C73E-89E0-4DAC-BAFD-59BFD11EC0D9}">
      <dsp:nvSpPr>
        <dsp:cNvPr id="0" name=""/>
        <dsp:cNvSpPr/>
      </dsp:nvSpPr>
      <dsp:spPr>
        <a:xfrm>
          <a:off x="2728822" y="1517242"/>
          <a:ext cx="91440" cy="924379"/>
        </a:xfrm>
        <a:custGeom>
          <a:avLst/>
          <a:gdLst/>
          <a:ahLst/>
          <a:cxnLst/>
          <a:rect l="0" t="0" r="0" b="0"/>
          <a:pathLst>
            <a:path>
              <a:moveTo>
                <a:pt x="128677" y="0"/>
              </a:moveTo>
              <a:lnTo>
                <a:pt x="128677" y="924379"/>
              </a:lnTo>
              <a:lnTo>
                <a:pt x="45720" y="9243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32CE69-97BC-44C9-881B-F51C418E0C48}">
      <dsp:nvSpPr>
        <dsp:cNvPr id="0" name=""/>
        <dsp:cNvSpPr/>
      </dsp:nvSpPr>
      <dsp:spPr>
        <a:xfrm>
          <a:off x="2811780" y="1517242"/>
          <a:ext cx="91440" cy="363431"/>
        </a:xfrm>
        <a:custGeom>
          <a:avLst/>
          <a:gdLst/>
          <a:ahLst/>
          <a:cxnLst/>
          <a:rect l="0" t="0" r="0" b="0"/>
          <a:pathLst>
            <a:path>
              <a:moveTo>
                <a:pt x="45720" y="0"/>
              </a:moveTo>
              <a:lnTo>
                <a:pt x="45720" y="363431"/>
              </a:lnTo>
              <a:lnTo>
                <a:pt x="128677" y="36343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9D1E9D-1613-46D2-B861-5CABD53A3D74}">
      <dsp:nvSpPr>
        <dsp:cNvPr id="0" name=""/>
        <dsp:cNvSpPr/>
      </dsp:nvSpPr>
      <dsp:spPr>
        <a:xfrm>
          <a:off x="2728822" y="1517242"/>
          <a:ext cx="91440" cy="363431"/>
        </a:xfrm>
        <a:custGeom>
          <a:avLst/>
          <a:gdLst/>
          <a:ahLst/>
          <a:cxnLst/>
          <a:rect l="0" t="0" r="0" b="0"/>
          <a:pathLst>
            <a:path>
              <a:moveTo>
                <a:pt x="128677" y="0"/>
              </a:moveTo>
              <a:lnTo>
                <a:pt x="128677" y="363431"/>
              </a:lnTo>
              <a:lnTo>
                <a:pt x="45720" y="36343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08708E-33F5-4BDB-B810-6E8117335458}">
      <dsp:nvSpPr>
        <dsp:cNvPr id="0" name=""/>
        <dsp:cNvSpPr/>
      </dsp:nvSpPr>
      <dsp:spPr>
        <a:xfrm>
          <a:off x="2811780" y="956294"/>
          <a:ext cx="91440" cy="165914"/>
        </a:xfrm>
        <a:custGeom>
          <a:avLst/>
          <a:gdLst/>
          <a:ahLst/>
          <a:cxnLst/>
          <a:rect l="0" t="0" r="0" b="0"/>
          <a:pathLst>
            <a:path>
              <a:moveTo>
                <a:pt x="45720" y="0"/>
              </a:moveTo>
              <a:lnTo>
                <a:pt x="45720" y="16591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21D1BF-713E-47D6-B37E-AECB35333840}">
      <dsp:nvSpPr>
        <dsp:cNvPr id="0" name=""/>
        <dsp:cNvSpPr/>
      </dsp:nvSpPr>
      <dsp:spPr>
        <a:xfrm>
          <a:off x="2811779" y="395346"/>
          <a:ext cx="91440" cy="165914"/>
        </a:xfrm>
        <a:custGeom>
          <a:avLst/>
          <a:gdLst/>
          <a:ahLst/>
          <a:cxnLst/>
          <a:rect l="0" t="0" r="0" b="0"/>
          <a:pathLst>
            <a:path>
              <a:moveTo>
                <a:pt x="45720" y="0"/>
              </a:moveTo>
              <a:lnTo>
                <a:pt x="45720" y="16591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B39CF5-B990-4184-8024-005200E5603B}">
      <dsp:nvSpPr>
        <dsp:cNvPr id="0" name=""/>
        <dsp:cNvSpPr/>
      </dsp:nvSpPr>
      <dsp:spPr>
        <a:xfrm>
          <a:off x="2462465" y="312"/>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Sponsor</a:t>
          </a:r>
          <a:endParaRPr lang="en-US" sz="800" kern="1200" smtClean="0"/>
        </a:p>
      </dsp:txBody>
      <dsp:txXfrm>
        <a:off x="2462465" y="312"/>
        <a:ext cx="790068" cy="395034"/>
      </dsp:txXfrm>
    </dsp:sp>
    <dsp:sp modelId="{E3C48360-DE05-4F2D-B665-C11A200AF77E}">
      <dsp:nvSpPr>
        <dsp:cNvPr id="0" name=""/>
        <dsp:cNvSpPr/>
      </dsp:nvSpPr>
      <dsp:spPr>
        <a:xfrm>
          <a:off x="2462465" y="561260"/>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Board of Trustees</a:t>
          </a:r>
          <a:endParaRPr lang="en-US" sz="800" kern="1200" smtClean="0"/>
        </a:p>
      </dsp:txBody>
      <dsp:txXfrm>
        <a:off x="2462465" y="561260"/>
        <a:ext cx="790068" cy="395034"/>
      </dsp:txXfrm>
    </dsp:sp>
    <dsp:sp modelId="{BC13D466-1BA7-419B-A450-6ADECDC2B96C}">
      <dsp:nvSpPr>
        <dsp:cNvPr id="0" name=""/>
        <dsp:cNvSpPr/>
      </dsp:nvSpPr>
      <dsp:spPr>
        <a:xfrm>
          <a:off x="2462465" y="1122208"/>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Asset Management Company</a:t>
          </a:r>
          <a:endParaRPr lang="en-US" sz="800" kern="1200" smtClean="0"/>
        </a:p>
      </dsp:txBody>
      <dsp:txXfrm>
        <a:off x="2462465" y="1122208"/>
        <a:ext cx="790068" cy="395034"/>
      </dsp:txXfrm>
    </dsp:sp>
    <dsp:sp modelId="{EDAFE317-E70A-49D9-9AD2-44FC5FD69F37}">
      <dsp:nvSpPr>
        <dsp:cNvPr id="0" name=""/>
        <dsp:cNvSpPr/>
      </dsp:nvSpPr>
      <dsp:spPr>
        <a:xfrm>
          <a:off x="1984474" y="1683157"/>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Support Service</a:t>
          </a:r>
          <a:endParaRPr lang="en-US" sz="800" kern="1200" smtClean="0"/>
        </a:p>
      </dsp:txBody>
      <dsp:txXfrm>
        <a:off x="1984474" y="1683157"/>
        <a:ext cx="790068" cy="395034"/>
      </dsp:txXfrm>
    </dsp:sp>
    <dsp:sp modelId="{827D11E8-63A2-4E73-8788-F864CA8BE917}">
      <dsp:nvSpPr>
        <dsp:cNvPr id="0" name=""/>
        <dsp:cNvSpPr/>
      </dsp:nvSpPr>
      <dsp:spPr>
        <a:xfrm>
          <a:off x="2940457" y="1683157"/>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Research and Development</a:t>
          </a:r>
          <a:endParaRPr lang="en-US" sz="800" kern="1200" smtClean="0"/>
        </a:p>
      </dsp:txBody>
      <dsp:txXfrm>
        <a:off x="2940457" y="1683157"/>
        <a:ext cx="790068" cy="395034"/>
      </dsp:txXfrm>
    </dsp:sp>
    <dsp:sp modelId="{160DFF59-3EE6-4ED4-9E42-9C262080AABB}">
      <dsp:nvSpPr>
        <dsp:cNvPr id="0" name=""/>
        <dsp:cNvSpPr/>
      </dsp:nvSpPr>
      <dsp:spPr>
        <a:xfrm>
          <a:off x="1984474" y="2244105"/>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Sales and marketing</a:t>
          </a:r>
          <a:endParaRPr lang="en-US" sz="800" kern="1200" smtClean="0"/>
        </a:p>
      </dsp:txBody>
      <dsp:txXfrm>
        <a:off x="1984474" y="2244105"/>
        <a:ext cx="790068" cy="395034"/>
      </dsp:txXfrm>
    </dsp:sp>
    <dsp:sp modelId="{1772F2C8-DF38-41F1-BBD1-7C21A5EDA1E1}">
      <dsp:nvSpPr>
        <dsp:cNvPr id="0" name=""/>
        <dsp:cNvSpPr/>
      </dsp:nvSpPr>
      <dsp:spPr>
        <a:xfrm>
          <a:off x="2940457" y="2244105"/>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Compliance and Reporting</a:t>
          </a:r>
          <a:endParaRPr lang="en-US" sz="800" kern="1200" smtClean="0"/>
        </a:p>
      </dsp:txBody>
      <dsp:txXfrm>
        <a:off x="2940457" y="2244105"/>
        <a:ext cx="790068" cy="395034"/>
      </dsp:txXfrm>
    </dsp:sp>
    <dsp:sp modelId="{F54D0037-1C1B-442D-8EEF-3AD50DFBF2CD}">
      <dsp:nvSpPr>
        <dsp:cNvPr id="0" name=""/>
        <dsp:cNvSpPr/>
      </dsp:nvSpPr>
      <dsp:spPr>
        <a:xfrm>
          <a:off x="1984474" y="2805053"/>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Operations</a:t>
          </a:r>
          <a:endParaRPr lang="en-US" sz="800" kern="1200" smtClean="0"/>
        </a:p>
      </dsp:txBody>
      <dsp:txXfrm>
        <a:off x="1984474" y="2805053"/>
        <a:ext cx="790068" cy="395034"/>
      </dsp:txXfrm>
    </dsp:sp>
    <dsp:sp modelId="{DB537EC1-436B-4E9C-8604-34E07548FA9D}">
      <dsp:nvSpPr>
        <dsp:cNvPr id="0" name=""/>
        <dsp:cNvSpPr/>
      </dsp:nvSpPr>
      <dsp:spPr>
        <a:xfrm>
          <a:off x="2940457" y="2805053"/>
          <a:ext cx="790068" cy="39503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0">
            <a:lnSpc>
              <a:spcPct val="90000"/>
            </a:lnSpc>
            <a:spcBef>
              <a:spcPct val="0"/>
            </a:spcBef>
            <a:spcAft>
              <a:spcPct val="35000"/>
            </a:spcAft>
          </a:pPr>
          <a:r>
            <a:rPr lang="en-US" sz="800" b="1" kern="1200" baseline="0" smtClean="0">
              <a:latin typeface="Verdana"/>
            </a:rPr>
            <a:t>Finance and Accounting</a:t>
          </a:r>
          <a:endParaRPr lang="en-US" sz="800" kern="1200" smtClean="0"/>
        </a:p>
      </dsp:txBody>
      <dsp:txXfrm>
        <a:off x="2940457" y="2805053"/>
        <a:ext cx="790068" cy="3950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Folksonomy xmlns="b97acc95-83d0-4c53-b770-13cc0e717192">investment management, private banking, hedge fund</Folksonomy>
    <CompetencyCategory xmlns="b97acc95-83d0-4c53-b770-13cc0e717192">Domain Competency</CompetencyCategory>
    <GenericTitle xmlns="b97acc95-83d0-4c53-b770-13cc0e717192" xsi:nil="true"/>
    <Document_x0020_Type xmlns="b97acc95-83d0-4c53-b770-13cc0e717192">Training Material</Document_x0020_Type>
    <Update_x0020_Frequency xmlns="b97acc95-83d0-4c53-b770-13cc0e717192">-1</Update_x0020_Frequency>
    <Target_x0020_Audiences xmlns="b97acc95-83d0-4c53-b770-13cc0e717192" xsi:nil="true"/>
    <Domain xmlns="b97acc95-83d0-4c53-b770-13cc0e717192">Asset &amp; Wealth Management</Domain>
    <Summary xmlns="b97acc95-83d0-4c53-b770-13cc0e717192">Revised L1 material for L1 in AWM (erstwhile Investment Management)</Summary>
    <UploadBy xmlns="b97acc95-83d0-4c53-b770-13cc0e717192" xsi:nil="true"/>
    <UploadDate xmlns="b97acc95-83d0-4c53-b770-13cc0e717192">2009-09-15T18:30:00+00:00</UploadDate>
    <Competency_x0020_Title xmlns="b97acc95-83d0-4c53-b770-13cc0e71719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51D52B1CFDC94FAB7BD3E409917346" ma:contentTypeVersion="31" ma:contentTypeDescription="Create a new document." ma:contentTypeScope="" ma:versionID="8aa1d6ae5352c73e6e7fcb5c5897da89">
  <xsd:schema xmlns:xsd="http://www.w3.org/2001/XMLSchema" xmlns:p="http://schemas.microsoft.com/office/2006/metadata/properties" xmlns:ns2="b97acc95-83d0-4c53-b770-13cc0e717192" targetNamespace="http://schemas.microsoft.com/office/2006/metadata/properties" ma:root="true" ma:fieldsID="6000d9b3329c69efa6bf85c66df71558" ns2:_="">
    <xsd:import namespace="b97acc95-83d0-4c53-b770-13cc0e717192"/>
    <xsd:element name="properties">
      <xsd:complexType>
        <xsd:sequence>
          <xsd:element name="documentManagement">
            <xsd:complexType>
              <xsd:all>
                <xsd:element ref="ns2:Document_x0020_Type" minOccurs="0"/>
                <xsd:element ref="ns2:Update_x0020_Frequency" minOccurs="0"/>
                <xsd:element ref="ns2:Domain" minOccurs="0"/>
                <xsd:element ref="ns2:Folksonomy" minOccurs="0"/>
                <xsd:element ref="ns2:Summary" minOccurs="0"/>
                <xsd:element ref="ns2:Competency_x0020_Title" minOccurs="0"/>
                <xsd:element ref="ns2:UploadDate"/>
                <xsd:element ref="ns2:GenericTitle" minOccurs="0"/>
                <xsd:element ref="ns2:CompetencyCategory" minOccurs="0"/>
                <xsd:element ref="ns2:UploadBy" minOccurs="0"/>
                <xsd:element ref="ns2:Target_x0020_Audiences" minOccurs="0"/>
              </xsd:all>
            </xsd:complexType>
          </xsd:element>
        </xsd:sequence>
      </xsd:complexType>
    </xsd:element>
  </xsd:schema>
  <xsd:schema xmlns:xsd="http://www.w3.org/2001/XMLSchema" xmlns:dms="http://schemas.microsoft.com/office/2006/documentManagement/types" targetNamespace="b97acc95-83d0-4c53-b770-13cc0e717192" elementFormDefault="qualified">
    <xsd:import namespace="http://schemas.microsoft.com/office/2006/documentManagement/types"/>
    <xsd:element name="Document_x0020_Type" ma:index="8" nillable="true" ma:displayName="Document Type" ma:default="" ma:internalName="Document_x0020_Type">
      <xsd:simpleType>
        <xsd:restriction base="dms:Text">
          <xsd:maxLength value="255"/>
        </xsd:restriction>
      </xsd:simpleType>
    </xsd:element>
    <xsd:element name="Update_x0020_Frequency" ma:index="9" nillable="true" ma:displayName="Update Frequency" ma:default="" ma:internalName="Update_x0020_Frequency">
      <xsd:simpleType>
        <xsd:restriction base="dms:Text">
          <xsd:maxLength value="255"/>
        </xsd:restriction>
      </xsd:simpleType>
    </xsd:element>
    <xsd:element name="Domain" ma:index="10" nillable="true" ma:displayName="Domain" ma:default="" ma:internalName="Domain">
      <xsd:simpleType>
        <xsd:restriction base="dms:Text">
          <xsd:maxLength value="255"/>
        </xsd:restriction>
      </xsd:simpleType>
    </xsd:element>
    <xsd:element name="Folksonomy" ma:index="11" nillable="true" ma:displayName="Folksonomy" ma:default="" ma:internalName="Folksonomy">
      <xsd:simpleType>
        <xsd:restriction base="dms:Text">
          <xsd:maxLength value="255"/>
        </xsd:restriction>
      </xsd:simpleType>
    </xsd:element>
    <xsd:element name="Summary" ma:index="12" nillable="true" ma:displayName="Summary" ma:internalName="Summary">
      <xsd:simpleType>
        <xsd:restriction base="dms:Note"/>
      </xsd:simpleType>
    </xsd:element>
    <xsd:element name="Competency_x0020_Title" ma:index="13" nillable="true" ma:displayName="Competency Title" ma:default="" ma:internalName="Competency_x0020_Title">
      <xsd:simpleType>
        <xsd:restriction base="dms:Text">
          <xsd:maxLength value="255"/>
        </xsd:restriction>
      </xsd:simpleType>
    </xsd:element>
    <xsd:element name="UploadDate" ma:index="14" ma:displayName="UploadDate" ma:default="" ma:format="DateOnly" ma:internalName="UploadDate">
      <xsd:simpleType>
        <xsd:restriction base="dms:DateTime"/>
      </xsd:simpleType>
    </xsd:element>
    <xsd:element name="GenericTitle" ma:index="15" nillable="true" ma:displayName="GenericTitle" ma:default="" ma:internalName="GenericTitle">
      <xsd:simpleType>
        <xsd:restriction base="dms:Text">
          <xsd:maxLength value="255"/>
        </xsd:restriction>
      </xsd:simpleType>
    </xsd:element>
    <xsd:element name="CompetencyCategory" ma:index="16" nillable="true" ma:displayName="CompetencyCategory" ma:default="" ma:internalName="CompetencyCategory">
      <xsd:simpleType>
        <xsd:restriction base="dms:Text">
          <xsd:maxLength value="255"/>
        </xsd:restriction>
      </xsd:simpleType>
    </xsd:element>
    <xsd:element name="UploadBy" ma:index="17" nillable="true" ma:displayName="UploadBy" ma:default="" ma:internalName="UploadBy">
      <xsd:simpleType>
        <xsd:restriction base="dms:Text">
          <xsd:maxLength value="255"/>
        </xsd:restriction>
      </xsd:simpleType>
    </xsd:element>
    <xsd:element name="Target_x0020_Audiences" ma:index="26"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E7FF0A6E-7BC2-46E7-A356-ADFAF267248D}">
  <ds:schemaRefs>
    <ds:schemaRef ds:uri="http://schemas.microsoft.com/sharepoint/v3/contenttype/forms"/>
  </ds:schemaRefs>
</ds:datastoreItem>
</file>

<file path=customXml/itemProps2.xml><?xml version="1.0" encoding="utf-8"?>
<ds:datastoreItem xmlns:ds="http://schemas.openxmlformats.org/officeDocument/2006/customXml" ds:itemID="{FCF1C03A-C1CD-476F-A615-0AEC1BA5528B}">
  <ds:schemaRefs>
    <ds:schemaRef ds:uri="http://schemas.microsoft.com/office/2006/documentManagement/types"/>
    <ds:schemaRef ds:uri="http://purl.org/dc/elements/1.1/"/>
    <ds:schemaRef ds:uri="http://purl.org/dc/terms/"/>
    <ds:schemaRef ds:uri="http://purl.org/dc/dcmitype/"/>
    <ds:schemaRef ds:uri="http://www.w3.org/XML/1998/namespace"/>
    <ds:schemaRef ds:uri="http://schemas.microsoft.com/office/2006/metadata/properties"/>
    <ds:schemaRef ds:uri="b97acc95-83d0-4c53-b770-13cc0e717192"/>
    <ds:schemaRef ds:uri="http://schemas.openxmlformats.org/package/2006/metadata/core-properties"/>
  </ds:schemaRefs>
</ds:datastoreItem>
</file>

<file path=customXml/itemProps3.xml><?xml version="1.0" encoding="utf-8"?>
<ds:datastoreItem xmlns:ds="http://schemas.openxmlformats.org/officeDocument/2006/customXml" ds:itemID="{68CFD82F-2EB0-4405-837D-6D979EBD3E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7acc95-83d0-4c53-b770-13cc0e717192"/>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153</Pages>
  <Words>52825</Words>
  <Characters>298372</Characters>
  <Application>Microsoft Office Word</Application>
  <DocSecurity>0</DocSecurity>
  <Lines>2486</Lines>
  <Paragraphs>700</Paragraphs>
  <ScaleCrop>false</ScaleCrop>
  <HeadingPairs>
    <vt:vector size="2" baseType="variant">
      <vt:variant>
        <vt:lpstr>Title</vt:lpstr>
      </vt:variant>
      <vt:variant>
        <vt:i4>1</vt:i4>
      </vt:variant>
    </vt:vector>
  </HeadingPairs>
  <TitlesOfParts>
    <vt:vector size="1" baseType="lpstr">
      <vt:lpstr>New L1 in Asset and Wealth Management (v 2.0)</vt:lpstr>
    </vt:vector>
  </TitlesOfParts>
  <Company>Cognizant Technology Solutions</Company>
  <LinksUpToDate>false</LinksUpToDate>
  <CharactersWithSpaces>350497</CharactersWithSpaces>
  <SharedDoc>false</SharedDoc>
  <HLinks>
    <vt:vector size="984" baseType="variant">
      <vt:variant>
        <vt:i4>4325469</vt:i4>
      </vt:variant>
      <vt:variant>
        <vt:i4>894</vt:i4>
      </vt:variant>
      <vt:variant>
        <vt:i4>0</vt:i4>
      </vt:variant>
      <vt:variant>
        <vt:i4>5</vt:i4>
      </vt:variant>
      <vt:variant>
        <vt:lpwstr>http://www.investmentuk.org/</vt:lpwstr>
      </vt:variant>
      <vt:variant>
        <vt:lpwstr/>
      </vt:variant>
      <vt:variant>
        <vt:i4>4784198</vt:i4>
      </vt:variant>
      <vt:variant>
        <vt:i4>891</vt:i4>
      </vt:variant>
      <vt:variant>
        <vt:i4>0</vt:i4>
      </vt:variant>
      <vt:variant>
        <vt:i4>5</vt:i4>
      </vt:variant>
      <vt:variant>
        <vt:lpwstr>http://www.managedfunds.org/</vt:lpwstr>
      </vt:variant>
      <vt:variant>
        <vt:lpwstr/>
      </vt:variant>
      <vt:variant>
        <vt:i4>5046340</vt:i4>
      </vt:variant>
      <vt:variant>
        <vt:i4>888</vt:i4>
      </vt:variant>
      <vt:variant>
        <vt:i4>0</vt:i4>
      </vt:variant>
      <vt:variant>
        <vt:i4>5</vt:i4>
      </vt:variant>
      <vt:variant>
        <vt:lpwstr>http://www.investmentmanagement.com/</vt:lpwstr>
      </vt:variant>
      <vt:variant>
        <vt:lpwstr/>
      </vt:variant>
      <vt:variant>
        <vt:i4>5111836</vt:i4>
      </vt:variant>
      <vt:variant>
        <vt:i4>885</vt:i4>
      </vt:variant>
      <vt:variant>
        <vt:i4>0</vt:i4>
      </vt:variant>
      <vt:variant>
        <vt:i4>5</vt:i4>
      </vt:variant>
      <vt:variant>
        <vt:lpwstr>http://www.bobsguide.com/</vt:lpwstr>
      </vt:variant>
      <vt:variant>
        <vt:lpwstr/>
      </vt:variant>
      <vt:variant>
        <vt:i4>6553651</vt:i4>
      </vt:variant>
      <vt:variant>
        <vt:i4>852</vt:i4>
      </vt:variant>
      <vt:variant>
        <vt:i4>0</vt:i4>
      </vt:variant>
      <vt:variant>
        <vt:i4>5</vt:i4>
      </vt:variant>
      <vt:variant>
        <vt:lpwstr/>
      </vt:variant>
      <vt:variant>
        <vt:lpwstr>_Emerging_Trends_-_Unified Managed A</vt:lpwstr>
      </vt:variant>
      <vt:variant>
        <vt:i4>2293871</vt:i4>
      </vt:variant>
      <vt:variant>
        <vt:i4>843</vt:i4>
      </vt:variant>
      <vt:variant>
        <vt:i4>0</vt:i4>
      </vt:variant>
      <vt:variant>
        <vt:i4>5</vt:i4>
      </vt:variant>
      <vt:variant>
        <vt:lpwstr>http://www.ici.org/</vt:lpwstr>
      </vt:variant>
      <vt:variant>
        <vt:lpwstr/>
      </vt:variant>
      <vt:variant>
        <vt:i4>3276893</vt:i4>
      </vt:variant>
      <vt:variant>
        <vt:i4>837</vt:i4>
      </vt:variant>
      <vt:variant>
        <vt:i4>0</vt:i4>
      </vt:variant>
      <vt:variant>
        <vt:i4>5</vt:i4>
      </vt:variant>
      <vt:variant>
        <vt:lpwstr>http://www.northerntrust.com/pws/jsp/display2.jsp?XML=pages/nt/0403/49511540_528.xml&amp;TYPE=interior</vt:lpwstr>
      </vt:variant>
      <vt:variant>
        <vt:lpwstr/>
      </vt:variant>
      <vt:variant>
        <vt:i4>4063288</vt:i4>
      </vt:variant>
      <vt:variant>
        <vt:i4>825</vt:i4>
      </vt:variant>
      <vt:variant>
        <vt:i4>0</vt:i4>
      </vt:variant>
      <vt:variant>
        <vt:i4>5</vt:i4>
      </vt:variant>
      <vt:variant>
        <vt:lpwstr>http://www.investorwords.com/2501/institution.html</vt:lpwstr>
      </vt:variant>
      <vt:variant>
        <vt:lpwstr/>
      </vt:variant>
      <vt:variant>
        <vt:i4>4849754</vt:i4>
      </vt:variant>
      <vt:variant>
        <vt:i4>822</vt:i4>
      </vt:variant>
      <vt:variant>
        <vt:i4>0</vt:i4>
      </vt:variant>
      <vt:variant>
        <vt:i4>5</vt:i4>
      </vt:variant>
      <vt:variant>
        <vt:lpwstr>http://www.investorwords.com/1707/endowment.html</vt:lpwstr>
      </vt:variant>
      <vt:variant>
        <vt:lpwstr/>
      </vt:variant>
      <vt:variant>
        <vt:i4>6488154</vt:i4>
      </vt:variant>
      <vt:variant>
        <vt:i4>819</vt:i4>
      </vt:variant>
      <vt:variant>
        <vt:i4>0</vt:i4>
      </vt:variant>
      <vt:variant>
        <vt:i4>5</vt:i4>
      </vt:variant>
      <vt:variant>
        <vt:lpwstr>http://www.investorwords.com/2189/going_concern.html</vt:lpwstr>
      </vt:variant>
      <vt:variant>
        <vt:lpwstr/>
      </vt:variant>
      <vt:variant>
        <vt:i4>5767240</vt:i4>
      </vt:variant>
      <vt:variant>
        <vt:i4>816</vt:i4>
      </vt:variant>
      <vt:variant>
        <vt:i4>0</vt:i4>
      </vt:variant>
      <vt:variant>
        <vt:i4>5</vt:i4>
      </vt:variant>
      <vt:variant>
        <vt:lpwstr>http://www.investorwords.com/4725/stock.html</vt:lpwstr>
      </vt:variant>
      <vt:variant>
        <vt:lpwstr/>
      </vt:variant>
      <vt:variant>
        <vt:i4>6488150</vt:i4>
      </vt:variant>
      <vt:variant>
        <vt:i4>813</vt:i4>
      </vt:variant>
      <vt:variant>
        <vt:i4>0</vt:i4>
      </vt:variant>
      <vt:variant>
        <vt:i4>5</vt:i4>
      </vt:variant>
      <vt:variant>
        <vt:lpwstr>http://www.investorwords.com/2816/limited_liability.html</vt:lpwstr>
      </vt:variant>
      <vt:variant>
        <vt:lpwstr/>
      </vt:variant>
      <vt:variant>
        <vt:i4>458841</vt:i4>
      </vt:variant>
      <vt:variant>
        <vt:i4>804</vt:i4>
      </vt:variant>
      <vt:variant>
        <vt:i4>0</vt:i4>
      </vt:variant>
      <vt:variant>
        <vt:i4>5</vt:i4>
      </vt:variant>
      <vt:variant>
        <vt:lpwstr>http://en.wikipedia.org/wiki/USA_PATRIOT_Act</vt:lpwstr>
      </vt:variant>
      <vt:variant>
        <vt:lpwstr/>
      </vt:variant>
      <vt:variant>
        <vt:i4>262226</vt:i4>
      </vt:variant>
      <vt:variant>
        <vt:i4>801</vt:i4>
      </vt:variant>
      <vt:variant>
        <vt:i4>0</vt:i4>
      </vt:variant>
      <vt:variant>
        <vt:i4>5</vt:i4>
      </vt:variant>
      <vt:variant>
        <vt:lpwstr>http://en.wikipedia.org/wiki/Bank_Secrecy_Act</vt:lpwstr>
      </vt:variant>
      <vt:variant>
        <vt:lpwstr/>
      </vt:variant>
      <vt:variant>
        <vt:i4>3539046</vt:i4>
      </vt:variant>
      <vt:variant>
        <vt:i4>798</vt:i4>
      </vt:variant>
      <vt:variant>
        <vt:i4>0</vt:i4>
      </vt:variant>
      <vt:variant>
        <vt:i4>5</vt:i4>
      </vt:variant>
      <vt:variant>
        <vt:lpwstr>http://en.wikipedia.org/wiki/Customer_Identification_Program</vt:lpwstr>
      </vt:variant>
      <vt:variant>
        <vt:lpwstr/>
      </vt:variant>
      <vt:variant>
        <vt:i4>6881280</vt:i4>
      </vt:variant>
      <vt:variant>
        <vt:i4>795</vt:i4>
      </vt:variant>
      <vt:variant>
        <vt:i4>0</vt:i4>
      </vt:variant>
      <vt:variant>
        <vt:i4>5</vt:i4>
      </vt:variant>
      <vt:variant>
        <vt:lpwstr>http://en.wikipedia.org/wiki/Company_%28law%29</vt:lpwstr>
      </vt:variant>
      <vt:variant>
        <vt:lpwstr/>
      </vt:variant>
      <vt:variant>
        <vt:i4>8192021</vt:i4>
      </vt:variant>
      <vt:variant>
        <vt:i4>792</vt:i4>
      </vt:variant>
      <vt:variant>
        <vt:i4>0</vt:i4>
      </vt:variant>
      <vt:variant>
        <vt:i4>5</vt:i4>
      </vt:variant>
      <vt:variant>
        <vt:lpwstr>http://en.wikipedia.org/wiki/Financial_institutions</vt:lpwstr>
      </vt:variant>
      <vt:variant>
        <vt:lpwstr/>
      </vt:variant>
      <vt:variant>
        <vt:i4>3801181</vt:i4>
      </vt:variant>
      <vt:variant>
        <vt:i4>789</vt:i4>
      </vt:variant>
      <vt:variant>
        <vt:i4>0</vt:i4>
      </vt:variant>
      <vt:variant>
        <vt:i4>5</vt:i4>
      </vt:variant>
      <vt:variant>
        <vt:lpwstr>http://en.wikipedia.org/wiki/Bank_regulation</vt:lpwstr>
      </vt:variant>
      <vt:variant>
        <vt:lpwstr/>
      </vt:variant>
      <vt:variant>
        <vt:i4>7995417</vt:i4>
      </vt:variant>
      <vt:variant>
        <vt:i4>786</vt:i4>
      </vt:variant>
      <vt:variant>
        <vt:i4>0</vt:i4>
      </vt:variant>
      <vt:variant>
        <vt:i4>5</vt:i4>
      </vt:variant>
      <vt:variant>
        <vt:lpwstr>http://en.wikipedia.org/wiki/Due_diligence</vt:lpwstr>
      </vt:variant>
      <vt:variant>
        <vt:lpwstr/>
      </vt:variant>
      <vt:variant>
        <vt:i4>5308523</vt:i4>
      </vt:variant>
      <vt:variant>
        <vt:i4>771</vt:i4>
      </vt:variant>
      <vt:variant>
        <vt:i4>0</vt:i4>
      </vt:variant>
      <vt:variant>
        <vt:i4>5</vt:i4>
      </vt:variant>
      <vt:variant>
        <vt:lpwstr>http://www.riskglossary.com/articles/currency_codes.htm</vt:lpwstr>
      </vt:variant>
      <vt:variant>
        <vt:lpwstr/>
      </vt:variant>
      <vt:variant>
        <vt:i4>6750277</vt:i4>
      </vt:variant>
      <vt:variant>
        <vt:i4>768</vt:i4>
      </vt:variant>
      <vt:variant>
        <vt:i4>0</vt:i4>
      </vt:variant>
      <vt:variant>
        <vt:i4>5</vt:i4>
      </vt:variant>
      <vt:variant>
        <vt:lpwstr>http://www.riskglossary.com/articles/var_metric.htm</vt:lpwstr>
      </vt:variant>
      <vt:variant>
        <vt:lpwstr/>
      </vt:variant>
      <vt:variant>
        <vt:i4>5308523</vt:i4>
      </vt:variant>
      <vt:variant>
        <vt:i4>765</vt:i4>
      </vt:variant>
      <vt:variant>
        <vt:i4>0</vt:i4>
      </vt:variant>
      <vt:variant>
        <vt:i4>5</vt:i4>
      </vt:variant>
      <vt:variant>
        <vt:lpwstr>http://www.riskglossary.com/articles/currency_codes.htm</vt:lpwstr>
      </vt:variant>
      <vt:variant>
        <vt:lpwstr/>
      </vt:variant>
      <vt:variant>
        <vt:i4>6750277</vt:i4>
      </vt:variant>
      <vt:variant>
        <vt:i4>762</vt:i4>
      </vt:variant>
      <vt:variant>
        <vt:i4>0</vt:i4>
      </vt:variant>
      <vt:variant>
        <vt:i4>5</vt:i4>
      </vt:variant>
      <vt:variant>
        <vt:lpwstr>http://www.riskglossary.com/articles/var_metric.htm</vt:lpwstr>
      </vt:variant>
      <vt:variant>
        <vt:lpwstr/>
      </vt:variant>
      <vt:variant>
        <vt:i4>5505127</vt:i4>
      </vt:variant>
      <vt:variant>
        <vt:i4>759</vt:i4>
      </vt:variant>
      <vt:variant>
        <vt:i4>0</vt:i4>
      </vt:variant>
      <vt:variant>
        <vt:i4>5</vt:i4>
      </vt:variant>
      <vt:variant>
        <vt:lpwstr>http://www.riskglossary.com/articles/var_measure.htm</vt:lpwstr>
      </vt:variant>
      <vt:variant>
        <vt:lpwstr/>
      </vt:variant>
      <vt:variant>
        <vt:i4>2621489</vt:i4>
      </vt:variant>
      <vt:variant>
        <vt:i4>750</vt:i4>
      </vt:variant>
      <vt:variant>
        <vt:i4>0</vt:i4>
      </vt:variant>
      <vt:variant>
        <vt:i4>5</vt:i4>
      </vt:variant>
      <vt:variant>
        <vt:lpwstr>http://www.riskglossary.com/articles/liquidity.htm</vt:lpwstr>
      </vt:variant>
      <vt:variant>
        <vt:lpwstr/>
      </vt:variant>
      <vt:variant>
        <vt:i4>6750321</vt:i4>
      </vt:variant>
      <vt:variant>
        <vt:i4>747</vt:i4>
      </vt:variant>
      <vt:variant>
        <vt:i4>0</vt:i4>
      </vt:variant>
      <vt:variant>
        <vt:i4>5</vt:i4>
      </vt:variant>
      <vt:variant>
        <vt:lpwstr>http://www.riskglossary.com/articles/return.htm</vt:lpwstr>
      </vt:variant>
      <vt:variant>
        <vt:lpwstr/>
      </vt:variant>
      <vt:variant>
        <vt:i4>6226020</vt:i4>
      </vt:variant>
      <vt:variant>
        <vt:i4>744</vt:i4>
      </vt:variant>
      <vt:variant>
        <vt:i4>0</vt:i4>
      </vt:variant>
      <vt:variant>
        <vt:i4>5</vt:i4>
      </vt:variant>
      <vt:variant>
        <vt:lpwstr>http://www.riskglossary.com/articles/standard_deviation.htm</vt:lpwstr>
      </vt:variant>
      <vt:variant>
        <vt:lpwstr/>
      </vt:variant>
      <vt:variant>
        <vt:i4>8257634</vt:i4>
      </vt:variant>
      <vt:variant>
        <vt:i4>729</vt:i4>
      </vt:variant>
      <vt:variant>
        <vt:i4>0</vt:i4>
      </vt:variant>
      <vt:variant>
        <vt:i4>5</vt:i4>
      </vt:variant>
      <vt:variant>
        <vt:lpwstr>http://www.riskglossary.com/articles/mm.htm</vt:lpwstr>
      </vt:variant>
      <vt:variant>
        <vt:lpwstr/>
      </vt:variant>
      <vt:variant>
        <vt:i4>5308523</vt:i4>
      </vt:variant>
      <vt:variant>
        <vt:i4>726</vt:i4>
      </vt:variant>
      <vt:variant>
        <vt:i4>0</vt:i4>
      </vt:variant>
      <vt:variant>
        <vt:i4>5</vt:i4>
      </vt:variant>
      <vt:variant>
        <vt:lpwstr>http://www.riskglossary.com/articles/currency_codes.htm</vt:lpwstr>
      </vt:variant>
      <vt:variant>
        <vt:lpwstr/>
      </vt:variant>
      <vt:variant>
        <vt:i4>1769496</vt:i4>
      </vt:variant>
      <vt:variant>
        <vt:i4>723</vt:i4>
      </vt:variant>
      <vt:variant>
        <vt:i4>0</vt:i4>
      </vt:variant>
      <vt:variant>
        <vt:i4>5</vt:i4>
      </vt:variant>
      <vt:variant>
        <vt:lpwstr>http://www.riskglossary.com/articles/quantile.htm</vt:lpwstr>
      </vt:variant>
      <vt:variant>
        <vt:lpwstr/>
      </vt:variant>
      <vt:variant>
        <vt:i4>1179661</vt:i4>
      </vt:variant>
      <vt:variant>
        <vt:i4>714</vt:i4>
      </vt:variant>
      <vt:variant>
        <vt:i4>0</vt:i4>
      </vt:variant>
      <vt:variant>
        <vt:i4>5</vt:i4>
      </vt:variant>
      <vt:variant>
        <vt:lpwstr>http://www.riskglossary.com/articles/risk.htm</vt:lpwstr>
      </vt:variant>
      <vt:variant>
        <vt:lpwstr/>
      </vt:variant>
      <vt:variant>
        <vt:i4>3145778</vt:i4>
      </vt:variant>
      <vt:variant>
        <vt:i4>711</vt:i4>
      </vt:variant>
      <vt:variant>
        <vt:i4>0</vt:i4>
      </vt:variant>
      <vt:variant>
        <vt:i4>5</vt:i4>
      </vt:variant>
      <vt:variant>
        <vt:lpwstr>http://www.riskglossary.com/articles/valuation.htm</vt:lpwstr>
      </vt:variant>
      <vt:variant>
        <vt:lpwstr/>
      </vt:variant>
      <vt:variant>
        <vt:i4>393229</vt:i4>
      </vt:variant>
      <vt:variant>
        <vt:i4>708</vt:i4>
      </vt:variant>
      <vt:variant>
        <vt:i4>0</vt:i4>
      </vt:variant>
      <vt:variant>
        <vt:i4>5</vt:i4>
      </vt:variant>
      <vt:variant>
        <vt:lpwstr>http://www.riskglossary.com/articles/risk_metric_and_risk_measure.htm</vt:lpwstr>
      </vt:variant>
      <vt:variant>
        <vt:lpwstr/>
      </vt:variant>
      <vt:variant>
        <vt:i4>6619256</vt:i4>
      </vt:variant>
      <vt:variant>
        <vt:i4>705</vt:i4>
      </vt:variant>
      <vt:variant>
        <vt:i4>0</vt:i4>
      </vt:variant>
      <vt:variant>
        <vt:i4>5</vt:i4>
      </vt:variant>
      <vt:variant>
        <vt:lpwstr>http://www.riskglossary.com/articles/volatility.htm</vt:lpwstr>
      </vt:variant>
      <vt:variant>
        <vt:lpwstr/>
      </vt:variant>
      <vt:variant>
        <vt:i4>7012418</vt:i4>
      </vt:variant>
      <vt:variant>
        <vt:i4>702</vt:i4>
      </vt:variant>
      <vt:variant>
        <vt:i4>0</vt:i4>
      </vt:variant>
      <vt:variant>
        <vt:i4>5</vt:i4>
      </vt:variant>
      <vt:variant>
        <vt:lpwstr>http://www.riskglossary.com/articles/market_risk.htm</vt:lpwstr>
      </vt:variant>
      <vt:variant>
        <vt:lpwstr/>
      </vt:variant>
      <vt:variant>
        <vt:i4>393229</vt:i4>
      </vt:variant>
      <vt:variant>
        <vt:i4>699</vt:i4>
      </vt:variant>
      <vt:variant>
        <vt:i4>0</vt:i4>
      </vt:variant>
      <vt:variant>
        <vt:i4>5</vt:i4>
      </vt:variant>
      <vt:variant>
        <vt:lpwstr>http://www.riskglossary.com/articles/risk_metric_and_risk_measure.htm</vt:lpwstr>
      </vt:variant>
      <vt:variant>
        <vt:lpwstr/>
      </vt:variant>
      <vt:variant>
        <vt:i4>8061034</vt:i4>
      </vt:variant>
      <vt:variant>
        <vt:i4>687</vt:i4>
      </vt:variant>
      <vt:variant>
        <vt:i4>0</vt:i4>
      </vt:variant>
      <vt:variant>
        <vt:i4>5</vt:i4>
      </vt:variant>
      <vt:variant>
        <vt:lpwstr>http://www.businessdictionary.com/definition/location.html</vt:lpwstr>
      </vt:variant>
      <vt:variant>
        <vt:lpwstr/>
      </vt:variant>
      <vt:variant>
        <vt:i4>6750322</vt:i4>
      </vt:variant>
      <vt:variant>
        <vt:i4>684</vt:i4>
      </vt:variant>
      <vt:variant>
        <vt:i4>0</vt:i4>
      </vt:variant>
      <vt:variant>
        <vt:i4>5</vt:i4>
      </vt:variant>
      <vt:variant>
        <vt:lpwstr>http://www.businessdictionary.com/definition/fund.html</vt:lpwstr>
      </vt:variant>
      <vt:variant>
        <vt:lpwstr/>
      </vt:variant>
      <vt:variant>
        <vt:i4>2686985</vt:i4>
      </vt:variant>
      <vt:variant>
        <vt:i4>681</vt:i4>
      </vt:variant>
      <vt:variant>
        <vt:i4>0</vt:i4>
      </vt:variant>
      <vt:variant>
        <vt:i4>5</vt:i4>
      </vt:variant>
      <vt:variant>
        <vt:lpwstr>http://www.investorwords.com/3173/mutual_fund.html</vt:lpwstr>
      </vt:variant>
      <vt:variant>
        <vt:lpwstr/>
      </vt:variant>
      <vt:variant>
        <vt:i4>1966102</vt:i4>
      </vt:variant>
      <vt:variant>
        <vt:i4>678</vt:i4>
      </vt:variant>
      <vt:variant>
        <vt:i4>0</vt:i4>
      </vt:variant>
      <vt:variant>
        <vt:i4>5</vt:i4>
      </vt:variant>
      <vt:variant>
        <vt:lpwstr>http://www.businessdictionary.com/definition/access.html</vt:lpwstr>
      </vt:variant>
      <vt:variant>
        <vt:lpwstr/>
      </vt:variant>
      <vt:variant>
        <vt:i4>5570623</vt:i4>
      </vt:variant>
      <vt:variant>
        <vt:i4>675</vt:i4>
      </vt:variant>
      <vt:variant>
        <vt:i4>0</vt:i4>
      </vt:variant>
      <vt:variant>
        <vt:i4>5</vt:i4>
      </vt:variant>
      <vt:variant>
        <vt:lpwstr>http://en.wikipedia.org/wiki/Growth_capital</vt:lpwstr>
      </vt:variant>
      <vt:variant>
        <vt:lpwstr/>
      </vt:variant>
      <vt:variant>
        <vt:i4>4653160</vt:i4>
      </vt:variant>
      <vt:variant>
        <vt:i4>672</vt:i4>
      </vt:variant>
      <vt:variant>
        <vt:i4>0</vt:i4>
      </vt:variant>
      <vt:variant>
        <vt:i4>5</vt:i4>
      </vt:variant>
      <vt:variant>
        <vt:lpwstr>http://en.wikipedia.org/wiki/Start-up_companies</vt:lpwstr>
      </vt:variant>
      <vt:variant>
        <vt:lpwstr/>
      </vt:variant>
      <vt:variant>
        <vt:i4>1835104</vt:i4>
      </vt:variant>
      <vt:variant>
        <vt:i4>669</vt:i4>
      </vt:variant>
      <vt:variant>
        <vt:i4>0</vt:i4>
      </vt:variant>
      <vt:variant>
        <vt:i4>5</vt:i4>
      </vt:variant>
      <vt:variant>
        <vt:lpwstr>http://en.wikipedia.org/wiki/Venture_Capital</vt:lpwstr>
      </vt:variant>
      <vt:variant>
        <vt:lpwstr/>
      </vt:variant>
      <vt:variant>
        <vt:i4>1835104</vt:i4>
      </vt:variant>
      <vt:variant>
        <vt:i4>666</vt:i4>
      </vt:variant>
      <vt:variant>
        <vt:i4>0</vt:i4>
      </vt:variant>
      <vt:variant>
        <vt:i4>5</vt:i4>
      </vt:variant>
      <vt:variant>
        <vt:lpwstr>http://en.wikipedia.org/wiki/Venture_capital</vt:lpwstr>
      </vt:variant>
      <vt:variant>
        <vt:lpwstr/>
      </vt:variant>
      <vt:variant>
        <vt:i4>1704052</vt:i4>
      </vt:variant>
      <vt:variant>
        <vt:i4>663</vt:i4>
      </vt:variant>
      <vt:variant>
        <vt:i4>0</vt:i4>
      </vt:variant>
      <vt:variant>
        <vt:i4>5</vt:i4>
      </vt:variant>
      <vt:variant>
        <vt:lpwstr>http://en.wikipedia.org/wiki/Leveraged_buyout</vt:lpwstr>
      </vt:variant>
      <vt:variant>
        <vt:lpwstr/>
      </vt:variant>
      <vt:variant>
        <vt:i4>1704052</vt:i4>
      </vt:variant>
      <vt:variant>
        <vt:i4>660</vt:i4>
      </vt:variant>
      <vt:variant>
        <vt:i4>0</vt:i4>
      </vt:variant>
      <vt:variant>
        <vt:i4>5</vt:i4>
      </vt:variant>
      <vt:variant>
        <vt:lpwstr>http://en.wikipedia.org/wiki/Leveraged_buyout</vt:lpwstr>
      </vt:variant>
      <vt:variant>
        <vt:lpwstr/>
      </vt:variant>
      <vt:variant>
        <vt:i4>6815747</vt:i4>
      </vt:variant>
      <vt:variant>
        <vt:i4>657</vt:i4>
      </vt:variant>
      <vt:variant>
        <vt:i4>0</vt:i4>
      </vt:variant>
      <vt:variant>
        <vt:i4>5</vt:i4>
      </vt:variant>
      <vt:variant>
        <vt:lpwstr>http://en.wikipedia.org/wiki/Stock_exchange</vt:lpwstr>
      </vt:variant>
      <vt:variant>
        <vt:lpwstr/>
      </vt:variant>
      <vt:variant>
        <vt:i4>2424902</vt:i4>
      </vt:variant>
      <vt:variant>
        <vt:i4>654</vt:i4>
      </vt:variant>
      <vt:variant>
        <vt:i4>0</vt:i4>
      </vt:variant>
      <vt:variant>
        <vt:i4>5</vt:i4>
      </vt:variant>
      <vt:variant>
        <vt:lpwstr>http://en.wikipedia.org/wiki/Publicly_traded</vt:lpwstr>
      </vt:variant>
      <vt:variant>
        <vt:lpwstr/>
      </vt:variant>
      <vt:variant>
        <vt:i4>8060973</vt:i4>
      </vt:variant>
      <vt:variant>
        <vt:i4>651</vt:i4>
      </vt:variant>
      <vt:variant>
        <vt:i4>0</vt:i4>
      </vt:variant>
      <vt:variant>
        <vt:i4>5</vt:i4>
      </vt:variant>
      <vt:variant>
        <vt:lpwstr>http://en.wikipedia.org/wiki/Equity</vt:lpwstr>
      </vt:variant>
      <vt:variant>
        <vt:lpwstr/>
      </vt:variant>
      <vt:variant>
        <vt:i4>524387</vt:i4>
      </vt:variant>
      <vt:variant>
        <vt:i4>648</vt:i4>
      </vt:variant>
      <vt:variant>
        <vt:i4>0</vt:i4>
      </vt:variant>
      <vt:variant>
        <vt:i4>5</vt:i4>
      </vt:variant>
      <vt:variant>
        <vt:lpwstr>http://en.wikipedia.org/wiki/Asset_class</vt:lpwstr>
      </vt:variant>
      <vt:variant>
        <vt:lpwstr/>
      </vt:variant>
      <vt:variant>
        <vt:i4>5636147</vt:i4>
      </vt:variant>
      <vt:variant>
        <vt:i4>645</vt:i4>
      </vt:variant>
      <vt:variant>
        <vt:i4>0</vt:i4>
      </vt:variant>
      <vt:variant>
        <vt:i4>5</vt:i4>
      </vt:variant>
      <vt:variant>
        <vt:lpwstr>http://en.wikipedia.org/wiki/Wealth_management</vt:lpwstr>
      </vt:variant>
      <vt:variant>
        <vt:lpwstr/>
      </vt:variant>
      <vt:variant>
        <vt:i4>4587581</vt:i4>
      </vt:variant>
      <vt:variant>
        <vt:i4>642</vt:i4>
      </vt:variant>
      <vt:variant>
        <vt:i4>0</vt:i4>
      </vt:variant>
      <vt:variant>
        <vt:i4>5</vt:i4>
      </vt:variant>
      <vt:variant>
        <vt:lpwstr>http://en.wikipedia.org/wiki/High_net_worth_individual</vt:lpwstr>
      </vt:variant>
      <vt:variant>
        <vt:lpwstr/>
      </vt:variant>
      <vt:variant>
        <vt:i4>4915256</vt:i4>
      </vt:variant>
      <vt:variant>
        <vt:i4>639</vt:i4>
      </vt:variant>
      <vt:variant>
        <vt:i4>0</vt:i4>
      </vt:variant>
      <vt:variant>
        <vt:i4>5</vt:i4>
      </vt:variant>
      <vt:variant>
        <vt:lpwstr>http://en.wikipedia.org/wiki/Retail_banking</vt:lpwstr>
      </vt:variant>
      <vt:variant>
        <vt:lpwstr/>
      </vt:variant>
      <vt:variant>
        <vt:i4>7405584</vt:i4>
      </vt:variant>
      <vt:variant>
        <vt:i4>636</vt:i4>
      </vt:variant>
      <vt:variant>
        <vt:i4>0</vt:i4>
      </vt:variant>
      <vt:variant>
        <vt:i4>5</vt:i4>
      </vt:variant>
      <vt:variant>
        <vt:lpwstr>http://en.wikipedia.org/wiki/Financial_services</vt:lpwstr>
      </vt:variant>
      <vt:variant>
        <vt:lpwstr/>
      </vt:variant>
      <vt:variant>
        <vt:i4>7340079</vt:i4>
      </vt:variant>
      <vt:variant>
        <vt:i4>633</vt:i4>
      </vt:variant>
      <vt:variant>
        <vt:i4>0</vt:i4>
      </vt:variant>
      <vt:variant>
        <vt:i4>5</vt:i4>
      </vt:variant>
      <vt:variant>
        <vt:lpwstr>http://en.wikipedia.org/wiki/Investment</vt:lpwstr>
      </vt:variant>
      <vt:variant>
        <vt:lpwstr/>
      </vt:variant>
      <vt:variant>
        <vt:i4>1245268</vt:i4>
      </vt:variant>
      <vt:variant>
        <vt:i4>630</vt:i4>
      </vt:variant>
      <vt:variant>
        <vt:i4>0</vt:i4>
      </vt:variant>
      <vt:variant>
        <vt:i4>5</vt:i4>
      </vt:variant>
      <vt:variant>
        <vt:lpwstr>http://en.wikipedia.org/wiki/Bank</vt:lpwstr>
      </vt:variant>
      <vt:variant>
        <vt:lpwstr/>
      </vt:variant>
      <vt:variant>
        <vt:i4>1900651</vt:i4>
      </vt:variant>
      <vt:variant>
        <vt:i4>612</vt:i4>
      </vt:variant>
      <vt:variant>
        <vt:i4>0</vt:i4>
      </vt:variant>
      <vt:variant>
        <vt:i4>5</vt:i4>
      </vt:variant>
      <vt:variant>
        <vt:lpwstr>http://en.wikipedia.org/wiki/Default_risk</vt:lpwstr>
      </vt:variant>
      <vt:variant>
        <vt:lpwstr/>
      </vt:variant>
      <vt:variant>
        <vt:i4>1769568</vt:i4>
      </vt:variant>
      <vt:variant>
        <vt:i4>609</vt:i4>
      </vt:variant>
      <vt:variant>
        <vt:i4>0</vt:i4>
      </vt:variant>
      <vt:variant>
        <vt:i4>5</vt:i4>
      </vt:variant>
      <vt:variant>
        <vt:lpwstr>http://en.wikipedia.org/wiki/Coupon_%28bond%29</vt:lpwstr>
      </vt:variant>
      <vt:variant>
        <vt:lpwstr/>
      </vt:variant>
      <vt:variant>
        <vt:i4>4194367</vt:i4>
      </vt:variant>
      <vt:variant>
        <vt:i4>606</vt:i4>
      </vt:variant>
      <vt:variant>
        <vt:i4>0</vt:i4>
      </vt:variant>
      <vt:variant>
        <vt:i4>5</vt:i4>
      </vt:variant>
      <vt:variant>
        <vt:lpwstr>http://en.wikipedia.org/wiki/Credit_rating</vt:lpwstr>
      </vt:variant>
      <vt:variant>
        <vt:lpwstr/>
      </vt:variant>
      <vt:variant>
        <vt:i4>786497</vt:i4>
      </vt:variant>
      <vt:variant>
        <vt:i4>603</vt:i4>
      </vt:variant>
      <vt:variant>
        <vt:i4>0</vt:i4>
      </vt:variant>
      <vt:variant>
        <vt:i4>5</vt:i4>
      </vt:variant>
      <vt:variant>
        <vt:lpwstr>http://en.wikipedia.org/wiki/Tranches</vt:lpwstr>
      </vt:variant>
      <vt:variant>
        <vt:lpwstr/>
      </vt:variant>
      <vt:variant>
        <vt:i4>5832752</vt:i4>
      </vt:variant>
      <vt:variant>
        <vt:i4>600</vt:i4>
      </vt:variant>
      <vt:variant>
        <vt:i4>0</vt:i4>
      </vt:variant>
      <vt:variant>
        <vt:i4>5</vt:i4>
      </vt:variant>
      <vt:variant>
        <vt:lpwstr>http://en.wikipedia.org/wiki/Structured_finance</vt:lpwstr>
      </vt:variant>
      <vt:variant>
        <vt:lpwstr/>
      </vt:variant>
      <vt:variant>
        <vt:i4>4325494</vt:i4>
      </vt:variant>
      <vt:variant>
        <vt:i4>597</vt:i4>
      </vt:variant>
      <vt:variant>
        <vt:i4>0</vt:i4>
      </vt:variant>
      <vt:variant>
        <vt:i4>5</vt:i4>
      </vt:variant>
      <vt:variant>
        <vt:lpwstr>http://en.wikipedia.org/wiki/Asset-backed_security</vt:lpwstr>
      </vt:variant>
      <vt:variant>
        <vt:lpwstr/>
      </vt:variant>
      <vt:variant>
        <vt:i4>3014731</vt:i4>
      </vt:variant>
      <vt:variant>
        <vt:i4>588</vt:i4>
      </vt:variant>
      <vt:variant>
        <vt:i4>0</vt:i4>
      </vt:variant>
      <vt:variant>
        <vt:i4>5</vt:i4>
      </vt:variant>
      <vt:variant>
        <vt:lpwstr>http://en.wikipedia.org/wiki/Credit_union</vt:lpwstr>
      </vt:variant>
      <vt:variant>
        <vt:lpwstr/>
      </vt:variant>
      <vt:variant>
        <vt:i4>4063308</vt:i4>
      </vt:variant>
      <vt:variant>
        <vt:i4>585</vt:i4>
      </vt:variant>
      <vt:variant>
        <vt:i4>0</vt:i4>
      </vt:variant>
      <vt:variant>
        <vt:i4>5</vt:i4>
      </vt:variant>
      <vt:variant>
        <vt:lpwstr>http://en.wikipedia.org/wiki/Savings_and_loan_association</vt:lpwstr>
      </vt:variant>
      <vt:variant>
        <vt:lpwstr/>
      </vt:variant>
      <vt:variant>
        <vt:i4>1245268</vt:i4>
      </vt:variant>
      <vt:variant>
        <vt:i4>582</vt:i4>
      </vt:variant>
      <vt:variant>
        <vt:i4>0</vt:i4>
      </vt:variant>
      <vt:variant>
        <vt:i4>5</vt:i4>
      </vt:variant>
      <vt:variant>
        <vt:lpwstr>http://en.wikipedia.org/wiki/Bank</vt:lpwstr>
      </vt:variant>
      <vt:variant>
        <vt:lpwstr/>
      </vt:variant>
      <vt:variant>
        <vt:i4>3801182</vt:i4>
      </vt:variant>
      <vt:variant>
        <vt:i4>579</vt:i4>
      </vt:variant>
      <vt:variant>
        <vt:i4>0</vt:i4>
      </vt:variant>
      <vt:variant>
        <vt:i4>5</vt:i4>
      </vt:variant>
      <vt:variant>
        <vt:lpwstr>http://en.wikipedia.org/wiki/Time_deposit</vt:lpwstr>
      </vt:variant>
      <vt:variant>
        <vt:lpwstr/>
      </vt:variant>
      <vt:variant>
        <vt:i4>1048688</vt:i4>
      </vt:variant>
      <vt:variant>
        <vt:i4>576</vt:i4>
      </vt:variant>
      <vt:variant>
        <vt:i4>0</vt:i4>
      </vt:variant>
      <vt:variant>
        <vt:i4>5</vt:i4>
      </vt:variant>
      <vt:variant>
        <vt:lpwstr>http://en.wikipedia.org/wiki/Accrued_interest</vt:lpwstr>
      </vt:variant>
      <vt:variant>
        <vt:lpwstr/>
      </vt:variant>
      <vt:variant>
        <vt:i4>786534</vt:i4>
      </vt:variant>
      <vt:variant>
        <vt:i4>573</vt:i4>
      </vt:variant>
      <vt:variant>
        <vt:i4>0</vt:i4>
      </vt:variant>
      <vt:variant>
        <vt:i4>5</vt:i4>
      </vt:variant>
      <vt:variant>
        <vt:lpwstr>http://en.wikipedia.org/wiki/Dirty_price</vt:lpwstr>
      </vt:variant>
      <vt:variant>
        <vt:lpwstr/>
      </vt:variant>
      <vt:variant>
        <vt:i4>1048688</vt:i4>
      </vt:variant>
      <vt:variant>
        <vt:i4>570</vt:i4>
      </vt:variant>
      <vt:variant>
        <vt:i4>0</vt:i4>
      </vt:variant>
      <vt:variant>
        <vt:i4>5</vt:i4>
      </vt:variant>
      <vt:variant>
        <vt:lpwstr>http://en.wikipedia.org/wiki/Accrued_interest</vt:lpwstr>
      </vt:variant>
      <vt:variant>
        <vt:lpwstr/>
      </vt:variant>
      <vt:variant>
        <vt:i4>196699</vt:i4>
      </vt:variant>
      <vt:variant>
        <vt:i4>567</vt:i4>
      </vt:variant>
      <vt:variant>
        <vt:i4>0</vt:i4>
      </vt:variant>
      <vt:variant>
        <vt:i4>5</vt:i4>
      </vt:variant>
      <vt:variant>
        <vt:lpwstr>http://en.wikipedia.org/wiki/Interest</vt:lpwstr>
      </vt:variant>
      <vt:variant>
        <vt:lpwstr/>
      </vt:variant>
      <vt:variant>
        <vt:i4>5177453</vt:i4>
      </vt:variant>
      <vt:variant>
        <vt:i4>564</vt:i4>
      </vt:variant>
      <vt:variant>
        <vt:i4>0</vt:i4>
      </vt:variant>
      <vt:variant>
        <vt:i4>5</vt:i4>
      </vt:variant>
      <vt:variant>
        <vt:lpwstr>http://en.wikipedia.org/wiki/Bond_%28finance%29</vt:lpwstr>
      </vt:variant>
      <vt:variant>
        <vt:lpwstr/>
      </vt:variant>
      <vt:variant>
        <vt:i4>6488100</vt:i4>
      </vt:variant>
      <vt:variant>
        <vt:i4>561</vt:i4>
      </vt:variant>
      <vt:variant>
        <vt:i4>0</vt:i4>
      </vt:variant>
      <vt:variant>
        <vt:i4>5</vt:i4>
      </vt:variant>
      <vt:variant>
        <vt:lpwstr>http://en.wikipedia.org/wiki/Price</vt:lpwstr>
      </vt:variant>
      <vt:variant>
        <vt:lpwstr/>
      </vt:variant>
      <vt:variant>
        <vt:i4>1179764</vt:i4>
      </vt:variant>
      <vt:variant>
        <vt:i4>549</vt:i4>
      </vt:variant>
      <vt:variant>
        <vt:i4>0</vt:i4>
      </vt:variant>
      <vt:variant>
        <vt:i4>5</vt:i4>
      </vt:variant>
      <vt:variant>
        <vt:lpwstr>http://en.wikipedia.org/wiki/Portfolio_%28finance%29</vt:lpwstr>
      </vt:variant>
      <vt:variant>
        <vt:lpwstr/>
      </vt:variant>
      <vt:variant>
        <vt:i4>7929891</vt:i4>
      </vt:variant>
      <vt:variant>
        <vt:i4>546</vt:i4>
      </vt:variant>
      <vt:variant>
        <vt:i4>0</vt:i4>
      </vt:variant>
      <vt:variant>
        <vt:i4>5</vt:i4>
      </vt:variant>
      <vt:variant>
        <vt:lpwstr>http://en.wikipedia.org/wiki/Asset</vt:lpwstr>
      </vt:variant>
      <vt:variant>
        <vt:lpwstr/>
      </vt:variant>
      <vt:variant>
        <vt:i4>5505041</vt:i4>
      </vt:variant>
      <vt:variant>
        <vt:i4>543</vt:i4>
      </vt:variant>
      <vt:variant>
        <vt:i4>0</vt:i4>
      </vt:variant>
      <vt:variant>
        <vt:i4>5</vt:i4>
      </vt:variant>
      <vt:variant>
        <vt:lpwstr>http://en.wikipedia.org/wiki/Rate_of_return</vt:lpwstr>
      </vt:variant>
      <vt:variant>
        <vt:lpwstr/>
      </vt:variant>
      <vt:variant>
        <vt:i4>1441852</vt:i4>
      </vt:variant>
      <vt:variant>
        <vt:i4>530</vt:i4>
      </vt:variant>
      <vt:variant>
        <vt:i4>0</vt:i4>
      </vt:variant>
      <vt:variant>
        <vt:i4>5</vt:i4>
      </vt:variant>
      <vt:variant>
        <vt:lpwstr/>
      </vt:variant>
      <vt:variant>
        <vt:lpwstr>_Toc207006978</vt:lpwstr>
      </vt:variant>
      <vt:variant>
        <vt:i4>1179703</vt:i4>
      </vt:variant>
      <vt:variant>
        <vt:i4>521</vt:i4>
      </vt:variant>
      <vt:variant>
        <vt:i4>0</vt:i4>
      </vt:variant>
      <vt:variant>
        <vt:i4>5</vt:i4>
      </vt:variant>
      <vt:variant>
        <vt:lpwstr/>
      </vt:variant>
      <vt:variant>
        <vt:lpwstr>_Toc207007222</vt:lpwstr>
      </vt:variant>
      <vt:variant>
        <vt:i4>1179703</vt:i4>
      </vt:variant>
      <vt:variant>
        <vt:i4>515</vt:i4>
      </vt:variant>
      <vt:variant>
        <vt:i4>0</vt:i4>
      </vt:variant>
      <vt:variant>
        <vt:i4>5</vt:i4>
      </vt:variant>
      <vt:variant>
        <vt:lpwstr/>
      </vt:variant>
      <vt:variant>
        <vt:lpwstr>_Toc207007221</vt:lpwstr>
      </vt:variant>
      <vt:variant>
        <vt:i4>1179703</vt:i4>
      </vt:variant>
      <vt:variant>
        <vt:i4>509</vt:i4>
      </vt:variant>
      <vt:variant>
        <vt:i4>0</vt:i4>
      </vt:variant>
      <vt:variant>
        <vt:i4>5</vt:i4>
      </vt:variant>
      <vt:variant>
        <vt:lpwstr/>
      </vt:variant>
      <vt:variant>
        <vt:lpwstr>_Toc207007220</vt:lpwstr>
      </vt:variant>
      <vt:variant>
        <vt:i4>1114167</vt:i4>
      </vt:variant>
      <vt:variant>
        <vt:i4>503</vt:i4>
      </vt:variant>
      <vt:variant>
        <vt:i4>0</vt:i4>
      </vt:variant>
      <vt:variant>
        <vt:i4>5</vt:i4>
      </vt:variant>
      <vt:variant>
        <vt:lpwstr/>
      </vt:variant>
      <vt:variant>
        <vt:lpwstr>_Toc207007219</vt:lpwstr>
      </vt:variant>
      <vt:variant>
        <vt:i4>1114167</vt:i4>
      </vt:variant>
      <vt:variant>
        <vt:i4>497</vt:i4>
      </vt:variant>
      <vt:variant>
        <vt:i4>0</vt:i4>
      </vt:variant>
      <vt:variant>
        <vt:i4>5</vt:i4>
      </vt:variant>
      <vt:variant>
        <vt:lpwstr/>
      </vt:variant>
      <vt:variant>
        <vt:lpwstr>_Toc207007218</vt:lpwstr>
      </vt:variant>
      <vt:variant>
        <vt:i4>1114167</vt:i4>
      </vt:variant>
      <vt:variant>
        <vt:i4>491</vt:i4>
      </vt:variant>
      <vt:variant>
        <vt:i4>0</vt:i4>
      </vt:variant>
      <vt:variant>
        <vt:i4>5</vt:i4>
      </vt:variant>
      <vt:variant>
        <vt:lpwstr/>
      </vt:variant>
      <vt:variant>
        <vt:lpwstr>_Toc207007217</vt:lpwstr>
      </vt:variant>
      <vt:variant>
        <vt:i4>1114167</vt:i4>
      </vt:variant>
      <vt:variant>
        <vt:i4>485</vt:i4>
      </vt:variant>
      <vt:variant>
        <vt:i4>0</vt:i4>
      </vt:variant>
      <vt:variant>
        <vt:i4>5</vt:i4>
      </vt:variant>
      <vt:variant>
        <vt:lpwstr/>
      </vt:variant>
      <vt:variant>
        <vt:lpwstr>_Toc207007216</vt:lpwstr>
      </vt:variant>
      <vt:variant>
        <vt:i4>1114167</vt:i4>
      </vt:variant>
      <vt:variant>
        <vt:i4>479</vt:i4>
      </vt:variant>
      <vt:variant>
        <vt:i4>0</vt:i4>
      </vt:variant>
      <vt:variant>
        <vt:i4>5</vt:i4>
      </vt:variant>
      <vt:variant>
        <vt:lpwstr/>
      </vt:variant>
      <vt:variant>
        <vt:lpwstr>_Toc207007215</vt:lpwstr>
      </vt:variant>
      <vt:variant>
        <vt:i4>1114167</vt:i4>
      </vt:variant>
      <vt:variant>
        <vt:i4>473</vt:i4>
      </vt:variant>
      <vt:variant>
        <vt:i4>0</vt:i4>
      </vt:variant>
      <vt:variant>
        <vt:i4>5</vt:i4>
      </vt:variant>
      <vt:variant>
        <vt:lpwstr/>
      </vt:variant>
      <vt:variant>
        <vt:lpwstr>_Toc207007214</vt:lpwstr>
      </vt:variant>
      <vt:variant>
        <vt:i4>1114167</vt:i4>
      </vt:variant>
      <vt:variant>
        <vt:i4>467</vt:i4>
      </vt:variant>
      <vt:variant>
        <vt:i4>0</vt:i4>
      </vt:variant>
      <vt:variant>
        <vt:i4>5</vt:i4>
      </vt:variant>
      <vt:variant>
        <vt:lpwstr/>
      </vt:variant>
      <vt:variant>
        <vt:lpwstr>_Toc207007213</vt:lpwstr>
      </vt:variant>
      <vt:variant>
        <vt:i4>1114167</vt:i4>
      </vt:variant>
      <vt:variant>
        <vt:i4>461</vt:i4>
      </vt:variant>
      <vt:variant>
        <vt:i4>0</vt:i4>
      </vt:variant>
      <vt:variant>
        <vt:i4>5</vt:i4>
      </vt:variant>
      <vt:variant>
        <vt:lpwstr/>
      </vt:variant>
      <vt:variant>
        <vt:lpwstr>_Toc207007212</vt:lpwstr>
      </vt:variant>
      <vt:variant>
        <vt:i4>1114167</vt:i4>
      </vt:variant>
      <vt:variant>
        <vt:i4>455</vt:i4>
      </vt:variant>
      <vt:variant>
        <vt:i4>0</vt:i4>
      </vt:variant>
      <vt:variant>
        <vt:i4>5</vt:i4>
      </vt:variant>
      <vt:variant>
        <vt:lpwstr/>
      </vt:variant>
      <vt:variant>
        <vt:lpwstr>_Toc207007211</vt:lpwstr>
      </vt:variant>
      <vt:variant>
        <vt:i4>1114167</vt:i4>
      </vt:variant>
      <vt:variant>
        <vt:i4>449</vt:i4>
      </vt:variant>
      <vt:variant>
        <vt:i4>0</vt:i4>
      </vt:variant>
      <vt:variant>
        <vt:i4>5</vt:i4>
      </vt:variant>
      <vt:variant>
        <vt:lpwstr/>
      </vt:variant>
      <vt:variant>
        <vt:lpwstr>_Toc207007210</vt:lpwstr>
      </vt:variant>
      <vt:variant>
        <vt:i4>1048631</vt:i4>
      </vt:variant>
      <vt:variant>
        <vt:i4>443</vt:i4>
      </vt:variant>
      <vt:variant>
        <vt:i4>0</vt:i4>
      </vt:variant>
      <vt:variant>
        <vt:i4>5</vt:i4>
      </vt:variant>
      <vt:variant>
        <vt:lpwstr/>
      </vt:variant>
      <vt:variant>
        <vt:lpwstr>_Toc207007209</vt:lpwstr>
      </vt:variant>
      <vt:variant>
        <vt:i4>1048631</vt:i4>
      </vt:variant>
      <vt:variant>
        <vt:i4>437</vt:i4>
      </vt:variant>
      <vt:variant>
        <vt:i4>0</vt:i4>
      </vt:variant>
      <vt:variant>
        <vt:i4>5</vt:i4>
      </vt:variant>
      <vt:variant>
        <vt:lpwstr/>
      </vt:variant>
      <vt:variant>
        <vt:lpwstr>_Toc207007208</vt:lpwstr>
      </vt:variant>
      <vt:variant>
        <vt:i4>1048631</vt:i4>
      </vt:variant>
      <vt:variant>
        <vt:i4>431</vt:i4>
      </vt:variant>
      <vt:variant>
        <vt:i4>0</vt:i4>
      </vt:variant>
      <vt:variant>
        <vt:i4>5</vt:i4>
      </vt:variant>
      <vt:variant>
        <vt:lpwstr/>
      </vt:variant>
      <vt:variant>
        <vt:lpwstr>_Toc207007207</vt:lpwstr>
      </vt:variant>
      <vt:variant>
        <vt:i4>1114175</vt:i4>
      </vt:variant>
      <vt:variant>
        <vt:i4>422</vt:i4>
      </vt:variant>
      <vt:variant>
        <vt:i4>0</vt:i4>
      </vt:variant>
      <vt:variant>
        <vt:i4>5</vt:i4>
      </vt:variant>
      <vt:variant>
        <vt:lpwstr/>
      </vt:variant>
      <vt:variant>
        <vt:lpwstr>_Toc208120775</vt:lpwstr>
      </vt:variant>
      <vt:variant>
        <vt:i4>1114175</vt:i4>
      </vt:variant>
      <vt:variant>
        <vt:i4>416</vt:i4>
      </vt:variant>
      <vt:variant>
        <vt:i4>0</vt:i4>
      </vt:variant>
      <vt:variant>
        <vt:i4>5</vt:i4>
      </vt:variant>
      <vt:variant>
        <vt:lpwstr/>
      </vt:variant>
      <vt:variant>
        <vt:lpwstr>_Toc208120774</vt:lpwstr>
      </vt:variant>
      <vt:variant>
        <vt:i4>1114175</vt:i4>
      </vt:variant>
      <vt:variant>
        <vt:i4>410</vt:i4>
      </vt:variant>
      <vt:variant>
        <vt:i4>0</vt:i4>
      </vt:variant>
      <vt:variant>
        <vt:i4>5</vt:i4>
      </vt:variant>
      <vt:variant>
        <vt:lpwstr/>
      </vt:variant>
      <vt:variant>
        <vt:lpwstr>_Toc208120773</vt:lpwstr>
      </vt:variant>
      <vt:variant>
        <vt:i4>1114175</vt:i4>
      </vt:variant>
      <vt:variant>
        <vt:i4>404</vt:i4>
      </vt:variant>
      <vt:variant>
        <vt:i4>0</vt:i4>
      </vt:variant>
      <vt:variant>
        <vt:i4>5</vt:i4>
      </vt:variant>
      <vt:variant>
        <vt:lpwstr/>
      </vt:variant>
      <vt:variant>
        <vt:lpwstr>_Toc208120772</vt:lpwstr>
      </vt:variant>
      <vt:variant>
        <vt:i4>1114175</vt:i4>
      </vt:variant>
      <vt:variant>
        <vt:i4>398</vt:i4>
      </vt:variant>
      <vt:variant>
        <vt:i4>0</vt:i4>
      </vt:variant>
      <vt:variant>
        <vt:i4>5</vt:i4>
      </vt:variant>
      <vt:variant>
        <vt:lpwstr/>
      </vt:variant>
      <vt:variant>
        <vt:lpwstr>_Toc208120771</vt:lpwstr>
      </vt:variant>
      <vt:variant>
        <vt:i4>1114175</vt:i4>
      </vt:variant>
      <vt:variant>
        <vt:i4>392</vt:i4>
      </vt:variant>
      <vt:variant>
        <vt:i4>0</vt:i4>
      </vt:variant>
      <vt:variant>
        <vt:i4>5</vt:i4>
      </vt:variant>
      <vt:variant>
        <vt:lpwstr/>
      </vt:variant>
      <vt:variant>
        <vt:lpwstr>_Toc208120770</vt:lpwstr>
      </vt:variant>
      <vt:variant>
        <vt:i4>1048639</vt:i4>
      </vt:variant>
      <vt:variant>
        <vt:i4>386</vt:i4>
      </vt:variant>
      <vt:variant>
        <vt:i4>0</vt:i4>
      </vt:variant>
      <vt:variant>
        <vt:i4>5</vt:i4>
      </vt:variant>
      <vt:variant>
        <vt:lpwstr/>
      </vt:variant>
      <vt:variant>
        <vt:lpwstr>_Toc208120769</vt:lpwstr>
      </vt:variant>
      <vt:variant>
        <vt:i4>1048639</vt:i4>
      </vt:variant>
      <vt:variant>
        <vt:i4>380</vt:i4>
      </vt:variant>
      <vt:variant>
        <vt:i4>0</vt:i4>
      </vt:variant>
      <vt:variant>
        <vt:i4>5</vt:i4>
      </vt:variant>
      <vt:variant>
        <vt:lpwstr/>
      </vt:variant>
      <vt:variant>
        <vt:lpwstr>_Toc208120768</vt:lpwstr>
      </vt:variant>
      <vt:variant>
        <vt:i4>1048639</vt:i4>
      </vt:variant>
      <vt:variant>
        <vt:i4>374</vt:i4>
      </vt:variant>
      <vt:variant>
        <vt:i4>0</vt:i4>
      </vt:variant>
      <vt:variant>
        <vt:i4>5</vt:i4>
      </vt:variant>
      <vt:variant>
        <vt:lpwstr/>
      </vt:variant>
      <vt:variant>
        <vt:lpwstr>_Toc208120767</vt:lpwstr>
      </vt:variant>
      <vt:variant>
        <vt:i4>1048639</vt:i4>
      </vt:variant>
      <vt:variant>
        <vt:i4>368</vt:i4>
      </vt:variant>
      <vt:variant>
        <vt:i4>0</vt:i4>
      </vt:variant>
      <vt:variant>
        <vt:i4>5</vt:i4>
      </vt:variant>
      <vt:variant>
        <vt:lpwstr/>
      </vt:variant>
      <vt:variant>
        <vt:lpwstr>_Toc208120766</vt:lpwstr>
      </vt:variant>
      <vt:variant>
        <vt:i4>1048639</vt:i4>
      </vt:variant>
      <vt:variant>
        <vt:i4>362</vt:i4>
      </vt:variant>
      <vt:variant>
        <vt:i4>0</vt:i4>
      </vt:variant>
      <vt:variant>
        <vt:i4>5</vt:i4>
      </vt:variant>
      <vt:variant>
        <vt:lpwstr/>
      </vt:variant>
      <vt:variant>
        <vt:lpwstr>_Toc208120765</vt:lpwstr>
      </vt:variant>
      <vt:variant>
        <vt:i4>1048639</vt:i4>
      </vt:variant>
      <vt:variant>
        <vt:i4>356</vt:i4>
      </vt:variant>
      <vt:variant>
        <vt:i4>0</vt:i4>
      </vt:variant>
      <vt:variant>
        <vt:i4>5</vt:i4>
      </vt:variant>
      <vt:variant>
        <vt:lpwstr/>
      </vt:variant>
      <vt:variant>
        <vt:lpwstr>_Toc208120764</vt:lpwstr>
      </vt:variant>
      <vt:variant>
        <vt:i4>1048639</vt:i4>
      </vt:variant>
      <vt:variant>
        <vt:i4>350</vt:i4>
      </vt:variant>
      <vt:variant>
        <vt:i4>0</vt:i4>
      </vt:variant>
      <vt:variant>
        <vt:i4>5</vt:i4>
      </vt:variant>
      <vt:variant>
        <vt:lpwstr/>
      </vt:variant>
      <vt:variant>
        <vt:lpwstr>_Toc208120763</vt:lpwstr>
      </vt:variant>
      <vt:variant>
        <vt:i4>1048639</vt:i4>
      </vt:variant>
      <vt:variant>
        <vt:i4>344</vt:i4>
      </vt:variant>
      <vt:variant>
        <vt:i4>0</vt:i4>
      </vt:variant>
      <vt:variant>
        <vt:i4>5</vt:i4>
      </vt:variant>
      <vt:variant>
        <vt:lpwstr/>
      </vt:variant>
      <vt:variant>
        <vt:lpwstr>_Toc208120762</vt:lpwstr>
      </vt:variant>
      <vt:variant>
        <vt:i4>1048639</vt:i4>
      </vt:variant>
      <vt:variant>
        <vt:i4>338</vt:i4>
      </vt:variant>
      <vt:variant>
        <vt:i4>0</vt:i4>
      </vt:variant>
      <vt:variant>
        <vt:i4>5</vt:i4>
      </vt:variant>
      <vt:variant>
        <vt:lpwstr/>
      </vt:variant>
      <vt:variant>
        <vt:lpwstr>_Toc208120761</vt:lpwstr>
      </vt:variant>
      <vt:variant>
        <vt:i4>1048639</vt:i4>
      </vt:variant>
      <vt:variant>
        <vt:i4>332</vt:i4>
      </vt:variant>
      <vt:variant>
        <vt:i4>0</vt:i4>
      </vt:variant>
      <vt:variant>
        <vt:i4>5</vt:i4>
      </vt:variant>
      <vt:variant>
        <vt:lpwstr/>
      </vt:variant>
      <vt:variant>
        <vt:lpwstr>_Toc208120760</vt:lpwstr>
      </vt:variant>
      <vt:variant>
        <vt:i4>1245247</vt:i4>
      </vt:variant>
      <vt:variant>
        <vt:i4>326</vt:i4>
      </vt:variant>
      <vt:variant>
        <vt:i4>0</vt:i4>
      </vt:variant>
      <vt:variant>
        <vt:i4>5</vt:i4>
      </vt:variant>
      <vt:variant>
        <vt:lpwstr/>
      </vt:variant>
      <vt:variant>
        <vt:lpwstr>_Toc208120759</vt:lpwstr>
      </vt:variant>
      <vt:variant>
        <vt:i4>1245247</vt:i4>
      </vt:variant>
      <vt:variant>
        <vt:i4>320</vt:i4>
      </vt:variant>
      <vt:variant>
        <vt:i4>0</vt:i4>
      </vt:variant>
      <vt:variant>
        <vt:i4>5</vt:i4>
      </vt:variant>
      <vt:variant>
        <vt:lpwstr/>
      </vt:variant>
      <vt:variant>
        <vt:lpwstr>_Toc208120758</vt:lpwstr>
      </vt:variant>
      <vt:variant>
        <vt:i4>1245247</vt:i4>
      </vt:variant>
      <vt:variant>
        <vt:i4>314</vt:i4>
      </vt:variant>
      <vt:variant>
        <vt:i4>0</vt:i4>
      </vt:variant>
      <vt:variant>
        <vt:i4>5</vt:i4>
      </vt:variant>
      <vt:variant>
        <vt:lpwstr/>
      </vt:variant>
      <vt:variant>
        <vt:lpwstr>_Toc208120757</vt:lpwstr>
      </vt:variant>
      <vt:variant>
        <vt:i4>1245247</vt:i4>
      </vt:variant>
      <vt:variant>
        <vt:i4>308</vt:i4>
      </vt:variant>
      <vt:variant>
        <vt:i4>0</vt:i4>
      </vt:variant>
      <vt:variant>
        <vt:i4>5</vt:i4>
      </vt:variant>
      <vt:variant>
        <vt:lpwstr/>
      </vt:variant>
      <vt:variant>
        <vt:lpwstr>_Toc208120756</vt:lpwstr>
      </vt:variant>
      <vt:variant>
        <vt:i4>1245247</vt:i4>
      </vt:variant>
      <vt:variant>
        <vt:i4>302</vt:i4>
      </vt:variant>
      <vt:variant>
        <vt:i4>0</vt:i4>
      </vt:variant>
      <vt:variant>
        <vt:i4>5</vt:i4>
      </vt:variant>
      <vt:variant>
        <vt:lpwstr/>
      </vt:variant>
      <vt:variant>
        <vt:lpwstr>_Toc208120755</vt:lpwstr>
      </vt:variant>
      <vt:variant>
        <vt:i4>1245247</vt:i4>
      </vt:variant>
      <vt:variant>
        <vt:i4>296</vt:i4>
      </vt:variant>
      <vt:variant>
        <vt:i4>0</vt:i4>
      </vt:variant>
      <vt:variant>
        <vt:i4>5</vt:i4>
      </vt:variant>
      <vt:variant>
        <vt:lpwstr/>
      </vt:variant>
      <vt:variant>
        <vt:lpwstr>_Toc208120754</vt:lpwstr>
      </vt:variant>
      <vt:variant>
        <vt:i4>1245247</vt:i4>
      </vt:variant>
      <vt:variant>
        <vt:i4>290</vt:i4>
      </vt:variant>
      <vt:variant>
        <vt:i4>0</vt:i4>
      </vt:variant>
      <vt:variant>
        <vt:i4>5</vt:i4>
      </vt:variant>
      <vt:variant>
        <vt:lpwstr/>
      </vt:variant>
      <vt:variant>
        <vt:lpwstr>_Toc208120753</vt:lpwstr>
      </vt:variant>
      <vt:variant>
        <vt:i4>1245247</vt:i4>
      </vt:variant>
      <vt:variant>
        <vt:i4>284</vt:i4>
      </vt:variant>
      <vt:variant>
        <vt:i4>0</vt:i4>
      </vt:variant>
      <vt:variant>
        <vt:i4>5</vt:i4>
      </vt:variant>
      <vt:variant>
        <vt:lpwstr/>
      </vt:variant>
      <vt:variant>
        <vt:lpwstr>_Toc208120752</vt:lpwstr>
      </vt:variant>
      <vt:variant>
        <vt:i4>1245247</vt:i4>
      </vt:variant>
      <vt:variant>
        <vt:i4>278</vt:i4>
      </vt:variant>
      <vt:variant>
        <vt:i4>0</vt:i4>
      </vt:variant>
      <vt:variant>
        <vt:i4>5</vt:i4>
      </vt:variant>
      <vt:variant>
        <vt:lpwstr/>
      </vt:variant>
      <vt:variant>
        <vt:lpwstr>_Toc208120751</vt:lpwstr>
      </vt:variant>
      <vt:variant>
        <vt:i4>1245247</vt:i4>
      </vt:variant>
      <vt:variant>
        <vt:i4>272</vt:i4>
      </vt:variant>
      <vt:variant>
        <vt:i4>0</vt:i4>
      </vt:variant>
      <vt:variant>
        <vt:i4>5</vt:i4>
      </vt:variant>
      <vt:variant>
        <vt:lpwstr/>
      </vt:variant>
      <vt:variant>
        <vt:lpwstr>_Toc208120750</vt:lpwstr>
      </vt:variant>
      <vt:variant>
        <vt:i4>1179711</vt:i4>
      </vt:variant>
      <vt:variant>
        <vt:i4>266</vt:i4>
      </vt:variant>
      <vt:variant>
        <vt:i4>0</vt:i4>
      </vt:variant>
      <vt:variant>
        <vt:i4>5</vt:i4>
      </vt:variant>
      <vt:variant>
        <vt:lpwstr/>
      </vt:variant>
      <vt:variant>
        <vt:lpwstr>_Toc208120749</vt:lpwstr>
      </vt:variant>
      <vt:variant>
        <vt:i4>1179711</vt:i4>
      </vt:variant>
      <vt:variant>
        <vt:i4>260</vt:i4>
      </vt:variant>
      <vt:variant>
        <vt:i4>0</vt:i4>
      </vt:variant>
      <vt:variant>
        <vt:i4>5</vt:i4>
      </vt:variant>
      <vt:variant>
        <vt:lpwstr/>
      </vt:variant>
      <vt:variant>
        <vt:lpwstr>_Toc208120748</vt:lpwstr>
      </vt:variant>
      <vt:variant>
        <vt:i4>1179711</vt:i4>
      </vt:variant>
      <vt:variant>
        <vt:i4>254</vt:i4>
      </vt:variant>
      <vt:variant>
        <vt:i4>0</vt:i4>
      </vt:variant>
      <vt:variant>
        <vt:i4>5</vt:i4>
      </vt:variant>
      <vt:variant>
        <vt:lpwstr/>
      </vt:variant>
      <vt:variant>
        <vt:lpwstr>_Toc208120747</vt:lpwstr>
      </vt:variant>
      <vt:variant>
        <vt:i4>1179711</vt:i4>
      </vt:variant>
      <vt:variant>
        <vt:i4>248</vt:i4>
      </vt:variant>
      <vt:variant>
        <vt:i4>0</vt:i4>
      </vt:variant>
      <vt:variant>
        <vt:i4>5</vt:i4>
      </vt:variant>
      <vt:variant>
        <vt:lpwstr/>
      </vt:variant>
      <vt:variant>
        <vt:lpwstr>_Toc208120746</vt:lpwstr>
      </vt:variant>
      <vt:variant>
        <vt:i4>1179711</vt:i4>
      </vt:variant>
      <vt:variant>
        <vt:i4>242</vt:i4>
      </vt:variant>
      <vt:variant>
        <vt:i4>0</vt:i4>
      </vt:variant>
      <vt:variant>
        <vt:i4>5</vt:i4>
      </vt:variant>
      <vt:variant>
        <vt:lpwstr/>
      </vt:variant>
      <vt:variant>
        <vt:lpwstr>_Toc208120745</vt:lpwstr>
      </vt:variant>
      <vt:variant>
        <vt:i4>1179711</vt:i4>
      </vt:variant>
      <vt:variant>
        <vt:i4>236</vt:i4>
      </vt:variant>
      <vt:variant>
        <vt:i4>0</vt:i4>
      </vt:variant>
      <vt:variant>
        <vt:i4>5</vt:i4>
      </vt:variant>
      <vt:variant>
        <vt:lpwstr/>
      </vt:variant>
      <vt:variant>
        <vt:lpwstr>_Toc208120744</vt:lpwstr>
      </vt:variant>
      <vt:variant>
        <vt:i4>1179711</vt:i4>
      </vt:variant>
      <vt:variant>
        <vt:i4>230</vt:i4>
      </vt:variant>
      <vt:variant>
        <vt:i4>0</vt:i4>
      </vt:variant>
      <vt:variant>
        <vt:i4>5</vt:i4>
      </vt:variant>
      <vt:variant>
        <vt:lpwstr/>
      </vt:variant>
      <vt:variant>
        <vt:lpwstr>_Toc208120743</vt:lpwstr>
      </vt:variant>
      <vt:variant>
        <vt:i4>1179711</vt:i4>
      </vt:variant>
      <vt:variant>
        <vt:i4>224</vt:i4>
      </vt:variant>
      <vt:variant>
        <vt:i4>0</vt:i4>
      </vt:variant>
      <vt:variant>
        <vt:i4>5</vt:i4>
      </vt:variant>
      <vt:variant>
        <vt:lpwstr/>
      </vt:variant>
      <vt:variant>
        <vt:lpwstr>_Toc208120742</vt:lpwstr>
      </vt:variant>
      <vt:variant>
        <vt:i4>1179711</vt:i4>
      </vt:variant>
      <vt:variant>
        <vt:i4>218</vt:i4>
      </vt:variant>
      <vt:variant>
        <vt:i4>0</vt:i4>
      </vt:variant>
      <vt:variant>
        <vt:i4>5</vt:i4>
      </vt:variant>
      <vt:variant>
        <vt:lpwstr/>
      </vt:variant>
      <vt:variant>
        <vt:lpwstr>_Toc208120741</vt:lpwstr>
      </vt:variant>
      <vt:variant>
        <vt:i4>1179711</vt:i4>
      </vt:variant>
      <vt:variant>
        <vt:i4>212</vt:i4>
      </vt:variant>
      <vt:variant>
        <vt:i4>0</vt:i4>
      </vt:variant>
      <vt:variant>
        <vt:i4>5</vt:i4>
      </vt:variant>
      <vt:variant>
        <vt:lpwstr/>
      </vt:variant>
      <vt:variant>
        <vt:lpwstr>_Toc208120740</vt:lpwstr>
      </vt:variant>
      <vt:variant>
        <vt:i4>1376319</vt:i4>
      </vt:variant>
      <vt:variant>
        <vt:i4>206</vt:i4>
      </vt:variant>
      <vt:variant>
        <vt:i4>0</vt:i4>
      </vt:variant>
      <vt:variant>
        <vt:i4>5</vt:i4>
      </vt:variant>
      <vt:variant>
        <vt:lpwstr/>
      </vt:variant>
      <vt:variant>
        <vt:lpwstr>_Toc208120739</vt:lpwstr>
      </vt:variant>
      <vt:variant>
        <vt:i4>1376319</vt:i4>
      </vt:variant>
      <vt:variant>
        <vt:i4>200</vt:i4>
      </vt:variant>
      <vt:variant>
        <vt:i4>0</vt:i4>
      </vt:variant>
      <vt:variant>
        <vt:i4>5</vt:i4>
      </vt:variant>
      <vt:variant>
        <vt:lpwstr/>
      </vt:variant>
      <vt:variant>
        <vt:lpwstr>_Toc208120738</vt:lpwstr>
      </vt:variant>
      <vt:variant>
        <vt:i4>1376319</vt:i4>
      </vt:variant>
      <vt:variant>
        <vt:i4>194</vt:i4>
      </vt:variant>
      <vt:variant>
        <vt:i4>0</vt:i4>
      </vt:variant>
      <vt:variant>
        <vt:i4>5</vt:i4>
      </vt:variant>
      <vt:variant>
        <vt:lpwstr/>
      </vt:variant>
      <vt:variant>
        <vt:lpwstr>_Toc208120737</vt:lpwstr>
      </vt:variant>
      <vt:variant>
        <vt:i4>1376319</vt:i4>
      </vt:variant>
      <vt:variant>
        <vt:i4>188</vt:i4>
      </vt:variant>
      <vt:variant>
        <vt:i4>0</vt:i4>
      </vt:variant>
      <vt:variant>
        <vt:i4>5</vt:i4>
      </vt:variant>
      <vt:variant>
        <vt:lpwstr/>
      </vt:variant>
      <vt:variant>
        <vt:lpwstr>_Toc208120736</vt:lpwstr>
      </vt:variant>
      <vt:variant>
        <vt:i4>1376319</vt:i4>
      </vt:variant>
      <vt:variant>
        <vt:i4>182</vt:i4>
      </vt:variant>
      <vt:variant>
        <vt:i4>0</vt:i4>
      </vt:variant>
      <vt:variant>
        <vt:i4>5</vt:i4>
      </vt:variant>
      <vt:variant>
        <vt:lpwstr/>
      </vt:variant>
      <vt:variant>
        <vt:lpwstr>_Toc208120735</vt:lpwstr>
      </vt:variant>
      <vt:variant>
        <vt:i4>1376319</vt:i4>
      </vt:variant>
      <vt:variant>
        <vt:i4>176</vt:i4>
      </vt:variant>
      <vt:variant>
        <vt:i4>0</vt:i4>
      </vt:variant>
      <vt:variant>
        <vt:i4>5</vt:i4>
      </vt:variant>
      <vt:variant>
        <vt:lpwstr/>
      </vt:variant>
      <vt:variant>
        <vt:lpwstr>_Toc208120734</vt:lpwstr>
      </vt:variant>
      <vt:variant>
        <vt:i4>1376319</vt:i4>
      </vt:variant>
      <vt:variant>
        <vt:i4>170</vt:i4>
      </vt:variant>
      <vt:variant>
        <vt:i4>0</vt:i4>
      </vt:variant>
      <vt:variant>
        <vt:i4>5</vt:i4>
      </vt:variant>
      <vt:variant>
        <vt:lpwstr/>
      </vt:variant>
      <vt:variant>
        <vt:lpwstr>_Toc208120733</vt:lpwstr>
      </vt:variant>
      <vt:variant>
        <vt:i4>1376319</vt:i4>
      </vt:variant>
      <vt:variant>
        <vt:i4>164</vt:i4>
      </vt:variant>
      <vt:variant>
        <vt:i4>0</vt:i4>
      </vt:variant>
      <vt:variant>
        <vt:i4>5</vt:i4>
      </vt:variant>
      <vt:variant>
        <vt:lpwstr/>
      </vt:variant>
      <vt:variant>
        <vt:lpwstr>_Toc208120732</vt:lpwstr>
      </vt:variant>
      <vt:variant>
        <vt:i4>1376319</vt:i4>
      </vt:variant>
      <vt:variant>
        <vt:i4>158</vt:i4>
      </vt:variant>
      <vt:variant>
        <vt:i4>0</vt:i4>
      </vt:variant>
      <vt:variant>
        <vt:i4>5</vt:i4>
      </vt:variant>
      <vt:variant>
        <vt:lpwstr/>
      </vt:variant>
      <vt:variant>
        <vt:lpwstr>_Toc208120731</vt:lpwstr>
      </vt:variant>
      <vt:variant>
        <vt:i4>1376319</vt:i4>
      </vt:variant>
      <vt:variant>
        <vt:i4>152</vt:i4>
      </vt:variant>
      <vt:variant>
        <vt:i4>0</vt:i4>
      </vt:variant>
      <vt:variant>
        <vt:i4>5</vt:i4>
      </vt:variant>
      <vt:variant>
        <vt:lpwstr/>
      </vt:variant>
      <vt:variant>
        <vt:lpwstr>_Toc208120730</vt:lpwstr>
      </vt:variant>
      <vt:variant>
        <vt:i4>1310783</vt:i4>
      </vt:variant>
      <vt:variant>
        <vt:i4>146</vt:i4>
      </vt:variant>
      <vt:variant>
        <vt:i4>0</vt:i4>
      </vt:variant>
      <vt:variant>
        <vt:i4>5</vt:i4>
      </vt:variant>
      <vt:variant>
        <vt:lpwstr/>
      </vt:variant>
      <vt:variant>
        <vt:lpwstr>_Toc208120729</vt:lpwstr>
      </vt:variant>
      <vt:variant>
        <vt:i4>1310783</vt:i4>
      </vt:variant>
      <vt:variant>
        <vt:i4>140</vt:i4>
      </vt:variant>
      <vt:variant>
        <vt:i4>0</vt:i4>
      </vt:variant>
      <vt:variant>
        <vt:i4>5</vt:i4>
      </vt:variant>
      <vt:variant>
        <vt:lpwstr/>
      </vt:variant>
      <vt:variant>
        <vt:lpwstr>_Toc208120728</vt:lpwstr>
      </vt:variant>
      <vt:variant>
        <vt:i4>1310783</vt:i4>
      </vt:variant>
      <vt:variant>
        <vt:i4>134</vt:i4>
      </vt:variant>
      <vt:variant>
        <vt:i4>0</vt:i4>
      </vt:variant>
      <vt:variant>
        <vt:i4>5</vt:i4>
      </vt:variant>
      <vt:variant>
        <vt:lpwstr/>
      </vt:variant>
      <vt:variant>
        <vt:lpwstr>_Toc208120727</vt:lpwstr>
      </vt:variant>
      <vt:variant>
        <vt:i4>1310783</vt:i4>
      </vt:variant>
      <vt:variant>
        <vt:i4>128</vt:i4>
      </vt:variant>
      <vt:variant>
        <vt:i4>0</vt:i4>
      </vt:variant>
      <vt:variant>
        <vt:i4>5</vt:i4>
      </vt:variant>
      <vt:variant>
        <vt:lpwstr/>
      </vt:variant>
      <vt:variant>
        <vt:lpwstr>_Toc208120726</vt:lpwstr>
      </vt:variant>
      <vt:variant>
        <vt:i4>1310783</vt:i4>
      </vt:variant>
      <vt:variant>
        <vt:i4>122</vt:i4>
      </vt:variant>
      <vt:variant>
        <vt:i4>0</vt:i4>
      </vt:variant>
      <vt:variant>
        <vt:i4>5</vt:i4>
      </vt:variant>
      <vt:variant>
        <vt:lpwstr/>
      </vt:variant>
      <vt:variant>
        <vt:lpwstr>_Toc208120725</vt:lpwstr>
      </vt:variant>
      <vt:variant>
        <vt:i4>1310783</vt:i4>
      </vt:variant>
      <vt:variant>
        <vt:i4>116</vt:i4>
      </vt:variant>
      <vt:variant>
        <vt:i4>0</vt:i4>
      </vt:variant>
      <vt:variant>
        <vt:i4>5</vt:i4>
      </vt:variant>
      <vt:variant>
        <vt:lpwstr/>
      </vt:variant>
      <vt:variant>
        <vt:lpwstr>_Toc208120724</vt:lpwstr>
      </vt:variant>
      <vt:variant>
        <vt:i4>1310783</vt:i4>
      </vt:variant>
      <vt:variant>
        <vt:i4>110</vt:i4>
      </vt:variant>
      <vt:variant>
        <vt:i4>0</vt:i4>
      </vt:variant>
      <vt:variant>
        <vt:i4>5</vt:i4>
      </vt:variant>
      <vt:variant>
        <vt:lpwstr/>
      </vt:variant>
      <vt:variant>
        <vt:lpwstr>_Toc208120723</vt:lpwstr>
      </vt:variant>
      <vt:variant>
        <vt:i4>1310783</vt:i4>
      </vt:variant>
      <vt:variant>
        <vt:i4>104</vt:i4>
      </vt:variant>
      <vt:variant>
        <vt:i4>0</vt:i4>
      </vt:variant>
      <vt:variant>
        <vt:i4>5</vt:i4>
      </vt:variant>
      <vt:variant>
        <vt:lpwstr/>
      </vt:variant>
      <vt:variant>
        <vt:lpwstr>_Toc208120722</vt:lpwstr>
      </vt:variant>
      <vt:variant>
        <vt:i4>1310783</vt:i4>
      </vt:variant>
      <vt:variant>
        <vt:i4>98</vt:i4>
      </vt:variant>
      <vt:variant>
        <vt:i4>0</vt:i4>
      </vt:variant>
      <vt:variant>
        <vt:i4>5</vt:i4>
      </vt:variant>
      <vt:variant>
        <vt:lpwstr/>
      </vt:variant>
      <vt:variant>
        <vt:lpwstr>_Toc208120721</vt:lpwstr>
      </vt:variant>
      <vt:variant>
        <vt:i4>1310783</vt:i4>
      </vt:variant>
      <vt:variant>
        <vt:i4>92</vt:i4>
      </vt:variant>
      <vt:variant>
        <vt:i4>0</vt:i4>
      </vt:variant>
      <vt:variant>
        <vt:i4>5</vt:i4>
      </vt:variant>
      <vt:variant>
        <vt:lpwstr/>
      </vt:variant>
      <vt:variant>
        <vt:lpwstr>_Toc208120720</vt:lpwstr>
      </vt:variant>
      <vt:variant>
        <vt:i4>1507391</vt:i4>
      </vt:variant>
      <vt:variant>
        <vt:i4>86</vt:i4>
      </vt:variant>
      <vt:variant>
        <vt:i4>0</vt:i4>
      </vt:variant>
      <vt:variant>
        <vt:i4>5</vt:i4>
      </vt:variant>
      <vt:variant>
        <vt:lpwstr/>
      </vt:variant>
      <vt:variant>
        <vt:lpwstr>_Toc208120719</vt:lpwstr>
      </vt:variant>
      <vt:variant>
        <vt:i4>1507391</vt:i4>
      </vt:variant>
      <vt:variant>
        <vt:i4>80</vt:i4>
      </vt:variant>
      <vt:variant>
        <vt:i4>0</vt:i4>
      </vt:variant>
      <vt:variant>
        <vt:i4>5</vt:i4>
      </vt:variant>
      <vt:variant>
        <vt:lpwstr/>
      </vt:variant>
      <vt:variant>
        <vt:lpwstr>_Toc208120718</vt:lpwstr>
      </vt:variant>
      <vt:variant>
        <vt:i4>1507391</vt:i4>
      </vt:variant>
      <vt:variant>
        <vt:i4>74</vt:i4>
      </vt:variant>
      <vt:variant>
        <vt:i4>0</vt:i4>
      </vt:variant>
      <vt:variant>
        <vt:i4>5</vt:i4>
      </vt:variant>
      <vt:variant>
        <vt:lpwstr/>
      </vt:variant>
      <vt:variant>
        <vt:lpwstr>_Toc208120717</vt:lpwstr>
      </vt:variant>
      <vt:variant>
        <vt:i4>1507391</vt:i4>
      </vt:variant>
      <vt:variant>
        <vt:i4>68</vt:i4>
      </vt:variant>
      <vt:variant>
        <vt:i4>0</vt:i4>
      </vt:variant>
      <vt:variant>
        <vt:i4>5</vt:i4>
      </vt:variant>
      <vt:variant>
        <vt:lpwstr/>
      </vt:variant>
      <vt:variant>
        <vt:lpwstr>_Toc208120716</vt:lpwstr>
      </vt:variant>
      <vt:variant>
        <vt:i4>1507391</vt:i4>
      </vt:variant>
      <vt:variant>
        <vt:i4>62</vt:i4>
      </vt:variant>
      <vt:variant>
        <vt:i4>0</vt:i4>
      </vt:variant>
      <vt:variant>
        <vt:i4>5</vt:i4>
      </vt:variant>
      <vt:variant>
        <vt:lpwstr/>
      </vt:variant>
      <vt:variant>
        <vt:lpwstr>_Toc208120715</vt:lpwstr>
      </vt:variant>
      <vt:variant>
        <vt:i4>1507391</vt:i4>
      </vt:variant>
      <vt:variant>
        <vt:i4>56</vt:i4>
      </vt:variant>
      <vt:variant>
        <vt:i4>0</vt:i4>
      </vt:variant>
      <vt:variant>
        <vt:i4>5</vt:i4>
      </vt:variant>
      <vt:variant>
        <vt:lpwstr/>
      </vt:variant>
      <vt:variant>
        <vt:lpwstr>_Toc208120714</vt:lpwstr>
      </vt:variant>
      <vt:variant>
        <vt:i4>1507391</vt:i4>
      </vt:variant>
      <vt:variant>
        <vt:i4>50</vt:i4>
      </vt:variant>
      <vt:variant>
        <vt:i4>0</vt:i4>
      </vt:variant>
      <vt:variant>
        <vt:i4>5</vt:i4>
      </vt:variant>
      <vt:variant>
        <vt:lpwstr/>
      </vt:variant>
      <vt:variant>
        <vt:lpwstr>_Toc208120713</vt:lpwstr>
      </vt:variant>
      <vt:variant>
        <vt:i4>1507391</vt:i4>
      </vt:variant>
      <vt:variant>
        <vt:i4>44</vt:i4>
      </vt:variant>
      <vt:variant>
        <vt:i4>0</vt:i4>
      </vt:variant>
      <vt:variant>
        <vt:i4>5</vt:i4>
      </vt:variant>
      <vt:variant>
        <vt:lpwstr/>
      </vt:variant>
      <vt:variant>
        <vt:lpwstr>_Toc208120712</vt:lpwstr>
      </vt:variant>
      <vt:variant>
        <vt:i4>1507391</vt:i4>
      </vt:variant>
      <vt:variant>
        <vt:i4>38</vt:i4>
      </vt:variant>
      <vt:variant>
        <vt:i4>0</vt:i4>
      </vt:variant>
      <vt:variant>
        <vt:i4>5</vt:i4>
      </vt:variant>
      <vt:variant>
        <vt:lpwstr/>
      </vt:variant>
      <vt:variant>
        <vt:lpwstr>_Toc208120711</vt:lpwstr>
      </vt:variant>
      <vt:variant>
        <vt:i4>1507391</vt:i4>
      </vt:variant>
      <vt:variant>
        <vt:i4>32</vt:i4>
      </vt:variant>
      <vt:variant>
        <vt:i4>0</vt:i4>
      </vt:variant>
      <vt:variant>
        <vt:i4>5</vt:i4>
      </vt:variant>
      <vt:variant>
        <vt:lpwstr/>
      </vt:variant>
      <vt:variant>
        <vt:lpwstr>_Toc208120710</vt:lpwstr>
      </vt:variant>
      <vt:variant>
        <vt:i4>1441855</vt:i4>
      </vt:variant>
      <vt:variant>
        <vt:i4>26</vt:i4>
      </vt:variant>
      <vt:variant>
        <vt:i4>0</vt:i4>
      </vt:variant>
      <vt:variant>
        <vt:i4>5</vt:i4>
      </vt:variant>
      <vt:variant>
        <vt:lpwstr/>
      </vt:variant>
      <vt:variant>
        <vt:lpwstr>_Toc208120709</vt:lpwstr>
      </vt:variant>
      <vt:variant>
        <vt:i4>1441855</vt:i4>
      </vt:variant>
      <vt:variant>
        <vt:i4>20</vt:i4>
      </vt:variant>
      <vt:variant>
        <vt:i4>0</vt:i4>
      </vt:variant>
      <vt:variant>
        <vt:i4>5</vt:i4>
      </vt:variant>
      <vt:variant>
        <vt:lpwstr/>
      </vt:variant>
      <vt:variant>
        <vt:lpwstr>_Toc208120708</vt:lpwstr>
      </vt:variant>
      <vt:variant>
        <vt:i4>1441855</vt:i4>
      </vt:variant>
      <vt:variant>
        <vt:i4>14</vt:i4>
      </vt:variant>
      <vt:variant>
        <vt:i4>0</vt:i4>
      </vt:variant>
      <vt:variant>
        <vt:i4>5</vt:i4>
      </vt:variant>
      <vt:variant>
        <vt:lpwstr/>
      </vt:variant>
      <vt:variant>
        <vt:lpwstr>_Toc208120707</vt:lpwstr>
      </vt:variant>
      <vt:variant>
        <vt:i4>1441855</vt:i4>
      </vt:variant>
      <vt:variant>
        <vt:i4>8</vt:i4>
      </vt:variant>
      <vt:variant>
        <vt:i4>0</vt:i4>
      </vt:variant>
      <vt:variant>
        <vt:i4>5</vt:i4>
      </vt:variant>
      <vt:variant>
        <vt:lpwstr/>
      </vt:variant>
      <vt:variant>
        <vt:lpwstr>_Toc208120706</vt:lpwstr>
      </vt:variant>
      <vt:variant>
        <vt:i4>6094852</vt:i4>
      </vt:variant>
      <vt:variant>
        <vt:i4>3</vt:i4>
      </vt:variant>
      <vt:variant>
        <vt:i4>0</vt:i4>
      </vt:variant>
      <vt:variant>
        <vt:i4>5</vt:i4>
      </vt:variant>
      <vt:variant>
        <vt:lpwstr>http://www.cognizant.com/</vt:lpwstr>
      </vt:variant>
      <vt:variant>
        <vt:lpwstr/>
      </vt:variant>
      <vt:variant>
        <vt:i4>3801134</vt:i4>
      </vt:variant>
      <vt:variant>
        <vt:i4>0</vt:i4>
      </vt:variant>
      <vt:variant>
        <vt:i4>0</vt:i4>
      </vt:variant>
      <vt:variant>
        <vt:i4>5</vt:i4>
      </vt:variant>
      <vt:variant>
        <vt:lpwstr>http://www.moneychimp.com/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L1 in Asset and Wealth Management (v 2.0)</dc:title>
  <dc:subject/>
  <dc:creator>108506</dc:creator>
  <cp:keywords/>
  <dc:description/>
  <cp:lastModifiedBy>217657</cp:lastModifiedBy>
  <cp:revision>34</cp:revision>
  <cp:lastPrinted>2008-12-15T02:57:00Z</cp:lastPrinted>
  <dcterms:created xsi:type="dcterms:W3CDTF">2009-01-08T06:39:00Z</dcterms:created>
  <dcterms:modified xsi:type="dcterms:W3CDTF">2010-01-04T10:27:00Z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0x010100BC51D52B1CFDC94FAB7BD3E409917346</vt:lpwstr>
  </property>
</Properties>
</file>