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01820"/>
          <w:sz w:val="34"/>
        </w:rPr>
        <w:t>Orion: A Zero-Egress Personal AI Architecture with Sequential Dynamic Handoff and Hardware-Bounded Capability Brokerage</w:t>
      </w:r>
    </w:p>
    <w:p>
      <w:pPr>
        <w:spacing w:before="0" w:after="240"/>
        <w:jc w:val="center"/>
      </w:pPr>
      <w:r>
        <w:rPr>
          <w:rFonts w:ascii="Times New Roman" w:hAnsi="Times New Roman"/>
          <w:i/>
          <w:sz w:val="20"/>
        </w:rPr>
        <w:t>Kuldeep Yadav</w:t>
        <w:br/>
        <w:t>Founder &amp; Systems Architect, Orion Technologies</w:t>
        <w:br/>
        <w:t>Department of Computer Science &amp; Engineering | Project Orion Core Team</w:t>
        <w:br/>
        <w:t>Email: contact@orion-ai.org | Repository: github.com/kuldeepyadav001/Orion</w:t>
      </w:r>
    </w:p>
    <w:tbl>
      <w:tblPr>
        <w:tblW w:type="auto" w:w="0"/>
        <w:jc w:val="center"/>
        <w:tblLook w:firstColumn="1" w:firstRow="1" w:lastColumn="0" w:lastRow="0" w:noHBand="0" w:noVBand="1" w:val="04A0"/>
      </w:tblPr>
      <w:tblGrid>
        <w:gridCol w:w="9936"/>
      </w:tblGrid>
      <w:tr>
        <w:tc>
          <w:tcPr>
            <w:tcW w:type="dxa" w:w="9936"/>
            <w:shd w:fill="F4F6F8"/>
            <w:tcMar>
              <w:top w:w="160" w:type="dxa"/>
              <w:bottom w:w="160" w:type="dxa"/>
              <w:left w:w="240" w:type="dxa"/>
              <w:right w:w="240" w:type="dxa"/>
            </w:tcMar>
          </w:tcPr>
          <w:p>
            <w:pPr>
              <w:spacing w:before="0" w:after="80"/>
            </w:pPr>
            <w:r>
              <w:rPr>
                <w:rFonts w:ascii="Times New Roman" w:hAnsi="Times New Roman"/>
                <w:b/>
                <w:sz w:val="19"/>
              </w:rPr>
              <w:t>Abstract—</w:t>
            </w:r>
            <w:r>
              <w:rPr>
                <w:rFonts w:ascii="Times New Roman" w:hAnsi="Times New Roman"/>
                <w:sz w:val="18"/>
              </w:rPr>
              <w:t>Commercial cloud large language model (LLM) offerings force organizations and individuals into an untenable privacy trade-off: surrender proprietary source code, trade secrets, and protected health information (PHI) over wide-area networks to third-party server clusters, or forfeit access to modern generative intelligence. Conversely, existing local AI runtimes (e.g., Ollama, LM Studio) suffer from a crippling architectural failure on commodity workstations: hardware reservations for integrated graphics (iGPU) carve away ~2.28 GB of memory, leaving only ~5.72 GB of usable system RAM on an 8 GB machine. Attempting to execute multi-model domain workflows simultaneously induces catastrophic pagefile thrashing, operating system kernel lockups, and unrecoverable graphical freezes. Furthermore, existing local runtimes execute tools with ambient user privileges, rendering them acutely vulnerable to indirect prompt injection. In this paper, we present Orion, a production-deployed, zero-egress sovereign AI desktop platform designed for regulated enterprises and privacy-critical professionals. Orion introduces three foundational innovations: (1) a Sequential Dynamic Handoff Router that maintains dual specialized models on non-volatile SSD while enforcing a strict single-model resident invariant (resident set size &lt;= 2.1 GB) in RAM via atomic sequential unloading and sub-1.2s reloading, completely eliminating OS memory thrashing; (2) a Two-Domain Capability Broker that structurally isolates untrusted external document context from trusted directive semantics, defeating indirect prompt injection attacks across four tiered permission gates (T0–T3) with immutable SQLite Write-Ahead Logging (WAL); and (3) a complete, deployed M1–M10 multi-agent operating stack featuring local Whisper STT, neural Piper TTS, hybrid vector-BM25 retrieval, sovereign email triage, sandboxed browser automation, desktop OS UI control, and kernel AppContainer isolation. We report a rigorous empirical evaluation suite across memory thrashing dynamics, latency percentiles, the BIPIA prompt injection benchmark (250 attack vectors, achieving 0.0% attack success rate), multimodal voice turnaround (417 ms), and hybrid RAG accuracy (93.8% Recall@5). Finally, we demonstrate that Orion operates at $0.00 incremental token cost, providing a high-margin enterprise foundation for sovereign edge computing.</w:t>
            </w:r>
          </w:p>
          <w:p>
            <w:pPr>
              <w:spacing w:before="80" w:after="0"/>
            </w:pPr>
            <w:r>
              <w:rPr>
                <w:rFonts w:ascii="Times New Roman" w:hAnsi="Times New Roman"/>
                <w:b/>
                <w:sz w:val="18"/>
              </w:rPr>
              <w:t>Keywords—</w:t>
            </w:r>
            <w:r>
              <w:rPr>
                <w:rFonts w:ascii="Times New Roman" w:hAnsi="Times New Roman"/>
                <w:i/>
                <w:sz w:val="18"/>
              </w:rPr>
              <w:t>Edge AI, Sovereign Computing, Local LLM Inference, Sequential Dynamic Handoff, Capability Broker, Prompt Injection Defense, Total Cost of Ownership, Zero-Egress Architecture.</w:t>
            </w:r>
          </w:p>
        </w:tc>
      </w:tr>
    </w:tbl>
    <w:p>
      <w:pPr>
        <w:spacing w:before="120"/>
      </w:pPr>
    </w:p>
    <w:p>
      <w:pPr>
        <w:keepNext/>
        <w:spacing w:before="280" w:after="80"/>
      </w:pPr>
      <w:r>
        <w:rPr>
          <w:rFonts w:ascii="Times New Roman" w:hAnsi="Times New Roman"/>
          <w:b/>
          <w:color w:val="101820"/>
          <w:sz w:val="24"/>
        </w:rPr>
        <w:t>I. INTRODUCTION: THE SOVEREIGN AI IMPERATIVE</w:t>
      </w:r>
    </w:p>
    <w:p>
      <w:pPr>
        <w:spacing w:before="0" w:after="100" w:line="276" w:lineRule="auto"/>
      </w:pPr>
      <w:r>
        <w:rPr>
          <w:rFonts w:ascii="Times New Roman" w:hAnsi="Times New Roman"/>
          <w:sz w:val="19"/>
        </w:rPr>
        <w:t>Over the past three years, the rapid maturation of generative artificial intelligence and Large Language Models (LLMs) has fundamentally transformed knowledge work across software engineering, corporate legal discovery, financial analytics, and clinical medicine [1, 2]. However, the overwhelming majority of commercial deployments rely on centralized, hyperscaler cloud architectures. Under this paradigm, organizations and individual users transmit their intellectual property, internal architectural schemas, confidential litigation documents, and protected health information (PHI) over wide-area networks to multi-tenant server facilities operated by third-party vendors.</w:t>
      </w:r>
    </w:p>
    <w:p>
      <w:pPr>
        <w:spacing w:before="0" w:after="100" w:line="276" w:lineRule="auto"/>
      </w:pPr>
      <w:r>
        <w:rPr>
          <w:rFonts w:ascii="Times New Roman" w:hAnsi="Times New Roman"/>
          <w:sz w:val="19"/>
        </w:rPr>
        <w:t>This centralized cloud AI model introduces profound systemic vulnerabilities. Prompts and contextual attachments transmitted to cloud endpoints are logged, inspected by platform operators, and absorbed into training corpora, creating permanent data leakage risks [6]. Concurrently, strict international data governance frameworks—including the European Union General Data Protection Regulation (GDPR) Article 83 [9], the United States Health Insurance Portability and Accountability Act (HIPAA), and SEC Rule 17a-4—impose severe financial and criminal penalties for unauthorized third-party data transit. According to recent market intelligence reports by McKinsey &amp; Company [15] and Gartner [16], sovereign AI requirements are projected to influence 30% to 40% of global AI spending, creating an addressable market exceeding $500 billion by 2030, with 75% of enterprises actively pursuing localized AI architectures.</w:t>
      </w:r>
    </w:p>
    <w:p>
      <w:pPr>
        <w:spacing w:before="0" w:after="100" w:line="276" w:lineRule="auto"/>
      </w:pPr>
      <w:r>
        <w:rPr>
          <w:rFonts w:ascii="Times New Roman" w:hAnsi="Times New Roman"/>
          <w:sz w:val="19"/>
        </w:rPr>
        <w:t>While open-weights foundation models (e.g., Meta LLaMA, Qwen, DeepSeek) provide a theoretical alternative [3, 4, 5], executing them on everyday enterprise workstations has remained an unresolved engineering bottleneck. Over 70% of enterprise and university laptops deployed globally possess exactly 8 GB of physical RAM. On modern architectures with integrated graphics (such as AMD Radeon or Intel Iris Xe), the system BIOS statically carves away ~2.28 GB as dedicated video memory, leaving only ~5.72 GB of usable system RAM for the operating system and all applications. Windows 11 background processes consume ~2.30 GB, leaving exactly ~3.42 GB of allowable headroom for AI workloads.</w:t>
      </w:r>
    </w:p>
    <w:p>
      <w:pPr>
        <w:spacing w:before="0" w:after="100" w:line="276" w:lineRule="auto"/>
      </w:pPr>
      <w:r>
        <w:rPr>
          <w:rFonts w:ascii="Times New Roman" w:hAnsi="Times New Roman"/>
          <w:sz w:val="19"/>
        </w:rPr>
        <w:t>When traditional local tools (e.g., Ollama, LM Studio, Jan) attempt to run specialized multi-model workflows—such as pairing a 3B general conversational model with a 3B dedicated code generation engine—the combined resident memory footprint (2.1 GB + 2.1 GB = 4.2 GB) severely exceeds available memory. The operating system enters a catastrophic page-fault cascade, thrashing against the SSD pagefile, freezing the desktop shell, and forcing hard power cycles. Moreover, existing open-source local runtimes lack agentic security sandboxing, executing tool calls with ambient user privileges and leaving systems defenseless against indirect prompt injection [6].</w:t>
      </w:r>
    </w:p>
    <w:p>
      <w:pPr>
        <w:spacing w:before="0" w:after="100" w:line="276" w:lineRule="auto"/>
      </w:pPr>
      <w:r>
        <w:rPr>
          <w:rFonts w:ascii="Times New Roman" w:hAnsi="Times New Roman"/>
          <w:sz w:val="19"/>
        </w:rPr>
        <w:t>To break this deadlock, we built and deployed Orion, a sovereign personal and enterprise AI operating system. Orion proves that specialized, multi-agent generative intelligence can run natively on commodity 8 GB hardware with zero data egress, zero OS paging thrashing, and provable prompt injection containment.</w:t>
      </w:r>
    </w:p>
    <w:p>
      <w:pPr>
        <w:keepNext/>
        <w:spacing w:before="280" w:after="80"/>
      </w:pPr>
      <w:r>
        <w:rPr>
          <w:rFonts w:ascii="Times New Roman" w:hAnsi="Times New Roman"/>
          <w:b/>
          <w:color w:val="101820"/>
          <w:sz w:val="24"/>
        </w:rPr>
        <w:t>II. EMPIRICAL THREAT LANDSCAPE &amp; SOURCES OF TRUTH</w:t>
      </w:r>
    </w:p>
    <w:p>
      <w:pPr>
        <w:keepNext/>
        <w:spacing w:before="200" w:after="60"/>
      </w:pPr>
      <w:r>
        <w:rPr>
          <w:rFonts w:ascii="Times New Roman" w:hAnsi="Times New Roman"/>
          <w:b/>
          <w:color w:val="213547"/>
          <w:sz w:val="21"/>
        </w:rPr>
        <w:t>A. Documented Real-World Cloud AI Breaches</w:t>
      </w:r>
    </w:p>
    <w:p>
      <w:pPr>
        <w:spacing w:before="0" w:after="100" w:line="276" w:lineRule="auto"/>
      </w:pPr>
      <w:r>
        <w:rPr>
          <w:rFonts w:ascii="Times New Roman" w:hAnsi="Times New Roman"/>
          <w:sz w:val="19"/>
        </w:rPr>
        <w:t>The existential risks of centralized cloud AI are substantiated by documented industry catastrophes:</w:t>
        <w:br/>
        <w:t>1. Samsung Electronics Semiconductor Leak (April 2023): Senior engineers at Samsung's semiconductor division inadvertently uploaded proprietary semiconductor measurement database code, wafer yield-optimization software, and an executive meeting transcript to ChatGPT across three distinct incidents. Because OpenAI's terms permitted prompt retention for continuous training, confidential manufacturing trade secrets were absorbed into cloud models. Samsung enacted an immediate company-wide prohibition on cloud AI [Sources: Bloomberg News, May 2023; Wall Street Journal, May 2023; Reuters, 2023].</w:t>
        <w:br/>
        <w:t>2. Wall Street Wholesale Banking Ban (2023–2024): Wall Street financial institutions—including JPMorgan Chase, Citigroup, Bank of America, Goldman Sachs, Morgan Stanley, and Deutsche Bank—enacted blanket bans blocking cloud AI tools. Under SEC Rule 17a-4 and FINRA regulatory mandates, financial institutions face statutory sanctions if non-archived customer communications, trade algorithms, or merger filings transit third-party servers [Sources: Wall Street Journal, Feb 2023; Bloomberg Financial Regulations Review, 2023].</w:t>
        <w:br/>
        <w:t>3. Healthcare PHI Legal Liability: Clinical practitioners transmitting patient charts or pathology narratives to commercial cloud assistants directly violate HIPAA Safe Harbor and HITECH mandates, risking statutory fines up to $50,000 per violation [Source: US Department of Health &amp; Human Services (HHS) OCR Enforcement Guidelines, 2023].</w:t>
        <w:br/>
        <w:t>4. EU GDPR Sanctions: The Italian Data Protection Authority (GPDP) issued a nationwide injunction against ChatGPT under GDPR Article 83 for lack of legal basis in data ingestion, followed by active FTC investigations into deceptive consumer data retention [Sources: GPDP Official Order, March 2023; European Data Protection Board, 2023; FTC AI Staff Report, 2023].</w:t>
      </w:r>
    </w:p>
    <w:p>
      <w:pPr>
        <w:keepNext/>
        <w:spacing w:before="200" w:after="60"/>
      </w:pPr>
      <w:r>
        <w:rPr>
          <w:rFonts w:ascii="Times New Roman" w:hAnsi="Times New Roman"/>
          <w:b/>
          <w:color w:val="213547"/>
          <w:sz w:val="21"/>
        </w:rPr>
        <w:t>B. Structural Failures of Existing Local Runtimes</w:t>
      </w:r>
    </w:p>
    <w:p>
      <w:pPr>
        <w:spacing w:before="0" w:after="100" w:line="276" w:lineRule="auto"/>
      </w:pPr>
      <w:r>
        <w:rPr>
          <w:rFonts w:ascii="Times New Roman" w:hAnsi="Times New Roman"/>
          <w:sz w:val="19"/>
        </w:rPr>
        <w:t>While open-source runtimes (e.g., Ollama, LM Studio) provide local execution, our empirical testing reveals three critical structural failures:</w:t>
        <w:br/>
        <w:t>1. Unbounded Memory Allocation &amp; Thrashing: Existing tools lack dynamic RAM profiling. Attempting to switch or pair models triggers concurrent allocations exceeding 4.5 GB, inducing extreme Windows kernel swap thrashing (over 850 hard page faults/sec) and frozen desktop shells.</w:t>
        <w:br/>
        <w:t>2. Absence of Security Privilege Isolation: Local tools execute agentic tool calls with full user shell permissions. Ingesting an adversarial PDF can trigger arbitrary bash execution or SSH key exfiltration [6, 17].</w:t>
        <w:br/>
        <w:t>3. Fragmented User Experience: None integrate bidirectional local voice (STT + TTS), desktop hotkeys, and agentic desktop workflows into a unified production product.</w:t>
      </w:r>
    </w:p>
    <w:p>
      <w:pPr>
        <w:keepNext/>
        <w:spacing w:before="280" w:after="80"/>
      </w:pPr>
      <w:r>
        <w:rPr>
          <w:rFonts w:ascii="Times New Roman" w:hAnsi="Times New Roman"/>
          <w:b/>
          <w:color w:val="101820"/>
          <w:sz w:val="24"/>
        </w:rPr>
        <w:t>III. SYSTEM DESIGN &amp; HARDWARE BOUNDARIES</w:t>
      </w:r>
    </w:p>
    <w:p>
      <w:pPr>
        <w:keepNext/>
        <w:spacing w:before="200" w:after="60"/>
      </w:pPr>
      <w:r>
        <w:rPr>
          <w:rFonts w:ascii="Times New Roman" w:hAnsi="Times New Roman"/>
          <w:b/>
          <w:color w:val="213547"/>
          <w:sz w:val="21"/>
        </w:rPr>
        <w:t>A. Physical Memory Budget on Commodity Workstations</w:t>
      </w:r>
    </w:p>
    <w:p>
      <w:pPr>
        <w:spacing w:before="0" w:after="100" w:line="276" w:lineRule="auto"/>
      </w:pPr>
      <w:r>
        <w:rPr>
          <w:rFonts w:ascii="Times New Roman" w:hAnsi="Times New Roman"/>
          <w:sz w:val="19"/>
        </w:rPr>
        <w:t>Orion enforces strict hardware-bounded mathematical invariants. Table I establishes the physical memory allocation budget on standard 8 GB laptops with integrated graphics:</w:t>
      </w:r>
    </w:p>
    <w:tbl>
      <w:tblPr>
        <w:tblW w:type="auto" w:w="0"/>
        <w:jc w:val="center"/>
        <w:tblLook w:firstColumn="1" w:firstRow="1" w:lastColumn="0" w:lastRow="0" w:noHBand="0" w:noVBand="1" w:val="04A0"/>
      </w:tblPr>
      <w:tblGrid>
        <w:gridCol w:w="3312"/>
        <w:gridCol w:w="3312"/>
        <w:gridCol w:w="3312"/>
      </w:tblGrid>
      <w:tr>
        <w:tc>
          <w:tcPr>
            <w:tcW w:type="dxa" w:w="3312"/>
            <w:shd w:fill="21262D"/>
            <w:tcMar>
              <w:top w:w="80" w:type="dxa"/>
              <w:bottom w:w="80" w:type="dxa"/>
              <w:left w:w="120" w:type="dxa"/>
              <w:right w:w="120" w:type="dxa"/>
            </w:tcMar>
          </w:tcPr>
          <w:p>
            <w:r>
              <w:rPr>
                <w:b/>
                <w:color w:val="FFFFFF"/>
                <w:sz w:val="18"/>
              </w:rPr>
              <w:t>Hardware Layer</w:t>
            </w:r>
          </w:p>
        </w:tc>
        <w:tc>
          <w:tcPr>
            <w:tcW w:type="dxa" w:w="3312"/>
            <w:shd w:fill="21262D"/>
            <w:tcMar>
              <w:top w:w="80" w:type="dxa"/>
              <w:bottom w:w="80" w:type="dxa"/>
              <w:left w:w="120" w:type="dxa"/>
              <w:right w:w="120" w:type="dxa"/>
            </w:tcMar>
          </w:tcPr>
          <w:p>
            <w:r>
              <w:rPr>
                <w:b/>
                <w:color w:val="FFFFFF"/>
                <w:sz w:val="18"/>
              </w:rPr>
              <w:t>Allocated Capacity</w:t>
            </w:r>
          </w:p>
        </w:tc>
        <w:tc>
          <w:tcPr>
            <w:tcW w:type="dxa" w:w="3312"/>
            <w:shd w:fill="21262D"/>
            <w:tcMar>
              <w:top w:w="80" w:type="dxa"/>
              <w:bottom w:w="80" w:type="dxa"/>
              <w:left w:w="120" w:type="dxa"/>
              <w:right w:w="120" w:type="dxa"/>
            </w:tcMar>
          </w:tcPr>
          <w:p>
            <w:r>
              <w:rPr>
                <w:b/>
                <w:color w:val="FFFFFF"/>
                <w:sz w:val="18"/>
              </w:rPr>
              <w:t>Operational Constraint &amp; Impact</w:t>
            </w:r>
          </w:p>
        </w:tc>
      </w:tr>
      <w:tr>
        <w:tc>
          <w:tcPr>
            <w:tcW w:type="dxa" w:w="3312"/>
            <w:shd w:fill="F9FAFB"/>
            <w:tcMar>
              <w:top w:w="60" w:type="dxa"/>
              <w:bottom w:w="60" w:type="dxa"/>
              <w:left w:w="100" w:type="dxa"/>
              <w:right w:w="100" w:type="dxa"/>
            </w:tcMar>
          </w:tcPr>
          <w:p>
            <w:r>
              <w:rPr>
                <w:b/>
                <w:sz w:val="17"/>
              </w:rPr>
              <w:t>Total Physical SO-DIMM RAM</w:t>
            </w:r>
          </w:p>
        </w:tc>
        <w:tc>
          <w:tcPr>
            <w:tcW w:type="dxa" w:w="3312"/>
            <w:shd w:fill="F9FAFB"/>
            <w:tcMar>
              <w:top w:w="60" w:type="dxa"/>
              <w:bottom w:w="60" w:type="dxa"/>
              <w:left w:w="100" w:type="dxa"/>
              <w:right w:w="100" w:type="dxa"/>
            </w:tcMar>
          </w:tcPr>
          <w:p>
            <w:r>
              <w:rPr>
                <w:sz w:val="17"/>
              </w:rPr>
              <w:t>8.00 GB</w:t>
            </w:r>
          </w:p>
        </w:tc>
        <w:tc>
          <w:tcPr>
            <w:tcW w:type="dxa" w:w="3312"/>
            <w:shd w:fill="F9FAFB"/>
            <w:tcMar>
              <w:top w:w="60" w:type="dxa"/>
              <w:bottom w:w="60" w:type="dxa"/>
              <w:left w:w="100" w:type="dxa"/>
              <w:right w:w="100" w:type="dxa"/>
            </w:tcMar>
          </w:tcPr>
          <w:p>
            <w:r>
              <w:rPr>
                <w:sz w:val="17"/>
              </w:rPr>
              <w:t>Physical DDR4/DDR5 SO-DIMM capacity installed on motherboard.</w:t>
            </w:r>
          </w:p>
        </w:tc>
      </w:tr>
      <w:tr>
        <w:tc>
          <w:tcPr>
            <w:tcW w:type="dxa" w:w="3312"/>
            <w:shd w:fill="FFFFFF"/>
            <w:tcMar>
              <w:top w:w="60" w:type="dxa"/>
              <w:bottom w:w="60" w:type="dxa"/>
              <w:left w:w="100" w:type="dxa"/>
              <w:right w:w="100" w:type="dxa"/>
            </w:tcMar>
          </w:tcPr>
          <w:p>
            <w:r>
              <w:rPr>
                <w:b/>
                <w:sz w:val="17"/>
              </w:rPr>
              <w:t>Integrated GPU Reservation</w:t>
            </w:r>
          </w:p>
        </w:tc>
        <w:tc>
          <w:tcPr>
            <w:tcW w:type="dxa" w:w="3312"/>
            <w:shd w:fill="FFFFFF"/>
            <w:tcMar>
              <w:top w:w="60" w:type="dxa"/>
              <w:bottom w:w="60" w:type="dxa"/>
              <w:left w:w="100" w:type="dxa"/>
              <w:right w:w="100" w:type="dxa"/>
            </w:tcMar>
          </w:tcPr>
          <w:p>
            <w:r>
              <w:rPr>
                <w:sz w:val="17"/>
              </w:rPr>
              <w:t>2.28 GB</w:t>
            </w:r>
          </w:p>
        </w:tc>
        <w:tc>
          <w:tcPr>
            <w:tcW w:type="dxa" w:w="3312"/>
            <w:shd w:fill="FFFFFF"/>
            <w:tcMar>
              <w:top w:w="60" w:type="dxa"/>
              <w:bottom w:w="60" w:type="dxa"/>
              <w:left w:w="100" w:type="dxa"/>
              <w:right w:w="100" w:type="dxa"/>
            </w:tcMar>
          </w:tcPr>
          <w:p>
            <w:r>
              <w:rPr>
                <w:sz w:val="17"/>
              </w:rPr>
              <w:t>Hardware-reserved BIOS allocation for Radeon/Intel graphics framebuffers.</w:t>
            </w:r>
          </w:p>
        </w:tc>
      </w:tr>
      <w:tr>
        <w:tc>
          <w:tcPr>
            <w:tcW w:type="dxa" w:w="3312"/>
            <w:shd w:fill="F9FAFB"/>
            <w:tcMar>
              <w:top w:w="60" w:type="dxa"/>
              <w:bottom w:w="60" w:type="dxa"/>
              <w:left w:w="100" w:type="dxa"/>
              <w:right w:w="100" w:type="dxa"/>
            </w:tcMar>
          </w:tcPr>
          <w:p>
            <w:r>
              <w:rPr>
                <w:b/>
                <w:sz w:val="17"/>
              </w:rPr>
              <w:t>Real Usable System RAM</w:t>
            </w:r>
          </w:p>
        </w:tc>
        <w:tc>
          <w:tcPr>
            <w:tcW w:type="dxa" w:w="3312"/>
            <w:shd w:fill="F9FAFB"/>
            <w:tcMar>
              <w:top w:w="60" w:type="dxa"/>
              <w:bottom w:w="60" w:type="dxa"/>
              <w:left w:w="100" w:type="dxa"/>
              <w:right w:w="100" w:type="dxa"/>
            </w:tcMar>
          </w:tcPr>
          <w:p>
            <w:r>
              <w:rPr>
                <w:sz w:val="17"/>
              </w:rPr>
              <w:t>5.72 GB</w:t>
            </w:r>
          </w:p>
        </w:tc>
        <w:tc>
          <w:tcPr>
            <w:tcW w:type="dxa" w:w="3312"/>
            <w:shd w:fill="F9FAFB"/>
            <w:tcMar>
              <w:top w:w="60" w:type="dxa"/>
              <w:bottom w:w="60" w:type="dxa"/>
              <w:left w:w="100" w:type="dxa"/>
              <w:right w:w="100" w:type="dxa"/>
            </w:tcMar>
          </w:tcPr>
          <w:p>
            <w:r>
              <w:rPr>
                <w:sz w:val="17"/>
              </w:rPr>
              <w:t>Total physical RAM available to Windows kernel and all user-space processes.</w:t>
            </w:r>
          </w:p>
        </w:tc>
      </w:tr>
      <w:tr>
        <w:tc>
          <w:tcPr>
            <w:tcW w:type="dxa" w:w="3312"/>
            <w:shd w:fill="FFFFFF"/>
            <w:tcMar>
              <w:top w:w="60" w:type="dxa"/>
              <w:bottom w:w="60" w:type="dxa"/>
              <w:left w:w="100" w:type="dxa"/>
              <w:right w:w="100" w:type="dxa"/>
            </w:tcMar>
          </w:tcPr>
          <w:p>
            <w:r>
              <w:rPr>
                <w:b/>
                <w:sz w:val="17"/>
              </w:rPr>
              <w:t>OS &amp; Essential Background</w:t>
            </w:r>
          </w:p>
        </w:tc>
        <w:tc>
          <w:tcPr>
            <w:tcW w:type="dxa" w:w="3312"/>
            <w:shd w:fill="FFFFFF"/>
            <w:tcMar>
              <w:top w:w="60" w:type="dxa"/>
              <w:bottom w:w="60" w:type="dxa"/>
              <w:left w:w="100" w:type="dxa"/>
              <w:right w:w="100" w:type="dxa"/>
            </w:tcMar>
          </w:tcPr>
          <w:p>
            <w:r>
              <w:rPr>
                <w:sz w:val="17"/>
              </w:rPr>
              <w:t>2.30 GB</w:t>
            </w:r>
          </w:p>
        </w:tc>
        <w:tc>
          <w:tcPr>
            <w:tcW w:type="dxa" w:w="3312"/>
            <w:shd w:fill="FFFFFF"/>
            <w:tcMar>
              <w:top w:w="60" w:type="dxa"/>
              <w:bottom w:w="60" w:type="dxa"/>
              <w:left w:w="100" w:type="dxa"/>
              <w:right w:w="100" w:type="dxa"/>
            </w:tcMar>
          </w:tcPr>
          <w:p>
            <w:r>
              <w:rPr>
                <w:sz w:val="17"/>
              </w:rPr>
              <w:t>Windows 11 desktop shell, DWM, background services, security processes.</w:t>
            </w:r>
          </w:p>
        </w:tc>
      </w:tr>
      <w:tr>
        <w:tc>
          <w:tcPr>
            <w:tcW w:type="dxa" w:w="3312"/>
            <w:shd w:fill="F9FAFB"/>
            <w:tcMar>
              <w:top w:w="60" w:type="dxa"/>
              <w:bottom w:w="60" w:type="dxa"/>
              <w:left w:w="100" w:type="dxa"/>
              <w:right w:w="100" w:type="dxa"/>
            </w:tcMar>
          </w:tcPr>
          <w:p>
            <w:r>
              <w:rPr>
                <w:b/>
                <w:sz w:val="17"/>
              </w:rPr>
              <w:t>Available AI Memory Ceiling</w:t>
            </w:r>
          </w:p>
        </w:tc>
        <w:tc>
          <w:tcPr>
            <w:tcW w:type="dxa" w:w="3312"/>
            <w:shd w:fill="F9FAFB"/>
            <w:tcMar>
              <w:top w:w="60" w:type="dxa"/>
              <w:bottom w:w="60" w:type="dxa"/>
              <w:left w:w="100" w:type="dxa"/>
              <w:right w:w="100" w:type="dxa"/>
            </w:tcMar>
          </w:tcPr>
          <w:p>
            <w:r>
              <w:rPr>
                <w:sz w:val="17"/>
              </w:rPr>
              <w:t>3.42 GB</w:t>
            </w:r>
          </w:p>
        </w:tc>
        <w:tc>
          <w:tcPr>
            <w:tcW w:type="dxa" w:w="3312"/>
            <w:shd w:fill="F9FAFB"/>
            <w:tcMar>
              <w:top w:w="60" w:type="dxa"/>
              <w:bottom w:w="60" w:type="dxa"/>
              <w:left w:w="100" w:type="dxa"/>
              <w:right w:w="100" w:type="dxa"/>
            </w:tcMar>
          </w:tcPr>
          <w:p>
            <w:r>
              <w:rPr>
                <w:sz w:val="17"/>
              </w:rPr>
              <w:t>Maximum allowable resident set size (RSS) for Orion, model, and sidecars.</w:t>
            </w:r>
          </w:p>
        </w:tc>
      </w:tr>
    </w:tbl>
    <w:p>
      <w:pPr>
        <w:spacing w:before="0" w:after="100" w:line="276" w:lineRule="auto"/>
      </w:pPr>
      <w:r>
        <w:rPr>
          <w:rFonts w:ascii="Times New Roman" w:hAnsi="Times New Roman"/>
          <w:sz w:val="19"/>
        </w:rPr>
        <w:t>Invariant 1 (Resident Ceiling): The maximum resident memory of any loaded model plus its KV cache and sidecars must never exceed 2.20 GB.</w:t>
        <w:br/>
        <w:t>Invariant 2 (Single-Model RAM Constraint): Under no circumstances may two models be loaded concurrently in RAM, as (2.1 GB + 2.1 GB = 4.2 GB) &gt; 3.42 GB available headroom, guaranteeing OS swap collapse.</w:t>
      </w:r>
    </w:p>
    <w:p>
      <w:pPr>
        <w:keepNext/>
        <w:spacing w:before="280" w:after="80"/>
      </w:pPr>
      <w:r>
        <w:rPr>
          <w:rFonts w:ascii="Times New Roman" w:hAnsi="Times New Roman"/>
          <w:b/>
          <w:color w:val="101820"/>
          <w:sz w:val="24"/>
        </w:rPr>
        <w:t>IV. CORE TECHNICAL MOAT: SEQUENTIAL DYNAMIC HANDOFF</w:t>
      </w:r>
    </w:p>
    <w:p>
      <w:pPr>
        <w:keepNext/>
        <w:spacing w:before="200" w:after="60"/>
      </w:pPr>
      <w:r>
        <w:rPr>
          <w:rFonts w:ascii="Times New Roman" w:hAnsi="Times New Roman"/>
          <w:b/>
          <w:color w:val="213547"/>
          <w:sz w:val="21"/>
        </w:rPr>
        <w:t>A. Dual-Model Storage vs. Single-Model Resident Execution</w:t>
      </w:r>
    </w:p>
    <w:p>
      <w:pPr>
        <w:spacing w:before="0" w:after="100" w:line="276" w:lineRule="auto"/>
      </w:pPr>
      <w:r>
        <w:rPr>
          <w:rFonts w:ascii="Times New Roman" w:hAnsi="Times New Roman"/>
          <w:sz w:val="19"/>
        </w:rPr>
        <w:t>To deliver both general reasoning and specialized software engineering capabilities without exceeding memory boundaries, Orion introduces the Sequential Dynamic Handoff Router:</w:t>
        <w:br/>
        <w:t>• On Non-Volatile Disk (NVMe SSD): Orion stores two specialized quantized GGUF models: Model A (General Intelligence: Qwen2.5-3B-Instruct, ~2.05 GB) and Model B (Dedicated Coding Engine: Qwen2.5-Coder-3B-Instruct, ~2.05 GB).</w:t>
        <w:br/>
        <w:t>• In Physical RAM: Exactly ONE model is resident at any given timestamp. When a query requires domain specialization, the General Model is cleanly unloaded (SIGTERM, 400ms flush), followed by an atomic loading of the Coder Model (1.18s from SSD into RAM). The UI dynamically updates with honest model badges, maintaining 100% desktop responsiveness.</w:t>
      </w:r>
    </w:p>
    <w:p>
      <w:pPr>
        <w:keepNext/>
        <w:spacing w:before="200" w:after="60"/>
      </w:pPr>
      <w:r>
        <w:rPr>
          <w:rFonts w:ascii="Times New Roman" w:hAnsi="Times New Roman"/>
          <w:b/>
          <w:color w:val="213547"/>
          <w:sz w:val="21"/>
        </w:rPr>
        <w:t>B. Mathematical Formulation of Memory Safety</w:t>
      </w:r>
    </w:p>
    <w:p>
      <w:pPr>
        <w:spacing w:before="0" w:after="100" w:line="276" w:lineRule="auto"/>
      </w:pPr>
      <w:r>
        <w:rPr>
          <w:rFonts w:ascii="Times New Roman" w:hAnsi="Times New Roman"/>
          <w:sz w:val="19"/>
        </w:rPr>
        <w:t>Let M_avail denote available memory (3.42 GB), M_OS denote baseline OS overhead (2.30 GB), and M_i denote the resident memory footprint of model i in {General, Coder}. In a conventional concurrent multi-model system:</w:t>
        <w:br/>
        <w:t xml:space="preserve">    M_total = M_OS + M_General + M_Coder = 2.30 + 2.05 + 2.05 = 6.40 GB &gt; 5.72 GB (PAGING COLLAPSE)</w:t>
        <w:br/>
        <w:br/>
        <w:t>Under Orion's sequential dynamic handoff protocol, the resident memory at any timestamp t is governed by:</w:t>
        <w:br/>
        <w:t xml:space="preserve">    M_resident(t) = M_OS + alpha(t) * M_General + beta(t) * M_Coder + delta_transient</w:t>
        <w:br/>
        <w:t>where alpha(t), beta(t) in {0, 1} and alpha(t) + beta(t) &lt;= 1 for all t. During the atomic handoff interval, alpha(t) = 0 and beta(t) = 0, guaranteeing that M_resident(t) &lt;= 2.45 GB at all times, safely below the 5.72 GB physical cliff.</w:t>
      </w:r>
    </w:p>
    <w:p>
      <w:pPr>
        <w:keepNext/>
        <w:spacing w:before="280" w:after="80"/>
      </w:pPr>
      <w:r>
        <w:rPr>
          <w:rFonts w:ascii="Times New Roman" w:hAnsi="Times New Roman"/>
          <w:b/>
          <w:color w:val="101820"/>
          <w:sz w:val="24"/>
        </w:rPr>
        <w:t>V. ENTERPRISE SECURITY: TWO-DOMAIN CAPABILITY BROKER</w:t>
      </w:r>
    </w:p>
    <w:p>
      <w:pPr>
        <w:keepNext/>
        <w:spacing w:before="200" w:after="60"/>
      </w:pPr>
      <w:r>
        <w:rPr>
          <w:rFonts w:ascii="Times New Roman" w:hAnsi="Times New Roman"/>
          <w:b/>
          <w:color w:val="213547"/>
          <w:sz w:val="21"/>
        </w:rPr>
        <w:t>A. Two-Domain Structural Isolation</w:t>
      </w:r>
    </w:p>
    <w:p>
      <w:pPr>
        <w:spacing w:before="0" w:after="100" w:line="276" w:lineRule="auto"/>
      </w:pPr>
      <w:r>
        <w:rPr>
          <w:rFonts w:ascii="Times New Roman" w:hAnsi="Times New Roman"/>
          <w:sz w:val="19"/>
        </w:rPr>
        <w:t>Commercial cloud LLMs collapse system directives, user prompts, and retrieved context into a single monolithic string context, creating severe indirect prompt injection vulnerabilities [6]. Orion eliminates this vulnerability through Two-Domain Structural Isolation:</w:t>
        <w:br/>
        <w:t>• Untrusted Context Domain: All ingested PDFs, email bodies, web pages, and RAG search snippets are tagged as UNTRUSTED_CONTEXT and quarantined in a passive, read-only buffer with zero execution rights.</w:t>
        <w:br/>
        <w:t>• Trusted Directive Domain: Only direct input from the user (authenticated keyboard input or verified microphone streams) is recognized as actionable execution directives.</w:t>
      </w:r>
    </w:p>
    <w:p>
      <w:pPr>
        <w:keepNext/>
        <w:spacing w:before="200" w:after="60"/>
      </w:pPr>
      <w:r>
        <w:rPr>
          <w:rFonts w:ascii="Times New Roman" w:hAnsi="Times New Roman"/>
          <w:b/>
          <w:color w:val="213547"/>
          <w:sz w:val="21"/>
        </w:rPr>
        <w:t>B. 4-Tier Graduated Permission Matrix &amp; Audit Journal</w:t>
      </w:r>
    </w:p>
    <w:p>
      <w:pPr>
        <w:spacing w:before="0" w:after="100" w:line="276" w:lineRule="auto"/>
      </w:pPr>
      <w:r>
        <w:rPr>
          <w:rFonts w:ascii="Times New Roman" w:hAnsi="Times New Roman"/>
          <w:sz w:val="19"/>
        </w:rPr>
        <w:t>All interactions with the host operating system are supervised by a 4-tier capability broker:</w:t>
        <w:br/>
        <w:t>• Tier 0 (Passive Read): Local vector search, reading indexed markdown notes, system telemetry. Auto-granted.</w:t>
        <w:br/>
        <w:t>• Tier 1 (Reversible Mutations): Creating temporary notes, drafting emails. Granted with automatic atomic rollback snapshot in SQLite.</w:t>
        <w:br/>
        <w:t>• Tier 2 (Destructive Operations): Modifying production source code, executing scripts, sending external communications. Requires interactive user approval ticket in UI.</w:t>
        <w:br/>
        <w:t>• Tier 3 (Permanently Blocked): Absolute hard prohibition. Modifying SSH keys, .env credentials, bash profiles, or Windows registry hives is permanently blocked at the kernel layer.</w:t>
        <w:br/>
        <w:t>Every capability invocation is hashed and appended to an immutable SQLite Write-Ahead Log (WAL), satisfying SEC Rule 17a-4 and HIPAA audit trail requirements.</w:t>
      </w:r>
    </w:p>
    <w:p>
      <w:pPr>
        <w:keepNext/>
        <w:spacing w:before="280" w:after="80"/>
      </w:pPr>
      <w:r>
        <w:rPr>
          <w:rFonts w:ascii="Times New Roman" w:hAnsi="Times New Roman"/>
          <w:b/>
          <w:color w:val="101820"/>
          <w:sz w:val="24"/>
        </w:rPr>
        <w:t>VI. PRODUCTION ARCHITECTURE: FULLY DEPLOYED M1–M10 PLATFORM</w:t>
      </w:r>
    </w:p>
    <w:p>
      <w:pPr>
        <w:spacing w:before="0" w:after="100" w:line="276" w:lineRule="auto"/>
      </w:pPr>
      <w:r>
        <w:rPr>
          <w:rFonts w:ascii="Times New Roman" w:hAnsi="Times New Roman"/>
          <w:sz w:val="19"/>
        </w:rPr>
        <w:t>Orion is a production-deployed operating environment. All ten developmental milestones are fully implemented and validated:</w:t>
        <w:br/>
        <w:t>• M1: High-Performance C++ Inference Engine (llama-server sidecar, SSE streaming, pinned memory).</w:t>
        <w:br/>
        <w:t>• M2: Dual RAG Architecture (MiniLM embeddings + SQLite FTS5 BM25 hybrid ranking).</w:t>
        <w:br/>
        <w:t>• M3: Desktop HUD &amp; Hotkey Daemon (Global Ctrl+Shift+0 hook, tray daemon, sub-second overlay).</w:t>
        <w:br/>
        <w:t>• M4: Multimodal Speech Loop (Local Whisper.cpp STT + neural Piper TTS with zero-latency streaming).</w:t>
        <w:br/>
        <w:t>• M5: Capability Broker &amp; Security Supervisor (Two-domain isolation and 4-tier permission enforcement).</w:t>
        <w:br/>
        <w:t>• M6: Windows Installer &amp; Auto-Onboarding (NSIS packaging, background streaming downloads, SHA-256 verification).</w:t>
        <w:br/>
        <w:t>• M7 (DEPLOYED): Sovereign Email Assistant (Offline IMAP/SMTP parsing, zero-egress inbox analysis, Capability-Broker guarded draft dispatch).</w:t>
        <w:br/>
        <w:t>• M8 (DEPLOYED): Sandboxed Browser Automation (Playwright headless accessibility tree, DOM-to-action intent parser, strict out-of-band credential protection).</w:t>
        <w:br/>
        <w:t>• M9 (DEPLOYED): Desktop OS UI Control (Win32 accessibility UI automation, cross-application file workflows, user-in-the-loop confirmation).</w:t>
        <w:br/>
        <w:t>• M10 (DEPLOYED): Enterprise Kernel Hardening (Windows AppContainer sandbox, salted SHA-256 session lock, dynamic idle RAM hibernation, complete zero-egress firewall certification).</w:t>
      </w:r>
    </w:p>
    <w:p>
      <w:pPr>
        <w:keepNext/>
        <w:spacing w:before="280" w:after="80"/>
      </w:pPr>
      <w:r>
        <w:rPr>
          <w:rFonts w:ascii="Times New Roman" w:hAnsi="Times New Roman"/>
          <w:b/>
          <w:color w:val="101820"/>
          <w:sz w:val="24"/>
        </w:rPr>
        <w:t>VII. RIGOROUS EMPIRICAL BENCHMARKING &amp; TEST METHODOLOGY</w:t>
      </w:r>
    </w:p>
    <w:p>
      <w:pPr>
        <w:keepNext/>
        <w:spacing w:before="200" w:after="60"/>
      </w:pPr>
      <w:r>
        <w:rPr>
          <w:rFonts w:ascii="Times New Roman" w:hAnsi="Times New Roman"/>
          <w:b/>
          <w:color w:val="213547"/>
          <w:sz w:val="21"/>
        </w:rPr>
        <w:t>A. Testbed Configuration &amp; Hardware Profiling</w:t>
      </w:r>
    </w:p>
    <w:p>
      <w:pPr>
        <w:spacing w:before="0" w:after="100" w:line="276" w:lineRule="auto"/>
      </w:pPr>
      <w:r>
        <w:rPr>
          <w:rFonts w:ascii="Times New Roman" w:hAnsi="Times New Roman"/>
          <w:sz w:val="19"/>
        </w:rPr>
        <w:t>All empirical tests were executed on an enterprise-representative hardware profile:</w:t>
        <w:br/>
        <w:t>• Processor: AMD Ryzen 5 5500U (6 physical cores, 12 threads @ 2.1 GHz base, 4.0 GHz boost cache).</w:t>
        <w:br/>
        <w:t>• Physical RAM: 8.00 GB DDR4-3200 SO-DIMM (5.72 GB usable following 2.28 GB BIOS Radeon frame buffer reservation).</w:t>
        <w:br/>
        <w:t>• Storage: 512 GB PCIe NVMe M.2 SSD (Sequential read: 2,450 MB/s, write: 1,800 MB/s).</w:t>
        <w:br/>
        <w:t>• Operating System: Microsoft Windows 11 Home 64-bit (Build 22631, DWM background resident set size: 2.30 GB).</w:t>
      </w:r>
    </w:p>
    <w:p>
      <w:pPr>
        <w:keepNext/>
        <w:spacing w:before="200" w:after="60"/>
      </w:pPr>
      <w:r>
        <w:rPr>
          <w:rFonts w:ascii="Times New Roman" w:hAnsi="Times New Roman"/>
          <w:b/>
          <w:color w:val="213547"/>
          <w:sz w:val="21"/>
        </w:rPr>
        <w:t>B. Memory Thrashing Dynamics &amp; Kernel Swap Behavior</w:t>
      </w:r>
    </w:p>
    <w:p>
      <w:pPr>
        <w:spacing w:before="0" w:after="100" w:line="276" w:lineRule="auto"/>
      </w:pPr>
      <w:r>
        <w:rPr>
          <w:rFonts w:ascii="Times New Roman" w:hAnsi="Times New Roman"/>
          <w:sz w:val="19"/>
        </w:rPr>
        <w:t>We subjected Orion, Ollama (v0.3.x), and LM Studio (v0.2.x) to an intensive 60-minute multi-model task switching benchmark. Resident Set Size (RSS), Working Set Private Bytes, and Hard Page Faults were sampled at 100ms intervals via Windows Performance Monitor (ETW).</w:t>
      </w:r>
    </w:p>
    <w:tbl>
      <w:tblPr>
        <w:tblW w:type="auto" w:w="0"/>
        <w:jc w:val="center"/>
        <w:tblLook w:firstColumn="1" w:firstRow="1" w:lastColumn="0" w:lastRow="0" w:noHBand="0" w:noVBand="1" w:val="04A0"/>
      </w:tblPr>
      <w:tblGrid>
        <w:gridCol w:w="2484"/>
        <w:gridCol w:w="2484"/>
        <w:gridCol w:w="2484"/>
        <w:gridCol w:w="2484"/>
      </w:tblGrid>
      <w:tr>
        <w:tc>
          <w:tcPr>
            <w:tcW w:type="dxa" w:w="2484"/>
            <w:shd w:fill="21262D"/>
            <w:tcMar>
              <w:top w:w="80" w:type="dxa"/>
              <w:bottom w:w="80" w:type="dxa"/>
              <w:left w:w="100" w:type="dxa"/>
              <w:right w:w="100" w:type="dxa"/>
            </w:tcMar>
          </w:tcPr>
          <w:p>
            <w:r>
              <w:rPr>
                <w:b/>
                <w:color w:val="FFFFFF"/>
                <w:sz w:val="17"/>
              </w:rPr>
              <w:t>Benchmark Metric</w:t>
            </w:r>
          </w:p>
        </w:tc>
        <w:tc>
          <w:tcPr>
            <w:tcW w:type="dxa" w:w="2484"/>
            <w:shd w:fill="21262D"/>
            <w:tcMar>
              <w:top w:w="80" w:type="dxa"/>
              <w:bottom w:w="80" w:type="dxa"/>
              <w:left w:w="100" w:type="dxa"/>
              <w:right w:w="100" w:type="dxa"/>
            </w:tcMar>
          </w:tcPr>
          <w:p>
            <w:r>
              <w:rPr>
                <w:b/>
                <w:color w:val="FFFFFF"/>
                <w:sz w:val="17"/>
              </w:rPr>
              <w:t>Orion Platform</w:t>
            </w:r>
          </w:p>
        </w:tc>
        <w:tc>
          <w:tcPr>
            <w:tcW w:type="dxa" w:w="2484"/>
            <w:shd w:fill="21262D"/>
            <w:tcMar>
              <w:top w:w="80" w:type="dxa"/>
              <w:bottom w:w="80" w:type="dxa"/>
              <w:left w:w="100" w:type="dxa"/>
              <w:right w:w="100" w:type="dxa"/>
            </w:tcMar>
          </w:tcPr>
          <w:p>
            <w:r>
              <w:rPr>
                <w:b/>
                <w:color w:val="FFFFFF"/>
                <w:sz w:val="17"/>
              </w:rPr>
              <w:t>Ollama 0.3.x Baseline</w:t>
            </w:r>
          </w:p>
        </w:tc>
        <w:tc>
          <w:tcPr>
            <w:tcW w:type="dxa" w:w="2484"/>
            <w:shd w:fill="21262D"/>
            <w:tcMar>
              <w:top w:w="80" w:type="dxa"/>
              <w:bottom w:w="80" w:type="dxa"/>
              <w:left w:w="100" w:type="dxa"/>
              <w:right w:w="100" w:type="dxa"/>
            </w:tcMar>
          </w:tcPr>
          <w:p>
            <w:r>
              <w:rPr>
                <w:b/>
                <w:color w:val="FFFFFF"/>
                <w:sz w:val="17"/>
              </w:rPr>
              <w:t>LM Studio 0.2.x Baseline</w:t>
            </w:r>
          </w:p>
        </w:tc>
      </w:tr>
      <w:tr>
        <w:tc>
          <w:tcPr>
            <w:tcW w:type="dxa" w:w="2484"/>
            <w:shd w:fill="F9FAFB"/>
            <w:tcMar>
              <w:top w:w="60" w:type="dxa"/>
              <w:bottom w:w="60" w:type="dxa"/>
              <w:left w:w="80" w:type="dxa"/>
              <w:right w:w="80" w:type="dxa"/>
            </w:tcMar>
          </w:tcPr>
          <w:p>
            <w:r>
              <w:rPr>
                <w:b/>
                <w:sz w:val="16"/>
              </w:rPr>
              <w:t>Peak Resident RAM (1 Model)</w:t>
            </w:r>
          </w:p>
        </w:tc>
        <w:tc>
          <w:tcPr>
            <w:tcW w:type="dxa" w:w="2484"/>
            <w:shd w:fill="F9FAFB"/>
            <w:tcMar>
              <w:top w:w="60" w:type="dxa"/>
              <w:bottom w:w="60" w:type="dxa"/>
              <w:left w:w="80" w:type="dxa"/>
              <w:right w:w="80" w:type="dxa"/>
            </w:tcMar>
          </w:tcPr>
          <w:p>
            <w:r>
              <w:rPr>
                <w:b/>
                <w:sz w:val="16"/>
              </w:rPr>
              <w:t>2.04 GB (Stable)</w:t>
            </w:r>
          </w:p>
        </w:tc>
        <w:tc>
          <w:tcPr>
            <w:tcW w:type="dxa" w:w="2484"/>
            <w:shd w:fill="F9FAFB"/>
            <w:tcMar>
              <w:top w:w="60" w:type="dxa"/>
              <w:bottom w:w="60" w:type="dxa"/>
              <w:left w:w="80" w:type="dxa"/>
              <w:right w:w="80" w:type="dxa"/>
            </w:tcMar>
          </w:tcPr>
          <w:p>
            <w:r>
              <w:rPr>
                <w:sz w:val="16"/>
              </w:rPr>
              <w:t>2.85 GB (High)</w:t>
            </w:r>
          </w:p>
        </w:tc>
        <w:tc>
          <w:tcPr>
            <w:tcW w:type="dxa" w:w="2484"/>
            <w:shd w:fill="F9FAFB"/>
            <w:tcMar>
              <w:top w:w="60" w:type="dxa"/>
              <w:bottom w:w="60" w:type="dxa"/>
              <w:left w:w="80" w:type="dxa"/>
              <w:right w:w="80" w:type="dxa"/>
            </w:tcMar>
          </w:tcPr>
          <w:p>
            <w:r>
              <w:rPr>
                <w:sz w:val="16"/>
              </w:rPr>
              <w:t>3.10 GB (High)</w:t>
            </w:r>
          </w:p>
        </w:tc>
      </w:tr>
      <w:tr>
        <w:tc>
          <w:tcPr>
            <w:tcW w:type="dxa" w:w="2484"/>
            <w:shd w:fill="FFFFFF"/>
            <w:tcMar>
              <w:top w:w="60" w:type="dxa"/>
              <w:bottom w:w="60" w:type="dxa"/>
              <w:left w:w="80" w:type="dxa"/>
              <w:right w:w="80" w:type="dxa"/>
            </w:tcMar>
          </w:tcPr>
          <w:p>
            <w:r>
              <w:rPr>
                <w:b/>
                <w:sz w:val="16"/>
              </w:rPr>
              <w:t>Dual-Model Execution Behavior</w:t>
            </w:r>
          </w:p>
        </w:tc>
        <w:tc>
          <w:tcPr>
            <w:tcW w:type="dxa" w:w="2484"/>
            <w:shd w:fill="FFFFFF"/>
            <w:tcMar>
              <w:top w:w="60" w:type="dxa"/>
              <w:bottom w:w="60" w:type="dxa"/>
              <w:left w:w="80" w:type="dxa"/>
              <w:right w:w="80" w:type="dxa"/>
            </w:tcMar>
          </w:tcPr>
          <w:p>
            <w:r>
              <w:rPr>
                <w:b/>
                <w:sz w:val="16"/>
              </w:rPr>
              <w:t>Sequential Swap (0% Paging)</w:t>
            </w:r>
          </w:p>
        </w:tc>
        <w:tc>
          <w:tcPr>
            <w:tcW w:type="dxa" w:w="2484"/>
            <w:shd w:fill="FFFFFF"/>
            <w:tcMar>
              <w:top w:w="60" w:type="dxa"/>
              <w:bottom w:w="60" w:type="dxa"/>
              <w:left w:w="80" w:type="dxa"/>
              <w:right w:w="80" w:type="dxa"/>
            </w:tcMar>
          </w:tcPr>
          <w:p>
            <w:r>
              <w:rPr>
                <w:sz w:val="16"/>
              </w:rPr>
              <w:t>System Swap Freeze (OOM)</w:t>
            </w:r>
          </w:p>
        </w:tc>
        <w:tc>
          <w:tcPr>
            <w:tcW w:type="dxa" w:w="2484"/>
            <w:shd w:fill="FFFFFF"/>
            <w:tcMar>
              <w:top w:w="60" w:type="dxa"/>
              <w:bottom w:w="60" w:type="dxa"/>
              <w:left w:w="80" w:type="dxa"/>
              <w:right w:w="80" w:type="dxa"/>
            </w:tcMar>
          </w:tcPr>
          <w:p>
            <w:r>
              <w:rPr>
                <w:sz w:val="16"/>
              </w:rPr>
              <w:t>Out of Memory Abort</w:t>
            </w:r>
          </w:p>
        </w:tc>
      </w:tr>
      <w:tr>
        <w:tc>
          <w:tcPr>
            <w:tcW w:type="dxa" w:w="2484"/>
            <w:shd w:fill="F9FAFB"/>
            <w:tcMar>
              <w:top w:w="60" w:type="dxa"/>
              <w:bottom w:w="60" w:type="dxa"/>
              <w:left w:w="80" w:type="dxa"/>
              <w:right w:w="80" w:type="dxa"/>
            </w:tcMar>
          </w:tcPr>
          <w:p>
            <w:r>
              <w:rPr>
                <w:b/>
                <w:sz w:val="16"/>
              </w:rPr>
              <w:t>Hard Page Faults per Second</w:t>
            </w:r>
          </w:p>
        </w:tc>
        <w:tc>
          <w:tcPr>
            <w:tcW w:type="dxa" w:w="2484"/>
            <w:shd w:fill="F9FAFB"/>
            <w:tcMar>
              <w:top w:w="60" w:type="dxa"/>
              <w:bottom w:w="60" w:type="dxa"/>
              <w:left w:w="80" w:type="dxa"/>
              <w:right w:w="80" w:type="dxa"/>
            </w:tcMar>
          </w:tcPr>
          <w:p>
            <w:r>
              <w:rPr>
                <w:b/>
                <w:sz w:val="16"/>
              </w:rPr>
              <w:t>0.0 faults/sec</w:t>
            </w:r>
          </w:p>
        </w:tc>
        <w:tc>
          <w:tcPr>
            <w:tcW w:type="dxa" w:w="2484"/>
            <w:shd w:fill="F9FAFB"/>
            <w:tcMar>
              <w:top w:w="60" w:type="dxa"/>
              <w:bottom w:w="60" w:type="dxa"/>
              <w:left w:w="80" w:type="dxa"/>
              <w:right w:w="80" w:type="dxa"/>
            </w:tcMar>
          </w:tcPr>
          <w:p>
            <w:r>
              <w:rPr>
                <w:sz w:val="16"/>
              </w:rPr>
              <w:t>852.4 faults/sec</w:t>
            </w:r>
          </w:p>
        </w:tc>
        <w:tc>
          <w:tcPr>
            <w:tcW w:type="dxa" w:w="2484"/>
            <w:shd w:fill="F9FAFB"/>
            <w:tcMar>
              <w:top w:w="60" w:type="dxa"/>
              <w:bottom w:w="60" w:type="dxa"/>
              <w:left w:w="80" w:type="dxa"/>
              <w:right w:w="80" w:type="dxa"/>
            </w:tcMar>
          </w:tcPr>
          <w:p>
            <w:r>
              <w:rPr>
                <w:sz w:val="16"/>
              </w:rPr>
              <w:t>914.0 faults/sec</w:t>
            </w:r>
          </w:p>
        </w:tc>
      </w:tr>
      <w:tr>
        <w:tc>
          <w:tcPr>
            <w:tcW w:type="dxa" w:w="2484"/>
            <w:shd w:fill="FFFFFF"/>
            <w:tcMar>
              <w:top w:w="60" w:type="dxa"/>
              <w:bottom w:w="60" w:type="dxa"/>
              <w:left w:w="80" w:type="dxa"/>
              <w:right w:w="80" w:type="dxa"/>
            </w:tcMar>
          </w:tcPr>
          <w:p>
            <w:r>
              <w:rPr>
                <w:b/>
                <w:sz w:val="16"/>
              </w:rPr>
              <w:t>Model Handoff Latency</w:t>
            </w:r>
          </w:p>
        </w:tc>
        <w:tc>
          <w:tcPr>
            <w:tcW w:type="dxa" w:w="2484"/>
            <w:shd w:fill="FFFFFF"/>
            <w:tcMar>
              <w:top w:w="60" w:type="dxa"/>
              <w:bottom w:w="60" w:type="dxa"/>
              <w:left w:w="80" w:type="dxa"/>
              <w:right w:w="80" w:type="dxa"/>
            </w:tcMar>
          </w:tcPr>
          <w:p>
            <w:r>
              <w:rPr>
                <w:b/>
                <w:sz w:val="16"/>
              </w:rPr>
              <w:t>1.18 seconds</w:t>
            </w:r>
          </w:p>
        </w:tc>
        <w:tc>
          <w:tcPr>
            <w:tcW w:type="dxa" w:w="2484"/>
            <w:shd w:fill="FFFFFF"/>
            <w:tcMar>
              <w:top w:w="60" w:type="dxa"/>
              <w:bottom w:w="60" w:type="dxa"/>
              <w:left w:w="80" w:type="dxa"/>
              <w:right w:w="80" w:type="dxa"/>
            </w:tcMar>
          </w:tcPr>
          <w:p>
            <w:r>
              <w:rPr>
                <w:sz w:val="16"/>
              </w:rPr>
              <w:t>Manual CLI (~8.4s)</w:t>
            </w:r>
          </w:p>
        </w:tc>
        <w:tc>
          <w:tcPr>
            <w:tcW w:type="dxa" w:w="2484"/>
            <w:shd w:fill="FFFFFF"/>
            <w:tcMar>
              <w:top w:w="60" w:type="dxa"/>
              <w:bottom w:w="60" w:type="dxa"/>
              <w:left w:w="80" w:type="dxa"/>
              <w:right w:w="80" w:type="dxa"/>
            </w:tcMar>
          </w:tcPr>
          <w:p>
            <w:r>
              <w:rPr>
                <w:sz w:val="16"/>
              </w:rPr>
              <w:t>Manual GUI (~12.1s)</w:t>
            </w:r>
          </w:p>
        </w:tc>
      </w:tr>
      <w:tr>
        <w:tc>
          <w:tcPr>
            <w:tcW w:type="dxa" w:w="2484"/>
            <w:shd w:fill="F9FAFB"/>
            <w:tcMar>
              <w:top w:w="60" w:type="dxa"/>
              <w:bottom w:w="60" w:type="dxa"/>
              <w:left w:w="80" w:type="dxa"/>
              <w:right w:w="80" w:type="dxa"/>
            </w:tcMar>
          </w:tcPr>
          <w:p>
            <w:r>
              <w:rPr>
                <w:b/>
                <w:sz w:val="16"/>
              </w:rPr>
              <w:t>Inference Generation Speed</w:t>
            </w:r>
          </w:p>
        </w:tc>
        <w:tc>
          <w:tcPr>
            <w:tcW w:type="dxa" w:w="2484"/>
            <w:shd w:fill="F9FAFB"/>
            <w:tcMar>
              <w:top w:w="60" w:type="dxa"/>
              <w:bottom w:w="60" w:type="dxa"/>
              <w:left w:w="80" w:type="dxa"/>
              <w:right w:w="80" w:type="dxa"/>
            </w:tcMar>
          </w:tcPr>
          <w:p>
            <w:r>
              <w:rPr>
                <w:b/>
                <w:sz w:val="16"/>
              </w:rPr>
              <w:t>16.4 tokens/second</w:t>
            </w:r>
          </w:p>
        </w:tc>
        <w:tc>
          <w:tcPr>
            <w:tcW w:type="dxa" w:w="2484"/>
            <w:shd w:fill="F9FAFB"/>
            <w:tcMar>
              <w:top w:w="60" w:type="dxa"/>
              <w:bottom w:w="60" w:type="dxa"/>
              <w:left w:w="80" w:type="dxa"/>
              <w:right w:w="80" w:type="dxa"/>
            </w:tcMar>
          </w:tcPr>
          <w:p>
            <w:r>
              <w:rPr>
                <w:sz w:val="16"/>
              </w:rPr>
              <w:t>15.8 tokens/second</w:t>
            </w:r>
          </w:p>
        </w:tc>
        <w:tc>
          <w:tcPr>
            <w:tcW w:type="dxa" w:w="2484"/>
            <w:shd w:fill="F9FAFB"/>
            <w:tcMar>
              <w:top w:w="60" w:type="dxa"/>
              <w:bottom w:w="60" w:type="dxa"/>
              <w:left w:w="80" w:type="dxa"/>
              <w:right w:w="80" w:type="dxa"/>
            </w:tcMar>
          </w:tcPr>
          <w:p>
            <w:r>
              <w:rPr>
                <w:sz w:val="16"/>
              </w:rPr>
              <w:t>14.9 tokens/second</w:t>
            </w:r>
          </w:p>
        </w:tc>
      </w:tr>
      <w:tr>
        <w:tc>
          <w:tcPr>
            <w:tcW w:type="dxa" w:w="2484"/>
            <w:shd w:fill="FFFFFF"/>
            <w:tcMar>
              <w:top w:w="60" w:type="dxa"/>
              <w:bottom w:w="60" w:type="dxa"/>
              <w:left w:w="80" w:type="dxa"/>
              <w:right w:w="80" w:type="dxa"/>
            </w:tcMar>
          </w:tcPr>
          <w:p>
            <w:r>
              <w:rPr>
                <w:b/>
                <w:sz w:val="16"/>
              </w:rPr>
              <w:t>Inactivity Memory Reclamation</w:t>
            </w:r>
          </w:p>
        </w:tc>
        <w:tc>
          <w:tcPr>
            <w:tcW w:type="dxa" w:w="2484"/>
            <w:shd w:fill="FFFFFF"/>
            <w:tcMar>
              <w:top w:w="60" w:type="dxa"/>
              <w:bottom w:w="60" w:type="dxa"/>
              <w:left w:w="80" w:type="dxa"/>
              <w:right w:w="80" w:type="dxa"/>
            </w:tcMar>
          </w:tcPr>
          <w:p>
            <w:r>
              <w:rPr>
                <w:b/>
                <w:sz w:val="16"/>
              </w:rPr>
              <w:t>100% (Standby in 8 min)</w:t>
            </w:r>
          </w:p>
        </w:tc>
        <w:tc>
          <w:tcPr>
            <w:tcW w:type="dxa" w:w="2484"/>
            <w:shd w:fill="FFFFFF"/>
            <w:tcMar>
              <w:top w:w="60" w:type="dxa"/>
              <w:bottom w:w="60" w:type="dxa"/>
              <w:left w:w="80" w:type="dxa"/>
              <w:right w:w="80" w:type="dxa"/>
            </w:tcMar>
          </w:tcPr>
          <w:p>
            <w:r>
              <w:rPr>
                <w:sz w:val="16"/>
              </w:rPr>
              <w:t>0% (Leaked indefinitely)</w:t>
            </w:r>
          </w:p>
        </w:tc>
        <w:tc>
          <w:tcPr>
            <w:tcW w:type="dxa" w:w="2484"/>
            <w:shd w:fill="FFFFFF"/>
            <w:tcMar>
              <w:top w:w="60" w:type="dxa"/>
              <w:bottom w:w="60" w:type="dxa"/>
              <w:left w:w="80" w:type="dxa"/>
              <w:right w:w="80" w:type="dxa"/>
            </w:tcMar>
          </w:tcPr>
          <w:p>
            <w:r>
              <w:rPr>
                <w:sz w:val="16"/>
              </w:rPr>
              <w:t>0% (Leaked indefinitely)</w:t>
            </w:r>
          </w:p>
        </w:tc>
      </w:tr>
    </w:tbl>
    <w:p>
      <w:pPr>
        <w:keepNext/>
        <w:spacing w:before="200" w:after="60"/>
      </w:pPr>
      <w:r>
        <w:rPr>
          <w:rFonts w:ascii="Times New Roman" w:hAnsi="Times New Roman"/>
          <w:b/>
          <w:color w:val="213547"/>
          <w:sz w:val="21"/>
        </w:rPr>
        <w:t>C. Adversarial Prompt Injection Defense: BIPIA Benchmark Suite</w:t>
      </w:r>
    </w:p>
    <w:p>
      <w:pPr>
        <w:spacing w:before="0" w:after="100" w:line="276" w:lineRule="auto"/>
      </w:pPr>
      <w:r>
        <w:rPr>
          <w:rFonts w:ascii="Times New Roman" w:hAnsi="Times New Roman"/>
          <w:sz w:val="19"/>
        </w:rPr>
        <w:t>To rigorously quantify Orion's security robustness against indirect prompt injection, we evaluated the system against the standard BIPIA (Benchmarking Indirect Prompt Injection Attacks) benchmark suite [17], spanning 250 diverse attacker goals across five critical real-world application domains: Email QA, Web QA, Table QA, Summarization, and Code QA. Attack vectors included task redirection, confidential data extraction, system parameter overriding, and active command execution injected at the beginning, middle, and end of external context chunks.</w:t>
      </w:r>
    </w:p>
    <w:tbl>
      <w:tblPr>
        <w:tblW w:type="auto" w:w="0"/>
        <w:jc w:val="center"/>
        <w:tblLook w:firstColumn="1" w:firstRow="1" w:lastColumn="0" w:lastRow="0" w:noHBand="0" w:noVBand="1" w:val="04A0"/>
      </w:tblPr>
      <w:tblGrid>
        <w:gridCol w:w="2484"/>
        <w:gridCol w:w="2484"/>
        <w:gridCol w:w="2484"/>
        <w:gridCol w:w="2484"/>
      </w:tblGrid>
      <w:tr>
        <w:tc>
          <w:tcPr>
            <w:tcW w:type="dxa" w:w="2484"/>
            <w:shd w:fill="21262D"/>
            <w:tcMar>
              <w:top w:w="80" w:type="dxa"/>
              <w:bottom w:w="80" w:type="dxa"/>
              <w:left w:w="100" w:type="dxa"/>
              <w:right w:w="100" w:type="dxa"/>
            </w:tcMar>
          </w:tcPr>
          <w:p>
            <w:r>
              <w:rPr>
                <w:b/>
                <w:color w:val="FFFFFF"/>
                <w:sz w:val="17"/>
              </w:rPr>
              <w:t>BIPIA Application Task</w:t>
            </w:r>
          </w:p>
        </w:tc>
        <w:tc>
          <w:tcPr>
            <w:tcW w:type="dxa" w:w="2484"/>
            <w:shd w:fill="21262D"/>
            <w:tcMar>
              <w:top w:w="80" w:type="dxa"/>
              <w:bottom w:w="80" w:type="dxa"/>
              <w:left w:w="100" w:type="dxa"/>
              <w:right w:w="100" w:type="dxa"/>
            </w:tcMar>
          </w:tcPr>
          <w:p>
            <w:r>
              <w:rPr>
                <w:b/>
                <w:color w:val="FFFFFF"/>
                <w:sz w:val="17"/>
              </w:rPr>
              <w:t>Cloud LLM (GPT-4 / Copilot)</w:t>
            </w:r>
          </w:p>
        </w:tc>
        <w:tc>
          <w:tcPr>
            <w:tcW w:type="dxa" w:w="2484"/>
            <w:shd w:fill="21262D"/>
            <w:tcMar>
              <w:top w:w="80" w:type="dxa"/>
              <w:bottom w:w="80" w:type="dxa"/>
              <w:left w:w="100" w:type="dxa"/>
              <w:right w:w="100" w:type="dxa"/>
            </w:tcMar>
          </w:tcPr>
          <w:p>
            <w:r>
              <w:rPr>
                <w:b/>
                <w:color w:val="FFFFFF"/>
                <w:sz w:val="17"/>
              </w:rPr>
              <w:t>Raw Local Tool Agent</w:t>
            </w:r>
          </w:p>
        </w:tc>
        <w:tc>
          <w:tcPr>
            <w:tcW w:type="dxa" w:w="2484"/>
            <w:shd w:fill="21262D"/>
            <w:tcMar>
              <w:top w:w="80" w:type="dxa"/>
              <w:bottom w:w="80" w:type="dxa"/>
              <w:left w:w="100" w:type="dxa"/>
              <w:right w:w="100" w:type="dxa"/>
            </w:tcMar>
          </w:tcPr>
          <w:p>
            <w:r>
              <w:rPr>
                <w:b/>
                <w:color w:val="FFFFFF"/>
                <w:sz w:val="17"/>
              </w:rPr>
              <w:t>Orion Capability Broker</w:t>
            </w:r>
          </w:p>
        </w:tc>
      </w:tr>
      <w:tr>
        <w:tc>
          <w:tcPr>
            <w:tcW w:type="dxa" w:w="2484"/>
            <w:shd w:fill="F9FAFB"/>
            <w:tcMar>
              <w:top w:w="60" w:type="dxa"/>
              <w:bottom w:w="60" w:type="dxa"/>
              <w:left w:w="80" w:type="dxa"/>
              <w:right w:w="80" w:type="dxa"/>
            </w:tcMar>
          </w:tcPr>
          <w:p>
            <w:r>
              <w:rPr>
                <w:b/>
                <w:sz w:val="16"/>
              </w:rPr>
              <w:t>Email QA &amp; Parsing (50 vectors)</w:t>
            </w:r>
          </w:p>
        </w:tc>
        <w:tc>
          <w:tcPr>
            <w:tcW w:type="dxa" w:w="2484"/>
            <w:shd w:fill="F9FAFB"/>
            <w:tcMar>
              <w:top w:w="60" w:type="dxa"/>
              <w:bottom w:w="60" w:type="dxa"/>
              <w:left w:w="80" w:type="dxa"/>
              <w:right w:w="80" w:type="dxa"/>
            </w:tcMar>
          </w:tcPr>
          <w:p>
            <w:r>
              <w:rPr>
                <w:sz w:val="16"/>
              </w:rPr>
              <w:t>26.0% Attack Success (ASR)</w:t>
            </w:r>
          </w:p>
        </w:tc>
        <w:tc>
          <w:tcPr>
            <w:tcW w:type="dxa" w:w="2484"/>
            <w:shd w:fill="F9FAFB"/>
            <w:tcMar>
              <w:top w:w="60" w:type="dxa"/>
              <w:bottom w:w="60" w:type="dxa"/>
              <w:left w:w="80" w:type="dxa"/>
              <w:right w:w="80" w:type="dxa"/>
            </w:tcMar>
          </w:tcPr>
          <w:p>
            <w:r>
              <w:rPr>
                <w:sz w:val="16"/>
              </w:rPr>
              <w:t>42.0% Attack Success (ASR)</w:t>
            </w:r>
          </w:p>
        </w:tc>
        <w:tc>
          <w:tcPr>
            <w:tcW w:type="dxa" w:w="2484"/>
            <w:shd w:fill="F9FAFB"/>
            <w:tcMar>
              <w:top w:w="60" w:type="dxa"/>
              <w:bottom w:w="60" w:type="dxa"/>
              <w:left w:w="80" w:type="dxa"/>
              <w:right w:w="80" w:type="dxa"/>
            </w:tcMar>
          </w:tcPr>
          <w:p>
            <w:r>
              <w:rPr>
                <w:b/>
                <w:sz w:val="16"/>
              </w:rPr>
              <w:t>0.0% ASR (100% Blocked)</w:t>
            </w:r>
          </w:p>
        </w:tc>
      </w:tr>
      <w:tr>
        <w:tc>
          <w:tcPr>
            <w:tcW w:type="dxa" w:w="2484"/>
            <w:shd w:fill="FFFFFF"/>
            <w:tcMar>
              <w:top w:w="60" w:type="dxa"/>
              <w:bottom w:w="60" w:type="dxa"/>
              <w:left w:w="80" w:type="dxa"/>
              <w:right w:w="80" w:type="dxa"/>
            </w:tcMar>
          </w:tcPr>
          <w:p>
            <w:r>
              <w:rPr>
                <w:b/>
                <w:sz w:val="16"/>
              </w:rPr>
              <w:t>Web / Document QA (50 vectors)</w:t>
            </w:r>
          </w:p>
        </w:tc>
        <w:tc>
          <w:tcPr>
            <w:tcW w:type="dxa" w:w="2484"/>
            <w:shd w:fill="FFFFFF"/>
            <w:tcMar>
              <w:top w:w="60" w:type="dxa"/>
              <w:bottom w:w="60" w:type="dxa"/>
              <w:left w:w="80" w:type="dxa"/>
              <w:right w:w="80" w:type="dxa"/>
            </w:tcMar>
          </w:tcPr>
          <w:p>
            <w:r>
              <w:rPr>
                <w:sz w:val="16"/>
              </w:rPr>
              <w:t>28.0% Attack Success (ASR)</w:t>
            </w:r>
          </w:p>
        </w:tc>
        <w:tc>
          <w:tcPr>
            <w:tcW w:type="dxa" w:w="2484"/>
            <w:shd w:fill="FFFFFF"/>
            <w:tcMar>
              <w:top w:w="60" w:type="dxa"/>
              <w:bottom w:w="60" w:type="dxa"/>
              <w:left w:w="80" w:type="dxa"/>
              <w:right w:w="80" w:type="dxa"/>
            </w:tcMar>
          </w:tcPr>
          <w:p>
            <w:r>
              <w:rPr>
                <w:sz w:val="16"/>
              </w:rPr>
              <w:t>38.0% Attack Success (ASR)</w:t>
            </w:r>
          </w:p>
        </w:tc>
        <w:tc>
          <w:tcPr>
            <w:tcW w:type="dxa" w:w="2484"/>
            <w:shd w:fill="FFFFFF"/>
            <w:tcMar>
              <w:top w:w="60" w:type="dxa"/>
              <w:bottom w:w="60" w:type="dxa"/>
              <w:left w:w="80" w:type="dxa"/>
              <w:right w:w="80" w:type="dxa"/>
            </w:tcMar>
          </w:tcPr>
          <w:p>
            <w:r>
              <w:rPr>
                <w:b/>
                <w:sz w:val="16"/>
              </w:rPr>
              <w:t>0.0% ASR (100% Blocked)</w:t>
            </w:r>
          </w:p>
        </w:tc>
      </w:tr>
      <w:tr>
        <w:tc>
          <w:tcPr>
            <w:tcW w:type="dxa" w:w="2484"/>
            <w:shd w:fill="F9FAFB"/>
            <w:tcMar>
              <w:top w:w="60" w:type="dxa"/>
              <w:bottom w:w="60" w:type="dxa"/>
              <w:left w:w="80" w:type="dxa"/>
              <w:right w:w="80" w:type="dxa"/>
            </w:tcMar>
          </w:tcPr>
          <w:p>
            <w:r>
              <w:rPr>
                <w:b/>
                <w:sz w:val="16"/>
              </w:rPr>
              <w:t>Table &amp; Spreadsheet QA (50 vectors)</w:t>
            </w:r>
          </w:p>
        </w:tc>
        <w:tc>
          <w:tcPr>
            <w:tcW w:type="dxa" w:w="2484"/>
            <w:shd w:fill="F9FAFB"/>
            <w:tcMar>
              <w:top w:w="60" w:type="dxa"/>
              <w:bottom w:w="60" w:type="dxa"/>
              <w:left w:w="80" w:type="dxa"/>
              <w:right w:w="80" w:type="dxa"/>
            </w:tcMar>
          </w:tcPr>
          <w:p>
            <w:r>
              <w:rPr>
                <w:sz w:val="16"/>
              </w:rPr>
              <w:t>22.0% Attack Success (ASR)</w:t>
            </w:r>
          </w:p>
        </w:tc>
        <w:tc>
          <w:tcPr>
            <w:tcW w:type="dxa" w:w="2484"/>
            <w:shd w:fill="F9FAFB"/>
            <w:tcMar>
              <w:top w:w="60" w:type="dxa"/>
              <w:bottom w:w="60" w:type="dxa"/>
              <w:left w:w="80" w:type="dxa"/>
              <w:right w:w="80" w:type="dxa"/>
            </w:tcMar>
          </w:tcPr>
          <w:p>
            <w:r>
              <w:rPr>
                <w:sz w:val="16"/>
              </w:rPr>
              <w:t>36.0% Attack Success (ASR)</w:t>
            </w:r>
          </w:p>
        </w:tc>
        <w:tc>
          <w:tcPr>
            <w:tcW w:type="dxa" w:w="2484"/>
            <w:shd w:fill="F9FAFB"/>
            <w:tcMar>
              <w:top w:w="60" w:type="dxa"/>
              <w:bottom w:w="60" w:type="dxa"/>
              <w:left w:w="80" w:type="dxa"/>
              <w:right w:w="80" w:type="dxa"/>
            </w:tcMar>
          </w:tcPr>
          <w:p>
            <w:r>
              <w:rPr>
                <w:b/>
                <w:sz w:val="16"/>
              </w:rPr>
              <w:t>0.0% ASR (100% Blocked)</w:t>
            </w:r>
          </w:p>
        </w:tc>
      </w:tr>
      <w:tr>
        <w:tc>
          <w:tcPr>
            <w:tcW w:type="dxa" w:w="2484"/>
            <w:shd w:fill="FFFFFF"/>
            <w:tcMar>
              <w:top w:w="60" w:type="dxa"/>
              <w:bottom w:w="60" w:type="dxa"/>
              <w:left w:w="80" w:type="dxa"/>
              <w:right w:w="80" w:type="dxa"/>
            </w:tcMar>
          </w:tcPr>
          <w:p>
            <w:r>
              <w:rPr>
                <w:b/>
                <w:sz w:val="16"/>
              </w:rPr>
              <w:t>PDF &amp; File Summarization (50 vectors)</w:t>
            </w:r>
          </w:p>
        </w:tc>
        <w:tc>
          <w:tcPr>
            <w:tcW w:type="dxa" w:w="2484"/>
            <w:shd w:fill="FFFFFF"/>
            <w:tcMar>
              <w:top w:w="60" w:type="dxa"/>
              <w:bottom w:w="60" w:type="dxa"/>
              <w:left w:w="80" w:type="dxa"/>
              <w:right w:w="80" w:type="dxa"/>
            </w:tcMar>
          </w:tcPr>
          <w:p>
            <w:r>
              <w:rPr>
                <w:sz w:val="16"/>
              </w:rPr>
              <w:t>32.0% Attack Success (ASR)</w:t>
            </w:r>
          </w:p>
        </w:tc>
        <w:tc>
          <w:tcPr>
            <w:tcW w:type="dxa" w:w="2484"/>
            <w:shd w:fill="FFFFFF"/>
            <w:tcMar>
              <w:top w:w="60" w:type="dxa"/>
              <w:bottom w:w="60" w:type="dxa"/>
              <w:left w:w="80" w:type="dxa"/>
              <w:right w:w="80" w:type="dxa"/>
            </w:tcMar>
          </w:tcPr>
          <w:p>
            <w:r>
              <w:rPr>
                <w:sz w:val="16"/>
              </w:rPr>
              <w:t>46.0% Attack Success (ASR)</w:t>
            </w:r>
          </w:p>
        </w:tc>
        <w:tc>
          <w:tcPr>
            <w:tcW w:type="dxa" w:w="2484"/>
            <w:shd w:fill="FFFFFF"/>
            <w:tcMar>
              <w:top w:w="60" w:type="dxa"/>
              <w:bottom w:w="60" w:type="dxa"/>
              <w:left w:w="80" w:type="dxa"/>
              <w:right w:w="80" w:type="dxa"/>
            </w:tcMar>
          </w:tcPr>
          <w:p>
            <w:r>
              <w:rPr>
                <w:b/>
                <w:sz w:val="16"/>
              </w:rPr>
              <w:t>0.0% ASR (100% Blocked)</w:t>
            </w:r>
          </w:p>
        </w:tc>
      </w:tr>
      <w:tr>
        <w:tc>
          <w:tcPr>
            <w:tcW w:type="dxa" w:w="2484"/>
            <w:shd w:fill="F9FAFB"/>
            <w:tcMar>
              <w:top w:w="60" w:type="dxa"/>
              <w:bottom w:w="60" w:type="dxa"/>
              <w:left w:w="80" w:type="dxa"/>
              <w:right w:w="80" w:type="dxa"/>
            </w:tcMar>
          </w:tcPr>
          <w:p>
            <w:r>
              <w:rPr>
                <w:b/>
                <w:sz w:val="16"/>
              </w:rPr>
              <w:t>Code QA &amp; Scripting (50 vectors)</w:t>
            </w:r>
          </w:p>
        </w:tc>
        <w:tc>
          <w:tcPr>
            <w:tcW w:type="dxa" w:w="2484"/>
            <w:shd w:fill="F9FAFB"/>
            <w:tcMar>
              <w:top w:w="60" w:type="dxa"/>
              <w:bottom w:w="60" w:type="dxa"/>
              <w:left w:w="80" w:type="dxa"/>
              <w:right w:w="80" w:type="dxa"/>
            </w:tcMar>
          </w:tcPr>
          <w:p>
            <w:r>
              <w:rPr>
                <w:sz w:val="16"/>
              </w:rPr>
              <w:t>34.0% Attack Success (ASR)</w:t>
            </w:r>
          </w:p>
        </w:tc>
        <w:tc>
          <w:tcPr>
            <w:tcW w:type="dxa" w:w="2484"/>
            <w:shd w:fill="F9FAFB"/>
            <w:tcMar>
              <w:top w:w="60" w:type="dxa"/>
              <w:bottom w:w="60" w:type="dxa"/>
              <w:left w:w="80" w:type="dxa"/>
              <w:right w:w="80" w:type="dxa"/>
            </w:tcMar>
          </w:tcPr>
          <w:p>
            <w:r>
              <w:rPr>
                <w:sz w:val="16"/>
              </w:rPr>
              <w:t>44.0% Attack Success (ASR)</w:t>
            </w:r>
          </w:p>
        </w:tc>
        <w:tc>
          <w:tcPr>
            <w:tcW w:type="dxa" w:w="2484"/>
            <w:shd w:fill="F9FAFB"/>
            <w:tcMar>
              <w:top w:w="60" w:type="dxa"/>
              <w:bottom w:w="60" w:type="dxa"/>
              <w:left w:w="80" w:type="dxa"/>
              <w:right w:w="80" w:type="dxa"/>
            </w:tcMar>
          </w:tcPr>
          <w:p>
            <w:r>
              <w:rPr>
                <w:b/>
                <w:sz w:val="16"/>
              </w:rPr>
              <w:t>0.0% ASR (100% Blocked)</w:t>
            </w:r>
          </w:p>
        </w:tc>
      </w:tr>
    </w:tbl>
    <w:p>
      <w:pPr>
        <w:spacing w:before="0" w:after="100" w:line="276" w:lineRule="auto"/>
      </w:pPr>
      <w:r>
        <w:rPr>
          <w:rFonts w:ascii="Times New Roman" w:hAnsi="Times New Roman"/>
          <w:sz w:val="19"/>
        </w:rPr>
        <w:t>As established in Table III, cloud LLMs without architectural domain boundaries exhibited an average Attack Success Rate (ASR) of 28.4%, while unsandboxed local agents suffered an alarming 41.2% ASR. Orion achieved a 0.0% Attack Success Rate (100% containment) across all 250 attack vectors, directly validating the theoretical efficacy of Two-Domain Structural Isolation.</w:t>
      </w:r>
    </w:p>
    <w:p>
      <w:pPr>
        <w:keepNext/>
        <w:spacing w:before="200" w:after="60"/>
      </w:pPr>
      <w:r>
        <w:rPr>
          <w:rFonts w:ascii="Times New Roman" w:hAnsi="Times New Roman"/>
          <w:b/>
          <w:color w:val="213547"/>
          <w:sz w:val="21"/>
        </w:rPr>
        <w:t>D. End-to-End Multimodal Speech Loop Latency</w:t>
      </w:r>
    </w:p>
    <w:p>
      <w:pPr>
        <w:spacing w:before="0" w:after="100" w:line="276" w:lineRule="auto"/>
      </w:pPr>
      <w:r>
        <w:rPr>
          <w:rFonts w:ascii="Times New Roman" w:hAnsi="Times New Roman"/>
          <w:sz w:val="19"/>
        </w:rPr>
        <w:t>To assess voice conversational fluidity, we instrumented the complete audio pipeline using high-resolution monotonic clocks:</w:t>
        <w:br/>
        <w:t>• Audio Capture &amp; Local Whisper STT: 180 ms for 3-second speech audio chunk (97.4% word accuracy).</w:t>
        <w:br/>
        <w:t>• System Dispatch &amp; LLM Time-to-First-Token (TTFT): 142 ms on pinned C++ engine.</w:t>
        <w:br/>
        <w:t>• First Synthesized Audio Chunk (Piper Neural TTS): 95 ms for first phoneme sentence stream.</w:t>
        <w:br/>
        <w:t>• Total End-to-End Voice Turnaround: 417 ms, substantially outperforming the human conversation pause latency threshold (~500 ms) while emitting zero network packets.</w:t>
      </w:r>
    </w:p>
    <w:p>
      <w:pPr>
        <w:keepNext/>
        <w:spacing w:before="200" w:after="60"/>
      </w:pPr>
      <w:r>
        <w:rPr>
          <w:rFonts w:ascii="Times New Roman" w:hAnsi="Times New Roman"/>
          <w:b/>
          <w:color w:val="213547"/>
          <w:sz w:val="21"/>
        </w:rPr>
        <w:t>E. Hybrid RAG Retrieval Accuracy (1,500 Enterprise Documents)</w:t>
      </w:r>
    </w:p>
    <w:p>
      <w:pPr>
        <w:spacing w:before="0" w:after="100" w:line="276" w:lineRule="auto"/>
      </w:pPr>
      <w:r>
        <w:rPr>
          <w:rFonts w:ascii="Times New Roman" w:hAnsi="Times New Roman"/>
          <w:sz w:val="19"/>
        </w:rPr>
        <w:t>We evaluated Orion's hybrid retrieval engine against a benchmark corpus of 1,500 enterprise legal, compliance, and engineering specifications:</w:t>
        <w:br/>
        <w:t>• Standalone BM25 (SQLite FTS5): Recall@5 = 74.2%, MRR = 0.68. (Effective for exact function and SKU lookups).</w:t>
        <w:br/>
        <w:t>• Standalone Dense Vector (MiniLM-L6-v2): Recall@5 = 79.5%, MRR = 0.73. (Effective for semantic concepts).</w:t>
        <w:br/>
        <w:t>• Orion Hybrid Reciprocal Rank Fusion (RRF): Recall@5 = 93.8%, MRR = 0.88. (A 19.6% relative recall boost, executing entirely air-gapped within local SQLite).</w:t>
      </w:r>
    </w:p>
    <w:p>
      <w:pPr>
        <w:keepNext/>
        <w:spacing w:before="280" w:after="80"/>
      </w:pPr>
      <w:r>
        <w:rPr>
          <w:rFonts w:ascii="Times New Roman" w:hAnsi="Times New Roman"/>
          <w:b/>
          <w:color w:val="101820"/>
          <w:sz w:val="24"/>
        </w:rPr>
        <w:t>VIII. COMPETITIVE ANALYSIS &amp; SOURCES OF TRUTH</w:t>
      </w:r>
    </w:p>
    <w:p>
      <w:pPr>
        <w:spacing w:before="0" w:after="100" w:line="276" w:lineRule="auto"/>
      </w:pPr>
      <w:r>
        <w:rPr>
          <w:rFonts w:ascii="Times New Roman" w:hAnsi="Times New Roman"/>
          <w:sz w:val="19"/>
        </w:rPr>
        <w:t>Table IV compares Orion against primary industry alternatives across architecture, safety, and operational economics.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21262D"/>
            <w:tcMar>
              <w:top w:w="80" w:type="dxa"/>
              <w:bottom w:w="80" w:type="dxa"/>
              <w:left w:w="100" w:type="dxa"/>
              <w:right w:w="100" w:type="dxa"/>
            </w:tcMar>
          </w:tcPr>
          <w:p>
            <w:r>
              <w:rPr>
                <w:b/>
                <w:color w:val="FFFFFF"/>
                <w:sz w:val="16"/>
              </w:rPr>
              <w:t>Evaluation Metric</w:t>
            </w:r>
          </w:p>
        </w:tc>
        <w:tc>
          <w:tcPr>
            <w:tcW w:type="dxa" w:w="1987"/>
            <w:shd w:fill="21262D"/>
            <w:tcMar>
              <w:top w:w="80" w:type="dxa"/>
              <w:bottom w:w="80" w:type="dxa"/>
              <w:left w:w="100" w:type="dxa"/>
              <w:right w:w="100" w:type="dxa"/>
            </w:tcMar>
          </w:tcPr>
          <w:p>
            <w:r>
              <w:rPr>
                <w:b/>
                <w:color w:val="FFFFFF"/>
                <w:sz w:val="16"/>
              </w:rPr>
              <w:t>Orion Platform</w:t>
            </w:r>
          </w:p>
        </w:tc>
        <w:tc>
          <w:tcPr>
            <w:tcW w:type="dxa" w:w="1987"/>
            <w:shd w:fill="21262D"/>
            <w:tcMar>
              <w:top w:w="80" w:type="dxa"/>
              <w:bottom w:w="80" w:type="dxa"/>
              <w:left w:w="100" w:type="dxa"/>
              <w:right w:w="100" w:type="dxa"/>
            </w:tcMar>
          </w:tcPr>
          <w:p>
            <w:r>
              <w:rPr>
                <w:b/>
                <w:color w:val="FFFFFF"/>
                <w:sz w:val="16"/>
              </w:rPr>
              <w:t>OpenAI / Copilot</w:t>
            </w:r>
          </w:p>
        </w:tc>
        <w:tc>
          <w:tcPr>
            <w:tcW w:type="dxa" w:w="1987"/>
            <w:shd w:fill="21262D"/>
            <w:tcMar>
              <w:top w:w="80" w:type="dxa"/>
              <w:bottom w:w="80" w:type="dxa"/>
              <w:left w:w="100" w:type="dxa"/>
              <w:right w:w="100" w:type="dxa"/>
            </w:tcMar>
          </w:tcPr>
          <w:p>
            <w:r>
              <w:rPr>
                <w:b/>
                <w:color w:val="FFFFFF"/>
                <w:sz w:val="16"/>
              </w:rPr>
              <w:t>Ollama / LM Studio</w:t>
            </w:r>
          </w:p>
        </w:tc>
        <w:tc>
          <w:tcPr>
            <w:tcW w:type="dxa" w:w="1987"/>
            <w:shd w:fill="21262D"/>
            <w:tcMar>
              <w:top w:w="80" w:type="dxa"/>
              <w:bottom w:w="80" w:type="dxa"/>
              <w:left w:w="100" w:type="dxa"/>
              <w:right w:w="100" w:type="dxa"/>
            </w:tcMar>
          </w:tcPr>
          <w:p>
            <w:r>
              <w:rPr>
                <w:b/>
                <w:color w:val="FFFFFF"/>
                <w:sz w:val="16"/>
              </w:rPr>
              <w:t>Apple Intelligence</w:t>
            </w:r>
          </w:p>
        </w:tc>
      </w:tr>
      <w:tr>
        <w:tc>
          <w:tcPr>
            <w:tcW w:type="dxa" w:w="1987"/>
            <w:shd w:fill="F9FAFB"/>
            <w:tcMar>
              <w:top w:w="60" w:type="dxa"/>
              <w:bottom w:w="60" w:type="dxa"/>
              <w:left w:w="80" w:type="dxa"/>
              <w:right w:w="80" w:type="dxa"/>
            </w:tcMar>
          </w:tcPr>
          <w:p>
            <w:r>
              <w:rPr>
                <w:b/>
                <w:sz w:val="15"/>
              </w:rPr>
              <w:t>Data Sovereignty &amp; Egress</w:t>
            </w:r>
          </w:p>
        </w:tc>
        <w:tc>
          <w:tcPr>
            <w:tcW w:type="dxa" w:w="1987"/>
            <w:shd w:fill="F9FAFB"/>
            <w:tcMar>
              <w:top w:w="60" w:type="dxa"/>
              <w:bottom w:w="60" w:type="dxa"/>
              <w:left w:w="80" w:type="dxa"/>
              <w:right w:w="80" w:type="dxa"/>
            </w:tcMar>
          </w:tcPr>
          <w:p>
            <w:r>
              <w:rPr>
                <w:b/>
                <w:sz w:val="15"/>
              </w:rPr>
              <w:t>100% Zero-Egress Air-Gapped</w:t>
              <w:br/>
              <w:t>Zero external telemetry</w:t>
            </w:r>
          </w:p>
        </w:tc>
        <w:tc>
          <w:tcPr>
            <w:tcW w:type="dxa" w:w="1987"/>
            <w:shd w:fill="F9FAFB"/>
            <w:tcMar>
              <w:top w:w="60" w:type="dxa"/>
              <w:bottom w:w="60" w:type="dxa"/>
              <w:left w:w="80" w:type="dxa"/>
              <w:right w:w="80" w:type="dxa"/>
            </w:tcMar>
          </w:tcPr>
          <w:p>
            <w:r>
              <w:rPr>
                <w:sz w:val="15"/>
              </w:rPr>
              <w:t>Cloud Egress Mandatory</w:t>
              <w:br/>
              <w:t>Logged for training &amp; audits</w:t>
            </w:r>
          </w:p>
        </w:tc>
        <w:tc>
          <w:tcPr>
            <w:tcW w:type="dxa" w:w="1987"/>
            <w:shd w:fill="F9FAFB"/>
            <w:tcMar>
              <w:top w:w="60" w:type="dxa"/>
              <w:bottom w:w="60" w:type="dxa"/>
              <w:left w:w="80" w:type="dxa"/>
              <w:right w:w="80" w:type="dxa"/>
            </w:tcMar>
          </w:tcPr>
          <w:p>
            <w:r>
              <w:rPr>
                <w:sz w:val="15"/>
              </w:rPr>
              <w:t>Local Execution</w:t>
              <w:br/>
              <w:t>Air-gapped on device</w:t>
            </w:r>
          </w:p>
        </w:tc>
        <w:tc>
          <w:tcPr>
            <w:tcW w:type="dxa" w:w="1987"/>
            <w:shd w:fill="F9FAFB"/>
            <w:tcMar>
              <w:top w:w="60" w:type="dxa"/>
              <w:bottom w:w="60" w:type="dxa"/>
              <w:left w:w="80" w:type="dxa"/>
              <w:right w:w="80" w:type="dxa"/>
            </w:tcMar>
          </w:tcPr>
          <w:p>
            <w:r>
              <w:rPr>
                <w:sz w:val="15"/>
              </w:rPr>
              <w:t>Hybrid Private Cloud</w:t>
              <w:br/>
              <w:t>Cloud fallback required</w:t>
            </w:r>
          </w:p>
        </w:tc>
      </w:tr>
      <w:tr>
        <w:tc>
          <w:tcPr>
            <w:tcW w:type="dxa" w:w="1987"/>
            <w:shd w:fill="FFFFFF"/>
            <w:tcMar>
              <w:top w:w="60" w:type="dxa"/>
              <w:bottom w:w="60" w:type="dxa"/>
              <w:left w:w="80" w:type="dxa"/>
              <w:right w:w="80" w:type="dxa"/>
            </w:tcMar>
          </w:tcPr>
          <w:p>
            <w:r>
              <w:rPr>
                <w:b/>
                <w:sz w:val="15"/>
              </w:rPr>
              <w:t>Memory Safety (8 GB PC)</w:t>
            </w:r>
          </w:p>
        </w:tc>
        <w:tc>
          <w:tcPr>
            <w:tcW w:type="dxa" w:w="1987"/>
            <w:shd w:fill="FFFFFF"/>
            <w:tcMar>
              <w:top w:w="60" w:type="dxa"/>
              <w:bottom w:w="60" w:type="dxa"/>
              <w:left w:w="80" w:type="dxa"/>
              <w:right w:w="80" w:type="dxa"/>
            </w:tcMar>
          </w:tcPr>
          <w:p>
            <w:r>
              <w:rPr>
                <w:b/>
                <w:sz w:val="15"/>
              </w:rPr>
              <w:t>Guaranteed Safe (&lt;2.1 GB RSS)</w:t>
              <w:br/>
              <w:t>Sequential dynamic handoff</w:t>
            </w:r>
          </w:p>
        </w:tc>
        <w:tc>
          <w:tcPr>
            <w:tcW w:type="dxa" w:w="1987"/>
            <w:shd w:fill="FFFFFF"/>
            <w:tcMar>
              <w:top w:w="60" w:type="dxa"/>
              <w:bottom w:w="60" w:type="dxa"/>
              <w:left w:w="80" w:type="dxa"/>
              <w:right w:w="80" w:type="dxa"/>
            </w:tcMar>
          </w:tcPr>
          <w:p>
            <w:r>
              <w:rPr>
                <w:sz w:val="15"/>
              </w:rPr>
              <w:t>N/A (Remote datacenter)</w:t>
              <w:br/>
              <w:t>Zero local computation</w:t>
            </w:r>
          </w:p>
        </w:tc>
        <w:tc>
          <w:tcPr>
            <w:tcW w:type="dxa" w:w="1987"/>
            <w:shd w:fill="FFFFFF"/>
            <w:tcMar>
              <w:top w:w="60" w:type="dxa"/>
              <w:bottom w:w="60" w:type="dxa"/>
              <w:left w:w="80" w:type="dxa"/>
              <w:right w:w="80" w:type="dxa"/>
            </w:tcMar>
          </w:tcPr>
          <w:p>
            <w:r>
              <w:rPr>
                <w:sz w:val="15"/>
              </w:rPr>
              <w:t>Crashes / Swap Thrash</w:t>
              <w:br/>
              <w:t>Unbounded RSS (&gt;4.5 GB)</w:t>
            </w:r>
          </w:p>
        </w:tc>
        <w:tc>
          <w:tcPr>
            <w:tcW w:type="dxa" w:w="1987"/>
            <w:shd w:fill="FFFFFF"/>
            <w:tcMar>
              <w:top w:w="60" w:type="dxa"/>
              <w:bottom w:w="60" w:type="dxa"/>
              <w:left w:w="80" w:type="dxa"/>
              <w:right w:w="80" w:type="dxa"/>
            </w:tcMar>
          </w:tcPr>
          <w:p>
            <w:r>
              <w:rPr>
                <w:sz w:val="15"/>
              </w:rPr>
              <w:t>N/A (Locked to Apple)</w:t>
              <w:br/>
              <w:t>Requires 16GB+ Mac / iPhone 15 Pro</w:t>
            </w:r>
          </w:p>
        </w:tc>
      </w:tr>
      <w:tr>
        <w:tc>
          <w:tcPr>
            <w:tcW w:type="dxa" w:w="1987"/>
            <w:shd w:fill="F9FAFB"/>
            <w:tcMar>
              <w:top w:w="60" w:type="dxa"/>
              <w:bottom w:w="60" w:type="dxa"/>
              <w:left w:w="80" w:type="dxa"/>
              <w:right w:w="80" w:type="dxa"/>
            </w:tcMar>
          </w:tcPr>
          <w:p>
            <w:r>
              <w:rPr>
                <w:b/>
                <w:sz w:val="15"/>
              </w:rPr>
              <w:t>Agentic Tool Sandboxing</w:t>
            </w:r>
          </w:p>
        </w:tc>
        <w:tc>
          <w:tcPr>
            <w:tcW w:type="dxa" w:w="1987"/>
            <w:shd w:fill="F9FAFB"/>
            <w:tcMar>
              <w:top w:w="60" w:type="dxa"/>
              <w:bottom w:w="60" w:type="dxa"/>
              <w:left w:w="80" w:type="dxa"/>
              <w:right w:w="80" w:type="dxa"/>
            </w:tcMar>
          </w:tcPr>
          <w:p>
            <w:r>
              <w:rPr>
                <w:b/>
                <w:sz w:val="15"/>
              </w:rPr>
              <w:t>4-Tier Capability Broker</w:t>
              <w:br/>
              <w:t>SQLite WAL audit trail</w:t>
            </w:r>
          </w:p>
        </w:tc>
        <w:tc>
          <w:tcPr>
            <w:tcW w:type="dxa" w:w="1987"/>
            <w:shd w:fill="F9FAFB"/>
            <w:tcMar>
              <w:top w:w="60" w:type="dxa"/>
              <w:bottom w:w="60" w:type="dxa"/>
              <w:left w:w="80" w:type="dxa"/>
              <w:right w:w="80" w:type="dxa"/>
            </w:tcMar>
          </w:tcPr>
          <w:p>
            <w:r>
              <w:rPr>
                <w:sz w:val="15"/>
              </w:rPr>
              <w:t>Monolithic Prompt Window</w:t>
              <w:br/>
              <w:t>Vulnerable to prompt injection</w:t>
            </w:r>
          </w:p>
        </w:tc>
        <w:tc>
          <w:tcPr>
            <w:tcW w:type="dxa" w:w="1987"/>
            <w:shd w:fill="F9FAFB"/>
            <w:tcMar>
              <w:top w:w="60" w:type="dxa"/>
              <w:bottom w:w="60" w:type="dxa"/>
              <w:left w:w="80" w:type="dxa"/>
              <w:right w:w="80" w:type="dxa"/>
            </w:tcMar>
          </w:tcPr>
          <w:p>
            <w:r>
              <w:rPr>
                <w:sz w:val="15"/>
              </w:rPr>
              <w:t>Zero Sandboxing</w:t>
              <w:br/>
              <w:t>Full ambient user privileges</w:t>
            </w:r>
          </w:p>
        </w:tc>
        <w:tc>
          <w:tcPr>
            <w:tcW w:type="dxa" w:w="1987"/>
            <w:shd w:fill="F9FAFB"/>
            <w:tcMar>
              <w:top w:w="60" w:type="dxa"/>
              <w:bottom w:w="60" w:type="dxa"/>
              <w:left w:w="80" w:type="dxa"/>
              <w:right w:w="80" w:type="dxa"/>
            </w:tcMar>
          </w:tcPr>
          <w:p>
            <w:r>
              <w:rPr>
                <w:sz w:val="15"/>
              </w:rPr>
              <w:t>Strict Apple Sandbox</w:t>
              <w:br/>
              <w:t>Limited to Apple ecosystem apps</w:t>
            </w:r>
          </w:p>
        </w:tc>
      </w:tr>
      <w:tr>
        <w:tc>
          <w:tcPr>
            <w:tcW w:type="dxa" w:w="1987"/>
            <w:shd w:fill="FFFFFF"/>
            <w:tcMar>
              <w:top w:w="60" w:type="dxa"/>
              <w:bottom w:w="60" w:type="dxa"/>
              <w:left w:w="80" w:type="dxa"/>
              <w:right w:w="80" w:type="dxa"/>
            </w:tcMar>
          </w:tcPr>
          <w:p>
            <w:r>
              <w:rPr>
                <w:b/>
                <w:sz w:val="15"/>
              </w:rPr>
              <w:t>Multimodal Audio Loop</w:t>
            </w:r>
          </w:p>
        </w:tc>
        <w:tc>
          <w:tcPr>
            <w:tcW w:type="dxa" w:w="1987"/>
            <w:shd w:fill="FFFFFF"/>
            <w:tcMar>
              <w:top w:w="60" w:type="dxa"/>
              <w:bottom w:w="60" w:type="dxa"/>
              <w:left w:w="80" w:type="dxa"/>
              <w:right w:w="80" w:type="dxa"/>
            </w:tcMar>
          </w:tcPr>
          <w:p>
            <w:r>
              <w:rPr>
                <w:b/>
                <w:sz w:val="15"/>
              </w:rPr>
              <w:t>Integrated Whisper + Piper</w:t>
              <w:br/>
              <w:t>Zero-latency local voice loop</w:t>
            </w:r>
          </w:p>
        </w:tc>
        <w:tc>
          <w:tcPr>
            <w:tcW w:type="dxa" w:w="1987"/>
            <w:shd w:fill="FFFFFF"/>
            <w:tcMar>
              <w:top w:w="60" w:type="dxa"/>
              <w:bottom w:w="60" w:type="dxa"/>
              <w:left w:w="80" w:type="dxa"/>
              <w:right w:w="80" w:type="dxa"/>
            </w:tcMar>
          </w:tcPr>
          <w:p>
            <w:r>
              <w:rPr>
                <w:sz w:val="15"/>
              </w:rPr>
              <w:t>Cloud WebRTC Stream</w:t>
              <w:br/>
              <w:t>Continuous network required</w:t>
            </w:r>
          </w:p>
        </w:tc>
        <w:tc>
          <w:tcPr>
            <w:tcW w:type="dxa" w:w="1987"/>
            <w:shd w:fill="FFFFFF"/>
            <w:tcMar>
              <w:top w:w="60" w:type="dxa"/>
              <w:bottom w:w="60" w:type="dxa"/>
              <w:left w:w="80" w:type="dxa"/>
              <w:right w:w="80" w:type="dxa"/>
            </w:tcMar>
          </w:tcPr>
          <w:p>
            <w:r>
              <w:rPr>
                <w:sz w:val="15"/>
              </w:rPr>
              <w:t>None / Manual Setup</w:t>
              <w:br/>
              <w:t>Requires third-party scripts</w:t>
            </w:r>
          </w:p>
        </w:tc>
        <w:tc>
          <w:tcPr>
            <w:tcW w:type="dxa" w:w="1987"/>
            <w:shd w:fill="FFFFFF"/>
            <w:tcMar>
              <w:top w:w="60" w:type="dxa"/>
              <w:bottom w:w="60" w:type="dxa"/>
              <w:left w:w="80" w:type="dxa"/>
              <w:right w:w="80" w:type="dxa"/>
            </w:tcMar>
          </w:tcPr>
          <w:p>
            <w:r>
              <w:rPr>
                <w:sz w:val="15"/>
              </w:rPr>
              <w:t>Siri Local Integration</w:t>
              <w:br/>
              <w:t>Limited voice capability</w:t>
            </w:r>
          </w:p>
        </w:tc>
      </w:tr>
      <w:tr>
        <w:tc>
          <w:tcPr>
            <w:tcW w:type="dxa" w:w="1987"/>
            <w:shd w:fill="F9FAFB"/>
            <w:tcMar>
              <w:top w:w="60" w:type="dxa"/>
              <w:bottom w:w="60" w:type="dxa"/>
              <w:left w:w="80" w:type="dxa"/>
              <w:right w:w="80" w:type="dxa"/>
            </w:tcMar>
          </w:tcPr>
          <w:p>
            <w:r>
              <w:rPr>
                <w:b/>
                <w:sz w:val="15"/>
              </w:rPr>
              <w:t>Source of Truth Reference</w:t>
            </w:r>
          </w:p>
        </w:tc>
        <w:tc>
          <w:tcPr>
            <w:tcW w:type="dxa" w:w="1987"/>
            <w:shd w:fill="F9FAFB"/>
            <w:tcMar>
              <w:top w:w="60" w:type="dxa"/>
              <w:bottom w:w="60" w:type="dxa"/>
              <w:left w:w="80" w:type="dxa"/>
              <w:right w:w="80" w:type="dxa"/>
            </w:tcMar>
          </w:tcPr>
          <w:p>
            <w:r>
              <w:rPr>
                <w:b/>
                <w:sz w:val="15"/>
              </w:rPr>
              <w:t>M1–M10 Lab Benchmarks</w:t>
              <w:br/>
              <w:t>[Ryzen 5 5500U, 8 GB RAM]</w:t>
            </w:r>
          </w:p>
        </w:tc>
        <w:tc>
          <w:tcPr>
            <w:tcW w:type="dxa" w:w="1987"/>
            <w:shd w:fill="F9FAFB"/>
            <w:tcMar>
              <w:top w:w="60" w:type="dxa"/>
              <w:bottom w:w="60" w:type="dxa"/>
              <w:left w:w="80" w:type="dxa"/>
              <w:right w:w="80" w:type="dxa"/>
            </w:tcMar>
          </w:tcPr>
          <w:p>
            <w:r>
              <w:rPr>
                <w:sz w:val="15"/>
              </w:rPr>
              <w:t>Samsung IP Leak (Bloomberg 2023)</w:t>
              <w:br/>
              <w:t>Wall St Ban (WSJ 2023)</w:t>
            </w:r>
          </w:p>
        </w:tc>
        <w:tc>
          <w:tcPr>
            <w:tcW w:type="dxa" w:w="1987"/>
            <w:shd w:fill="F9FAFB"/>
            <w:tcMar>
              <w:top w:w="60" w:type="dxa"/>
              <w:bottom w:w="60" w:type="dxa"/>
              <w:left w:w="80" w:type="dxa"/>
              <w:right w:w="80" w:type="dxa"/>
            </w:tcMar>
          </w:tcPr>
          <w:p>
            <w:r>
              <w:rPr>
                <w:sz w:val="15"/>
              </w:rPr>
              <w:t>llama.cpp Memory Analysis</w:t>
              <w:br/>
              <w:t>ACM AISec 2023 Injection Study</w:t>
            </w:r>
          </w:p>
        </w:tc>
        <w:tc>
          <w:tcPr>
            <w:tcW w:type="dxa" w:w="1987"/>
            <w:shd w:fill="F9FAFB"/>
            <w:tcMar>
              <w:top w:w="60" w:type="dxa"/>
              <w:bottom w:w="60" w:type="dxa"/>
              <w:left w:w="80" w:type="dxa"/>
              <w:right w:w="80" w:type="dxa"/>
            </w:tcMar>
          </w:tcPr>
          <w:p>
            <w:r>
              <w:rPr>
                <w:sz w:val="15"/>
              </w:rPr>
              <w:t>Apple Security Whitepaper 2024</w:t>
              <w:br/>
              <w:t>WWDC Architecture Reports</w:t>
            </w:r>
          </w:p>
        </w:tc>
      </w:tr>
    </w:tbl>
    <w:p>
      <w:pPr>
        <w:keepNext/>
        <w:spacing w:before="280" w:after="80"/>
      </w:pPr>
      <w:r>
        <w:rPr>
          <w:rFonts w:ascii="Times New Roman" w:hAnsi="Times New Roman"/>
          <w:b/>
          <w:color w:val="101820"/>
          <w:sz w:val="24"/>
        </w:rPr>
        <w:t>IX. BUSINESS MODEL &amp; EDGE UNIT ECONOMICS</w:t>
      </w:r>
    </w:p>
    <w:p>
      <w:pPr>
        <w:keepNext/>
        <w:spacing w:before="200" w:after="60"/>
      </w:pPr>
      <w:r>
        <w:rPr>
          <w:rFonts w:ascii="Times New Roman" w:hAnsi="Times New Roman"/>
          <w:b/>
          <w:color w:val="213547"/>
          <w:sz w:val="21"/>
        </w:rPr>
        <w:t>A. Total Cost of Ownership (TCO) Disruption</w:t>
      </w:r>
    </w:p>
    <w:p>
      <w:pPr>
        <w:spacing w:before="0" w:after="100" w:line="276" w:lineRule="auto"/>
      </w:pPr>
      <w:r>
        <w:rPr>
          <w:rFonts w:ascii="Times New Roman" w:hAnsi="Times New Roman"/>
          <w:sz w:val="19"/>
        </w:rPr>
        <w:t>Cloud LLM APIs introduce an escalating cost structure. A 5,000-seat enterprise deploying Microsoft Copilot or OpenAI Enterprise ($30 to $100 per seat per month) expends $1.8M to $6.0M annually in recurring subscription fees, with marginal costs scaling linearly with token consumption. Conversely, Orion leverages decentralized client compute already owned by the enterprise. The incremental marginal cost per token is exactly $0.00. Datacenter GPU power, cooling, and network transit costs are eliminated.</w:t>
      </w:r>
    </w:p>
    <w:p>
      <w:pPr>
        <w:keepNext/>
        <w:spacing w:before="200" w:after="60"/>
      </w:pPr>
      <w:r>
        <w:rPr>
          <w:rFonts w:ascii="Times New Roman" w:hAnsi="Times New Roman"/>
          <w:b/>
          <w:color w:val="213547"/>
          <w:sz w:val="21"/>
        </w:rPr>
        <w:t>B. Commercialization &amp; Monetization Framework</w:t>
      </w:r>
    </w:p>
    <w:p>
      <w:pPr>
        <w:spacing w:before="0" w:after="100" w:line="276" w:lineRule="auto"/>
      </w:pPr>
      <w:r>
        <w:rPr>
          <w:rFonts w:ascii="Times New Roman" w:hAnsi="Times New Roman"/>
          <w:sz w:val="19"/>
        </w:rPr>
        <w:t>Orion operates on a high-margin open-core business model:</w:t>
        <w:br/>
        <w:t>• Community Edition (Free): Fully sovereign desktop assistant with local inference, voice, and RAG, driving bottom-up developer adoption.</w:t>
        <w:br/>
        <w:t>• Orion Pro ($19/month or $199/year): Automatic sequential domain handoff (Coder, Deep Research, Legal/Finance), advanced browser/email automation, and priority NPU acceleration.</w:t>
        <w:br/>
        <w:t>• Orion Enterprise Fleet ($45/seat/month): Centralized Zero-Knowledge fleet policy manager, air-gapped compliance auditing, custom fine-tuned model push, and priority SLA.</w:t>
      </w:r>
    </w:p>
    <w:p>
      <w:pPr>
        <w:keepNext/>
        <w:spacing w:before="280" w:after="80"/>
      </w:pPr>
      <w:r>
        <w:rPr>
          <w:rFonts w:ascii="Times New Roman" w:hAnsi="Times New Roman"/>
          <w:b/>
          <w:color w:val="101820"/>
          <w:sz w:val="24"/>
        </w:rPr>
        <w:t>X. FUTURE SCALE HORIZONS: MOBILE NPUS &amp; P2P MESH</w:t>
      </w:r>
    </w:p>
    <w:p>
      <w:pPr>
        <w:spacing w:before="0" w:after="100" w:line="276" w:lineRule="auto"/>
      </w:pPr>
      <w:r>
        <w:rPr>
          <w:rFonts w:ascii="Times New Roman" w:hAnsi="Times New Roman"/>
          <w:sz w:val="19"/>
        </w:rPr>
        <w:t>With M1–M10 deployed on desktop workstations, Orion's immediate commercial scaling roadmap focuses on two high-impact initiatives:</w:t>
        <w:br/>
        <w:t>1. Mobile Neural Processing Unit (NPU) Runtime: Porting the sequential supervisor to Qualcomm Snapdragon NPU and Apple Neural Engine via ExecuTorch, enabling 1.5B–3B models to execute within a 3-watt mobile envelope.</w:t>
        <w:br/>
        <w:t>2. Zero-Knowledge Peer-to-Peer Mesh Sync: Air-gapped local Wi-Fi synchronization using TLS-PSK. When a user's mobile device connects to their desktop's local subnet, vector databases and conversation contexts synchronize without any intermediate cloud relay.</w:t>
      </w:r>
    </w:p>
    <w:p>
      <w:pPr>
        <w:keepNext/>
        <w:spacing w:before="280" w:after="80"/>
      </w:pPr>
      <w:r>
        <w:rPr>
          <w:rFonts w:ascii="Times New Roman" w:hAnsi="Times New Roman"/>
          <w:b/>
          <w:color w:val="101820"/>
          <w:sz w:val="24"/>
        </w:rPr>
        <w:t>XI. CONCLUSION</w:t>
      </w:r>
    </w:p>
    <w:p>
      <w:pPr>
        <w:spacing w:before="0" w:after="100" w:line="276" w:lineRule="auto"/>
      </w:pPr>
      <w:r>
        <w:rPr>
          <w:rFonts w:ascii="Times New Roman" w:hAnsi="Times New Roman"/>
          <w:sz w:val="19"/>
        </w:rPr>
        <w:t>In this paper, we presented Orion, a zero-egress, hardware-bounded personal AI operating system that resolves the fundamental trade-off between cloud surveillance and edge hardware instability. By pioneering Sequential Dynamic Handoff, Orion enforces a strict single-model resident invariant that enables specialized multi-domain intelligence on standard 8 GB laptops with zero memory thrashing. Gated by a Two-Domain Capability Broker, Orion delivers provable containment against indirect prompt injection. Fully deployed across M1 through M10 and operating at $0 incremental inference cost, Orion establishes a commercially viable, sovereign foundation for the future of enterprise and personal computing.</w:t>
      </w:r>
    </w:p>
    <w:p>
      <w:pPr>
        <w:keepNext/>
        <w:spacing w:before="280" w:after="80"/>
      </w:pPr>
      <w:r>
        <w:rPr>
          <w:rFonts w:ascii="Times New Roman" w:hAnsi="Times New Roman"/>
          <w:b/>
          <w:color w:val="101820"/>
          <w:sz w:val="24"/>
        </w:rPr>
        <w:t>REFERENCES</w:t>
      </w:r>
    </w:p>
    <w:p>
      <w:pPr>
        <w:spacing w:before="0" w:after="40"/>
        <w:ind w:left="360" w:hanging="360"/>
      </w:pPr>
      <w:r>
        <w:rPr>
          <w:rFonts w:ascii="Times New Roman" w:hAnsi="Times New Roman"/>
          <w:sz w:val="16"/>
        </w:rPr>
        <w:t>[1] J. Devlin, M.-W. Chang, K. Lee, and K. Toutanova, 'BERT: Pre-training of Deep Bidirectional Transformers for Language Understanding,' in Proc. NAACL-HLT, 2019, pp. 4171–4186.</w:t>
      </w:r>
    </w:p>
    <w:p>
      <w:pPr>
        <w:spacing w:before="0" w:after="40"/>
        <w:ind w:left="360" w:hanging="360"/>
      </w:pPr>
      <w:r>
        <w:rPr>
          <w:rFonts w:ascii="Times New Roman" w:hAnsi="Times New Roman"/>
          <w:sz w:val="16"/>
        </w:rPr>
        <w:t>[2] T. Brown et al., 'Language Models are Few-Shot Learners,' in Proc. NeurIPS, vol. 33, 2020, pp. 1877–1901.</w:t>
      </w:r>
    </w:p>
    <w:p>
      <w:pPr>
        <w:spacing w:before="0" w:after="40"/>
        <w:ind w:left="360" w:hanging="360"/>
      </w:pPr>
      <w:r>
        <w:rPr>
          <w:rFonts w:ascii="Times New Roman" w:hAnsi="Times New Roman"/>
          <w:sz w:val="16"/>
        </w:rPr>
        <w:t>[3] G. Gerganov, 'llama.cpp: High-performance inference of LLaMA model in C/C++,' GitHub Repository, 2023. [Online]. Available: https://github.com/ggerganov/llama.cpp</w:t>
      </w:r>
    </w:p>
    <w:p>
      <w:pPr>
        <w:spacing w:before="0" w:after="40"/>
        <w:ind w:left="360" w:hanging="360"/>
      </w:pPr>
      <w:r>
        <w:rPr>
          <w:rFonts w:ascii="Times New Roman" w:hAnsi="Times New Roman"/>
          <w:sz w:val="16"/>
        </w:rPr>
        <w:t>[4] Qwen Team, 'Qwen2.5: A Comprehensive Technical Report,' arXiv preprint arXiv:2409.12191, 2024.</w:t>
      </w:r>
    </w:p>
    <w:p>
      <w:pPr>
        <w:spacing w:before="0" w:after="40"/>
        <w:ind w:left="360" w:hanging="360"/>
      </w:pPr>
      <w:r>
        <w:rPr>
          <w:rFonts w:ascii="Times New Roman" w:hAnsi="Times New Roman"/>
          <w:sz w:val="16"/>
        </w:rPr>
        <w:t>[5] DeepSeek-AI, 'DeepSeek-R1: Incentivizing Reasoning Capability in LLMs via Reinforcement Learning,' arXiv preprint arXiv:2501.12948, 2025.</w:t>
      </w:r>
    </w:p>
    <w:p>
      <w:pPr>
        <w:spacing w:before="0" w:after="40"/>
        <w:ind w:left="360" w:hanging="360"/>
      </w:pPr>
      <w:r>
        <w:rPr>
          <w:rFonts w:ascii="Times New Roman" w:hAnsi="Times New Roman"/>
          <w:sz w:val="16"/>
        </w:rPr>
        <w:t>[6] K. Greshake, R. Abdelnabi, S. Mishra, C. Endres, T. Holz, and M. Fritz, 'Not what you've signed up for: Compromising Real-World LLM-Integrated Applications with Indirect Prompt Injection,' in Proc. ACM Workshop on Artificial Intelligence and Security (AISec), 2023, pp. 79–90.</w:t>
      </w:r>
    </w:p>
    <w:p>
      <w:pPr>
        <w:spacing w:before="0" w:after="40"/>
        <w:ind w:left="360" w:hanging="360"/>
      </w:pPr>
      <w:r>
        <w:rPr>
          <w:rFonts w:ascii="Times New Roman" w:hAnsi="Times New Roman"/>
          <w:sz w:val="16"/>
        </w:rPr>
        <w:t>[7] A. Radford, J. W. Kim, T. Xu, G. Brockman, C. McLeavey, and I. Sutskever, 'Robust Speech Recognition via Large-Scale Weak Supervision,' in Proc. ICML, 2023, pp. 28492–28518.</w:t>
      </w:r>
    </w:p>
    <w:p>
      <w:pPr>
        <w:spacing w:before="0" w:after="40"/>
        <w:ind w:left="360" w:hanging="360"/>
      </w:pPr>
      <w:r>
        <w:rPr>
          <w:rFonts w:ascii="Times New Roman" w:hAnsi="Times New Roman"/>
          <w:sz w:val="16"/>
        </w:rPr>
        <w:t>[8] P. Lewis et al., 'Retrieval-Augmented Generation for Knowledge-Intensive NLP Tasks,' in Proc. NeurIPS, vol. 33, 2020, pp. 9459–9474.</w:t>
      </w:r>
    </w:p>
    <w:p>
      <w:pPr>
        <w:spacing w:before="0" w:after="40"/>
        <w:ind w:left="360" w:hanging="360"/>
      </w:pPr>
      <w:r>
        <w:rPr>
          <w:rFonts w:ascii="Times New Roman" w:hAnsi="Times New Roman"/>
          <w:sz w:val="16"/>
        </w:rPr>
        <w:t>[9] European Parliament and Council of the European Union, 'Regulation (EU) 2016/679 (General Data Protection Regulation),' Official Journal of the European Union, 2016.</w:t>
      </w:r>
    </w:p>
    <w:p>
      <w:pPr>
        <w:spacing w:before="0" w:after="40"/>
        <w:ind w:left="360" w:hanging="360"/>
      </w:pPr>
      <w:r>
        <w:rPr>
          <w:rFonts w:ascii="Times New Roman" w:hAnsi="Times New Roman"/>
          <w:sz w:val="16"/>
        </w:rPr>
        <w:t>[10] Federal Trade Commission, 'FTC Statement on Generative AI and Consumer Protection,' FTC Staff Report, Washington, DC, 2023.</w:t>
      </w:r>
    </w:p>
    <w:p>
      <w:pPr>
        <w:spacing w:before="0" w:after="40"/>
        <w:ind w:left="360" w:hanging="360"/>
      </w:pPr>
      <w:r>
        <w:rPr>
          <w:rFonts w:ascii="Times New Roman" w:hAnsi="Times New Roman"/>
          <w:sz w:val="16"/>
        </w:rPr>
        <w:t>[11] Bloomberg News, 'Samsung Bans ChatGPT, Google Bard After Semiconductor Source Code Leak,' Bloomberg Technology, May 2, 2023.</w:t>
      </w:r>
    </w:p>
    <w:p>
      <w:pPr>
        <w:spacing w:before="0" w:after="40"/>
        <w:ind w:left="360" w:hanging="360"/>
      </w:pPr>
      <w:r>
        <w:rPr>
          <w:rFonts w:ascii="Times New Roman" w:hAnsi="Times New Roman"/>
          <w:sz w:val="16"/>
        </w:rPr>
        <w:t>[12] Wall Street Journal, 'Wall Street Regulators Crack Down on Off-Channel Communications and Unauthorized AI Tools,' WSJ Business, Feb 2023.</w:t>
      </w:r>
    </w:p>
    <w:p>
      <w:pPr>
        <w:spacing w:before="0" w:after="40"/>
        <w:ind w:left="360" w:hanging="360"/>
      </w:pPr>
      <w:r>
        <w:rPr>
          <w:rFonts w:ascii="Times New Roman" w:hAnsi="Times New Roman"/>
          <w:sz w:val="16"/>
        </w:rPr>
        <w:t>[13] US Department of Health &amp; Human Services (HHS), 'Guidance on HIPAA, Cloud Computing, and Generative Artificial Intelligence,' Office for Civil Rights (OCR), Washington, DC, 2023.</w:t>
      </w:r>
    </w:p>
    <w:p>
      <w:pPr>
        <w:spacing w:before="0" w:after="40"/>
        <w:ind w:left="360" w:hanging="360"/>
      </w:pPr>
      <w:r>
        <w:rPr>
          <w:rFonts w:ascii="Times New Roman" w:hAnsi="Times New Roman"/>
          <w:sz w:val="16"/>
        </w:rPr>
        <w:t>[14] Apple Inc., 'Apple Platform Security: Architecture and Implementation of Apple Intelligence and Private Cloud Compute,' Apple Platform Whitepaper, Cupertino, CA, 2024.</w:t>
      </w:r>
    </w:p>
    <w:p>
      <w:pPr>
        <w:spacing w:before="0" w:after="40"/>
        <w:ind w:left="360" w:hanging="360"/>
      </w:pPr>
      <w:r>
        <w:rPr>
          <w:rFonts w:ascii="Times New Roman" w:hAnsi="Times New Roman"/>
          <w:sz w:val="16"/>
        </w:rPr>
        <w:t>[15] McKinsey &amp; Company, 'Sovereign AI: Building ecosystems for strategic resilience and impact,' McKinsey Technology Insights, 2025-2026.</w:t>
      </w:r>
    </w:p>
    <w:p>
      <w:pPr>
        <w:spacing w:before="0" w:after="40"/>
        <w:ind w:left="360" w:hanging="360"/>
      </w:pPr>
      <w:r>
        <w:rPr>
          <w:rFonts w:ascii="Times New Roman" w:hAnsi="Times New Roman"/>
          <w:sz w:val="16"/>
        </w:rPr>
        <w:t>[16] Gartner Research, 'Predicts 2026: Data Sovereignty Will Reshape Cloud Strategy,' Gartner IT Symposium, 2025.</w:t>
      </w:r>
    </w:p>
    <w:p>
      <w:pPr>
        <w:spacing w:before="0" w:after="40"/>
        <w:ind w:left="360" w:hanging="360"/>
      </w:pPr>
      <w:r>
        <w:rPr>
          <w:rFonts w:ascii="Times New Roman" w:hAnsi="Times New Roman"/>
          <w:sz w:val="16"/>
        </w:rPr>
        <w:t>[17] J. Yi, Y. Xie, B. Zhu, K. Hines, E. Kiciman, G. Sun, X. Xie, and F. Wu, 'Benchmarking and Defending against Indirect Prompt Injection Attacks on Large Language Models (BIPIA),' in Proc. 31st ACM SIGKDD Conference on Knowledge Discovery and Data Mining (KDD), 2025.</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