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64"/>
          <w:szCs w:val="64"/>
        </w:rPr>
        <w:t xml:space="preserve">BANTU BID</w:t>
      </w:r>
    </w:p>
    <w:p>
      <w:pPr>
        <w:spacing w:after="200" w:before="200"/>
        <w:jc w:val="center"/>
      </w:pPr>
      <w:r>
        <w:rPr>
          <w:b/>
          <w:bCs/>
          <w:color w:val="B8860B"/>
          <w:sz w:val="30"/>
          <w:szCs w:val="30"/>
        </w:rPr>
        <w:t xml:space="preserve">A Consortium Bidding Platform for Zambian Mining Suppliers</w:t>
      </w:r>
    </w:p>
    <w:p>
      <w:pPr>
        <w:spacing w:before="100"/>
        <w:jc w:val="center"/>
      </w:pPr>
      <w:r>
        <w:rPr>
          <w:i/>
          <w:iCs/>
          <w:color w:val="595959"/>
          <w:sz w:val="24"/>
          <w:szCs w:val="24"/>
        </w:rPr>
        <w:t xml:space="preserve">Business Model, Problem Statement &amp; Literature Review</w:t>
      </w:r>
    </w:p>
    <w:p>
      <w:pPr>
        <w:spacing w:before="3000"/>
      </w:pPr>
    </w:p>
    <w:p>
      <w:pPr>
        <w:jc w:val="center"/>
      </w:pPr>
      <w:r>
        <w:rPr>
          <w:color w:val="595959"/>
          <w:sz w:val="20"/>
          <w:szCs w:val="20"/>
        </w:rPr>
        <w:t xml:space="preserve">Prepared for consideration by mining companies, suppliers, and development partners</w:t>
      </w:r>
    </w:p>
    <w:p>
      <w:pPr>
        <w:spacing w:before="100"/>
        <w:jc w:val="center"/>
      </w:pPr>
      <w:r>
        <w:rPr>
          <w:color w:val="595959"/>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1F3A5F" w:sz="6" w:space="4"/>
        </w:pBdr>
        <w:spacing w:after="160" w:before="360"/>
      </w:pPr>
      <w:r>
        <w:rPr>
          <w:b/>
          <w:bCs/>
          <w:color w:val="1F3A5F"/>
          <w:sz w:val="30"/>
          <w:szCs w:val="30"/>
        </w:rPr>
        <w:t xml:space="preserve">Executive Summary</w:t>
      </w:r>
    </w:p>
    <w:p>
      <w:pPr>
        <w:spacing w:after="160" w:line="300"/>
        <w:jc w:val="both"/>
      </w:pPr>
      <w:r>
        <w:rPr>
          <w:color w:val="222222"/>
          <w:sz w:val="22"/>
          <w:szCs w:val="22"/>
        </w:rPr>
        <w:t xml:space="preserve">Despite over a century of mining activity, Zambian-owned firms capture only a small fraction of mining industry procurement spend. Government policy has moved to correct this through the Geological and Minerals Development (Local Content) Regulations of October 2025 (Statutory Instrument No. 68 of 2025), which reserve a rising share of core-mining procurement for local companies. However, mines continue to cite a lack of scale, quality assurance, and bonding capacity among individual Zambian SMEs as the practical barrier to awarding them large contracts.</w:t>
      </w:r>
    </w:p>
    <w:p>
      <w:pPr>
        <w:spacing w:after="160" w:line="300"/>
        <w:jc w:val="both"/>
      </w:pPr>
      <w:r>
        <w:rPr>
          <w:color w:val="222222"/>
          <w:sz w:val="22"/>
          <w:szCs w:val="22"/>
        </w:rPr>
        <w:t xml:space="preserve">Bantu Bid is proposed as a digital consortium-bidding platform that allows Zambian SMEs to combine complementary capabilities — equipment, labour, certifications, and balance sheets — into compliant joint ventures capable of winning tenders that no single local firm could win alone. The platform verifies supplier capability, automates matching against tender scopes, provides templated legal joint-venture agreements, checks compliance against local content thresholds, and connects consortia to financing partners for bid and performance guarantees. This document sets out the problem the platform addresses, situates it within the existing research and policy literature, and presents its business model.</w:t>
      </w:r>
    </w:p>
    <w:p>
      <w:pPr>
        <w:pStyle w:val="Heading1"/>
        <w:pBdr>
          <w:bottom w:val="single" w:color="1F3A5F" w:sz="6" w:space="4"/>
        </w:pBdr>
        <w:spacing w:after="160" w:before="360"/>
      </w:pPr>
      <w:r>
        <w:rPr>
          <w:b/>
          <w:bCs/>
          <w:color w:val="1F3A5F"/>
          <w:sz w:val="30"/>
          <w:szCs w:val="30"/>
        </w:rPr>
        <w:t xml:space="preserve">1. Problem Statement</w:t>
      </w:r>
    </w:p>
    <w:p>
      <w:pPr>
        <w:spacing w:after="160" w:line="300"/>
        <w:jc w:val="both"/>
      </w:pPr>
      <w:r>
        <w:rPr>
          <w:color w:val="222222"/>
          <w:sz w:val="22"/>
          <w:szCs w:val="22"/>
        </w:rPr>
        <w:t xml:space="preserve">Zambia's copper-mining sector is the backbone of the national economy, yet its procurement linkages to the domestic private sector remain shallow. A 2014 study by the International Council on Mining and Metals found that only around 5% of mining companies' expenditure on goods was with Zambian suppliers. Despite a decade of local content policy activity since, this pattern persists, and the government's own regulatory record acknowledges that voluntary preference clauses have not produced significant real procurement gains.</w:t>
      </w:r>
    </w:p>
    <w:p>
      <w:pPr>
        <w:spacing w:after="160" w:line="300"/>
        <w:jc w:val="both"/>
      </w:pPr>
      <w:r>
        <w:rPr>
          <w:color w:val="222222"/>
          <w:sz w:val="22"/>
          <w:szCs w:val="22"/>
        </w:rPr>
        <w:t xml:space="preserve">The problem is not a simple absence of Zambian firms in the supplier base. Research shows that mine suppliers themselves are often significant importers, suggesting local capacity exists but is fragmented, under-scaled, or misaligned with the size and specification of contracts that mines actually put to tender. The specific, addressable barriers are:</w:t>
      </w:r>
    </w:p>
    <w:p>
      <w:pPr>
        <w:pStyle w:val="ListParagraph"/>
        <w:numPr>
          <w:ilvl w:val="0"/>
          <w:numId w:val="2"/>
        </w:numPr>
        <w:spacing w:after="100" w:line="280"/>
      </w:pPr>
      <w:r>
        <w:rPr>
          <w:color w:val="222222"/>
          <w:sz w:val="22"/>
          <w:szCs w:val="22"/>
        </w:rPr>
        <w:t xml:space="preserve">Scale mismatch: individual Zambian SMEs frequently lack the combined equipment fleet, workforce, or balance sheet to bid on large, bundled contracts (e.g., integrated haulage-and-maintenance packages), so mines default to foreign Tier-1 suppliers and EPCM contractors capable of handling the full scope alone.</w:t>
      </w:r>
    </w:p>
    <w:p>
      <w:pPr>
        <w:pStyle w:val="ListParagraph"/>
        <w:numPr>
          <w:ilvl w:val="0"/>
          <w:numId w:val="2"/>
        </w:numPr>
        <w:spacing w:after="100" w:line="280"/>
      </w:pPr>
      <w:r>
        <w:rPr>
          <w:color w:val="222222"/>
          <w:sz w:val="22"/>
          <w:szCs w:val="22"/>
        </w:rPr>
        <w:t xml:space="preserve">Perceived quality and standards gap: mining companies report persistent doubts about local firms' ability to meet international quality, safety, and delivery standards, and there is no shared, trusted mechanism for SMEs to demonstrate verified capability at scale.</w:t>
      </w:r>
    </w:p>
    <w:p>
      <w:pPr>
        <w:pStyle w:val="ListParagraph"/>
        <w:numPr>
          <w:ilvl w:val="0"/>
          <w:numId w:val="2"/>
        </w:numPr>
        <w:spacing w:after="100" w:line="280"/>
      </w:pPr>
      <w:r>
        <w:rPr>
          <w:color w:val="222222"/>
          <w:sz w:val="22"/>
          <w:szCs w:val="22"/>
        </w:rPr>
        <w:t xml:space="preserve">Weak and newly-changing compliance definitions: historically, Zambian local content law did not clearly define the local-content threshold a good or service needed to meet, and the newly introduced reservation and price-preference regime (20% rising to 40% by around 2031, plus a 15% price preference) requires proof of citizen-ownership and spend traceability that most SMEs and even mines are not yet equipped to verify or report on.</w:t>
      </w:r>
    </w:p>
    <w:p>
      <w:pPr>
        <w:pStyle w:val="ListParagraph"/>
        <w:numPr>
          <w:ilvl w:val="0"/>
          <w:numId w:val="2"/>
        </w:numPr>
        <w:spacing w:after="100" w:line="280"/>
      </w:pPr>
      <w:r>
        <w:rPr>
          <w:color w:val="222222"/>
          <w:sz w:val="22"/>
          <w:szCs w:val="22"/>
        </w:rPr>
        <w:t xml:space="preserve">Financing and bonding constraints: SMEs frequently cannot secure the working capital or performance bonds mines require as a condition of award, which excludes them from bidding regardless of technical capability.</w:t>
      </w:r>
    </w:p>
    <w:p>
      <w:pPr>
        <w:pStyle w:val="ListParagraph"/>
        <w:numPr>
          <w:ilvl w:val="0"/>
          <w:numId w:val="2"/>
        </w:numPr>
        <w:spacing w:after="100" w:line="280"/>
      </w:pPr>
      <w:r>
        <w:rPr>
          <w:color w:val="222222"/>
          <w:sz w:val="22"/>
          <w:szCs w:val="22"/>
        </w:rPr>
        <w:t xml:space="preserve">Fragmented, low-visibility supplier information: existing platforms (the ZPPA e-Government Procurement system, individual mine portals, and industry media) publish tenders or list companies, but none actively help fragmented SMEs identify and combine with complementary partners to meet a tender's full scope, nor do they pre-check a resulting consortium's compliance with the new local-content thresholds.</w:t>
      </w:r>
    </w:p>
    <w:p>
      <w:pPr>
        <w:spacing w:after="160" w:line="300"/>
        <w:jc w:val="both"/>
      </w:pPr>
      <w:r>
        <w:rPr>
          <w:color w:val="222222"/>
          <w:sz w:val="22"/>
          <w:szCs w:val="22"/>
        </w:rPr>
        <w:t xml:space="preserve">The consequence is a structural lock-out: local content policy raises the target share of spend reserved for Zambian companies, but the supply side lacks a mechanism to organise itself to meet that demand at the scale mines require. Without such a mechanism, either mines will struggle to meet the new legal thresholds, or compliance will be achieved on paper through nominal local partners with minimal real value addition — a pattern the literature below shows has occurred before.</w:t>
      </w:r>
    </w:p>
    <w:p>
      <w:pPr>
        <w:pStyle w:val="Heading1"/>
        <w:pBdr>
          <w:bottom w:val="single" w:color="1F3A5F" w:sz="6" w:space="4"/>
        </w:pBdr>
        <w:spacing w:after="160" w:before="360"/>
      </w:pPr>
      <w:r>
        <w:rPr>
          <w:b/>
          <w:bCs/>
          <w:color w:val="1F3A5F"/>
          <w:sz w:val="30"/>
          <w:szCs w:val="30"/>
        </w:rPr>
        <w:t xml:space="preserve">2. Literature Review</w:t>
      </w:r>
    </w:p>
    <w:p>
      <w:pPr>
        <w:spacing w:after="160" w:line="300"/>
        <w:jc w:val="both"/>
      </w:pPr>
      <w:r>
        <w:rPr>
          <w:color w:val="222222"/>
          <w:sz w:val="22"/>
          <w:szCs w:val="22"/>
        </w:rPr>
        <w:t xml:space="preserve">The academic and policy literature on Zambian mining procurement converges on several themes: chronically low levels of real local procurement, the structural legacy of privatisation, the limits of local content policy design and enforcement, and the recent turn toward more prescriptive, quantified regulation. This section summarises the most relevant sources.</w:t>
      </w:r>
    </w:p>
    <w:p>
      <w:pPr>
        <w:pStyle w:val="Heading2"/>
        <w:spacing w:after="120" w:before="280"/>
      </w:pPr>
      <w:r>
        <w:rPr>
          <w:b/>
          <w:bCs/>
          <w:color w:val="1F3A5F"/>
          <w:sz w:val="24"/>
          <w:szCs w:val="24"/>
        </w:rPr>
        <w:t xml:space="preserve">2.1 The scale of the local procurement gap</w:t>
      </w:r>
    </w:p>
    <w:p>
      <w:pPr>
        <w:spacing w:after="160" w:line="300"/>
        <w:jc w:val="both"/>
      </w:pPr>
      <w:r>
        <w:rPr>
          <w:color w:val="222222"/>
          <w:sz w:val="22"/>
          <w:szCs w:val="22"/>
        </w:rPr>
        <w:t xml:space="preserve">Foundational research commissioned around the Copperbelt (Kumi Consulting, drawing on ICMM data) established that despite mining being Zambia's economic mainstay for over a century, roughly 5% of companies' expenditure on goods was with Zambian suppliers as of 2014, alongside persistent community mistrust of mining companies. More recent quantitative work using VAT transaction data (the IGC's 2025 working paper on mine suppliers) confirms the pattern has not meaningfully closed: it also reveals that firms classified as mine suppliers are, if anything, over-represented among importers relative to their domestic economic footprint, implying that local content pressure has partly redirected firms toward import intermediation rather than local value creation.</w:t>
      </w:r>
    </w:p>
    <w:p>
      <w:pPr>
        <w:pStyle w:val="Heading2"/>
        <w:spacing w:after="120" w:before="280"/>
      </w:pPr>
      <w:r>
        <w:rPr>
          <w:b/>
          <w:bCs/>
          <w:color w:val="1F3A5F"/>
          <w:sz w:val="24"/>
          <w:szCs w:val="24"/>
        </w:rPr>
        <w:t xml:space="preserve">2.2 Why mines under-procure locally: capability and trust</w:t>
      </w:r>
    </w:p>
    <w:p>
      <w:pPr>
        <w:spacing w:after="160" w:line="300"/>
        <w:jc w:val="both"/>
      </w:pPr>
      <w:r>
        <w:rPr>
          <w:color w:val="222222"/>
          <w:sz w:val="22"/>
          <w:szCs w:val="22"/>
        </w:rPr>
        <w:t xml:space="preserve">A recurring explanation across the literature is that mines themselves report a lack of scale, quality, and adherence to standards among local firms as the reason for low local procurement — a finding traced to Fessehaie et al. (2015) and reaffirmed in 2025 research. This is significant for platform design: it indicates the binding constraint is not solely regulatory but also informational and reputational — mines lack a trusted, low-friction way to verify that local suppliers, individually or in combination, can deliver at the required scale and standard.</w:t>
      </w:r>
    </w:p>
    <w:p>
      <w:pPr>
        <w:pStyle w:val="Heading2"/>
        <w:spacing w:after="120" w:before="280"/>
      </w:pPr>
      <w:r>
        <w:rPr>
          <w:b/>
          <w:bCs/>
          <w:color w:val="1F3A5F"/>
          <w:sz w:val="24"/>
          <w:szCs w:val="24"/>
        </w:rPr>
        <w:t xml:space="preserve">2.3 The legacy of privatisation and structural disadvantage</w:t>
      </w:r>
    </w:p>
    <w:p>
      <w:pPr>
        <w:spacing w:after="160" w:line="300"/>
        <w:jc w:val="both"/>
      </w:pPr>
      <w:r>
        <w:rPr>
          <w:color w:val="222222"/>
          <w:sz w:val="22"/>
          <w:szCs w:val="22"/>
        </w:rPr>
        <w:t xml:space="preserve">Historical and ethnographic research (ScienceDirect, 2021) traces how the privatisation of Zambia Consolidated Copper Mines shifted the industry from vertical integration to outsourcing, which created business opportunities in principle but in practice benefited foreign-owned 'Tier 1' suppliers and EPCM firms, who often performed minimal local value addition. Former ZCCM employees who started supply businesses found the post-privatisation procurement environment structurally stacked against them. This literature frames the current SME scale problem as a legacy of how the industry's supply chain was originally organised around large, foreign, vertically-capable contractors — a structure that smaller Zambian firms were never positioned to compete within individually.</w:t>
      </w:r>
    </w:p>
    <w:p>
      <w:pPr>
        <w:pStyle w:val="Heading2"/>
        <w:spacing w:after="120" w:before="280"/>
      </w:pPr>
      <w:r>
        <w:rPr>
          <w:b/>
          <w:bCs/>
          <w:color w:val="1F3A5F"/>
          <w:sz w:val="24"/>
          <w:szCs w:val="24"/>
        </w:rPr>
        <w:t xml:space="preserve">2.4 Local content policy design and its limits</w:t>
      </w:r>
    </w:p>
    <w:p>
      <w:pPr>
        <w:spacing w:after="160" w:line="300"/>
        <w:jc w:val="both"/>
      </w:pPr>
      <w:r>
        <w:rPr>
          <w:color w:val="222222"/>
          <w:sz w:val="22"/>
          <w:szCs w:val="22"/>
        </w:rPr>
        <w:t xml:space="preserve">A parallel literature examines the politics of local content policy (LCP) itself. Research on backward linkages (ScienceDirect, 2019) shows that Zambian suppliers pushed for mandatory local procurement modelled on public infrastructure contracting rules, in tension with donor agencies that favoured a voluntary, business-friendly approach; the resulting compromises produced regulations that, per IISD's case study, never clearly defined what local-content threshold a good needed to meet to count as Zambian — a gap that weakened enforcement and left political leverage tilted toward mining and importing interests over suppliers.</w:t>
      </w:r>
    </w:p>
    <w:p>
      <w:pPr>
        <w:pStyle w:val="Heading2"/>
        <w:spacing w:after="120" w:before="280"/>
      </w:pPr>
      <w:r>
        <w:rPr>
          <w:b/>
          <w:bCs/>
          <w:color w:val="1F3A5F"/>
          <w:sz w:val="24"/>
          <w:szCs w:val="24"/>
        </w:rPr>
        <w:t xml:space="preserve">2.5 The 2025 regulatory shift</w:t>
      </w:r>
    </w:p>
    <w:p>
      <w:pPr>
        <w:spacing w:after="160" w:line="300"/>
        <w:jc w:val="both"/>
      </w:pPr>
      <w:r>
        <w:rPr>
          <w:color w:val="222222"/>
          <w:sz w:val="22"/>
          <w:szCs w:val="22"/>
        </w:rPr>
        <w:t xml:space="preserve">This gap has now been addressed more prescriptively. Under Statutory Instrument No. 68 of 2025, Zambia introduced a progressive reservation scheme requiring mining companies to source a rising share of core-mining procurement budget from local, citizen-owned companies — starting at 20% in 2026 and reaching at least 40% within five years — alongside a 15% price preference for local bidders in financial evaluation, exclusive reservation of non-core services (catering, security, haulage) for local companies, and a mandatory supplier development programme requirement for each mining company. This is the most concrete lever yet for shifting real procurement, but it also raises the compliance and verification burden on both mines and suppliers, since spend must now be traceable to genuinely citizen-owned entities rather than nominal local fronts.</w:t>
      </w:r>
    </w:p>
    <w:p>
      <w:pPr>
        <w:pStyle w:val="Heading2"/>
        <w:spacing w:after="120" w:before="280"/>
      </w:pPr>
      <w:r>
        <w:rPr>
          <w:b/>
          <w:bCs/>
          <w:color w:val="1F3A5F"/>
          <w:sz w:val="24"/>
          <w:szCs w:val="24"/>
        </w:rPr>
        <w:t xml:space="preserve">2.6 The role of digital procurement tools</w:t>
      </w:r>
    </w:p>
    <w:p>
      <w:pPr>
        <w:spacing w:after="160" w:line="300"/>
        <w:jc w:val="both"/>
      </w:pPr>
      <w:r>
        <w:rPr>
          <w:color w:val="222222"/>
          <w:sz w:val="22"/>
          <w:szCs w:val="22"/>
        </w:rPr>
        <w:t xml:space="preserve">Industry-facing guidance (M&amp;J Zambia, 2025) argues that digital transformation in procurement has become business-critical for Zambian mines, citing the ability of digital tools to cut sourcing cycles by 30–40% through real-time cost visibility, automated compliance checks, and faster supplier onboarding, while noting practical constraints such as offline capability for remote sites, kwacha billing, and integration with existing ERPs. At the government level, the ZPPA e-Government Procurement system already provides tender publication, supplier registration, e-bidding, and e-contracting, and has recently been integrated with IFMIS, PACRA, and ZRA and updated with new preference and reservation scheme rules (S.I. No. 45 of 2025). However, this system — like individual mine and ZCCM-IH procurement portals — functions as a tender notice-board and registration system, not as a tool that actively helps fragmented SMEs combine capabilities into a compliant, bid-ready consortium.</w:t>
      </w:r>
    </w:p>
    <w:p>
      <w:pPr>
        <w:pStyle w:val="Heading2"/>
        <w:spacing w:after="120" w:before="280"/>
      </w:pPr>
      <w:r>
        <w:rPr>
          <w:b/>
          <w:bCs/>
          <w:color w:val="1F3A5F"/>
          <w:sz w:val="24"/>
          <w:szCs w:val="24"/>
        </w:rPr>
        <w:t xml:space="preserve">2.7 Synthesis and the gap this project addresses</w:t>
      </w:r>
    </w:p>
    <w:p>
      <w:pPr>
        <w:spacing w:after="160" w:line="300"/>
        <w:jc w:val="both"/>
      </w:pPr>
      <w:r>
        <w:rPr>
          <w:color w:val="222222"/>
          <w:sz w:val="22"/>
          <w:szCs w:val="22"/>
        </w:rPr>
        <w:t xml:space="preserve">Read together, the literature identifies four durable problems: (1) local procurement levels remain low despite fifteen years of policy effort; (2) mines' reluctance is driven partly by genuine, if sometimes overstated, capability concerns about individual local firms; (3) policy design has struggled to define and enforce meaningful local content, a gap the 2025 regulations attempt to close through quantified thresholds; and (4) existing digital infrastructure addresses tender visibility and internal mine procurement efficiency, but not the supply-side fragmentation problem. No source identified addresses SME-to-SME consortium formation as a deliberate, technology-enabled solution to the scale mismatch — this is the gap Bantu Bid is designed to fill.</w:t>
      </w:r>
    </w:p>
    <w:p>
      <w:r>
        <w:br w:type="page"/>
      </w:r>
    </w:p>
    <w:p>
      <w:pPr>
        <w:pStyle w:val="Heading1"/>
        <w:pBdr>
          <w:bottom w:val="single" w:color="1F3A5F" w:sz="6" w:space="4"/>
        </w:pBdr>
        <w:spacing w:after="160" w:before="360"/>
      </w:pPr>
      <w:r>
        <w:rPr>
          <w:b/>
          <w:bCs/>
          <w:color w:val="1F3A5F"/>
          <w:sz w:val="30"/>
          <w:szCs w:val="30"/>
        </w:rPr>
        <w:t xml:space="preserve">3. Business Model</w:t>
      </w:r>
    </w:p>
    <w:p>
      <w:pPr>
        <w:spacing w:after="160" w:line="300"/>
        <w:jc w:val="both"/>
      </w:pPr>
      <w:r>
        <w:rPr>
          <w:color w:val="222222"/>
          <w:sz w:val="22"/>
          <w:szCs w:val="22"/>
        </w:rPr>
        <w:t xml:space="preserve">Bantu Bid's business model is built around a two-sided platform: Zambian SME suppliers on one side, and mining companies (plus their compliance and financing needs) on the other. Value is created by reducing the transaction cost of forming a compliant, bid-ready consortium, and by giving mines a lower-risk path to meeting binding local content thresholds. The model is summarised as a Business Model Canvas below, followed by supporting detail on revenue mechanics and go-to-market phasing.</w:t>
      </w:r>
    </w:p>
    <w:p>
      <w:pPr>
        <w:pStyle w:val="Heading2"/>
        <w:spacing w:after="120" w:before="280"/>
      </w:pPr>
      <w:r>
        <w:rPr>
          <w:b/>
          <w:bCs/>
          <w:color w:val="1F3A5F"/>
          <w:sz w:val="24"/>
          <w:szCs w:val="24"/>
        </w:rPr>
        <w:t xml:space="preserve">3.1 Business Model Canvas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1F3A5F" w:val="clear"/>
            <w:tcMar>
              <w:top w:type="dxa" w:w="100"/>
              <w:left w:type="dxa" w:w="120"/>
              <w:bottom w:type="dxa" w:w="100"/>
              <w:right w:type="dxa" w:w="120"/>
            </w:tcMar>
          </w:tcPr>
          <w:p>
            <w:r>
              <w:rPr>
                <w:b/>
                <w:bCs/>
                <w:color w:val="FFFFFF"/>
                <w:sz w:val="20"/>
                <w:szCs w:val="20"/>
              </w:rPr>
              <w:t xml:space="preserve">Value Proposition</w:t>
            </w:r>
          </w:p>
        </w:tc>
        <w:tc>
          <w:tcPr>
            <w:tcW w:type="dxa" w:w="7000"/>
            <w:tcMar>
              <w:top w:type="dxa" w:w="100"/>
              <w:left w:type="dxa" w:w="120"/>
              <w:bottom w:type="dxa" w:w="100"/>
              <w:right w:type="dxa" w:w="120"/>
            </w:tcMar>
          </w:tcPr>
          <w:p>
            <w:r>
              <w:rPr>
                <w:b w:val="false"/>
                <w:bCs w:val="false"/>
                <w:color w:val="222222"/>
                <w:sz w:val="20"/>
                <w:szCs w:val="20"/>
              </w:rPr>
              <w:t xml:space="preserve">Enables Zambian SMEs to combine capabilities and jointly bid on large-scale mining contracts they could not win individually; gives mines a pre-vetted, compliance-checked pool of local consortia that reduces sourcing risk and satisfies local content obligations under S.I. No. 68 of 2025.</w:t>
            </w:r>
          </w:p>
        </w:tc>
      </w:tr>
      <w:tr>
        <w:tc>
          <w:tcPr>
            <w:tcW w:type="dxa" w:w="2400"/>
            <w:shd w:fill="1F3A5F" w:val="clear"/>
            <w:tcMar>
              <w:top w:type="dxa" w:w="100"/>
              <w:left w:type="dxa" w:w="120"/>
              <w:bottom w:type="dxa" w:w="100"/>
              <w:right w:type="dxa" w:w="120"/>
            </w:tcMar>
          </w:tcPr>
          <w:p>
            <w:r>
              <w:rPr>
                <w:b/>
                <w:bCs/>
                <w:color w:val="FFFFFF"/>
                <w:sz w:val="20"/>
                <w:szCs w:val="20"/>
              </w:rPr>
              <w:t xml:space="preserve">Customer Segments</w:t>
            </w:r>
          </w:p>
        </w:tc>
        <w:tc>
          <w:tcPr>
            <w:tcW w:type="dxa" w:w="7000"/>
            <w:tcMar>
              <w:top w:type="dxa" w:w="100"/>
              <w:left w:type="dxa" w:w="120"/>
              <w:bottom w:type="dxa" w:w="100"/>
              <w:right w:type="dxa" w:w="120"/>
            </w:tcMar>
          </w:tcPr>
          <w:p>
            <w:r>
              <w:rPr>
                <w:b w:val="false"/>
                <w:bCs w:val="false"/>
                <w:color w:val="222222"/>
                <w:sz w:val="20"/>
                <w:szCs w:val="20"/>
              </w:rPr>
              <w:t xml:space="preserve">(1) Zambian SME suppliers and service providers (haulage, catering, maintenance, spares, security, engineering); (2) Mining companies and EPCM contractors on the Copperbelt and North-Western Province; (3) Government bodies (Ministry of Mines, ZPPA, ZDA) monitoring local content compliance; (4) Financial institutions offering working-capital and bid/performance guarantees.</w:t>
            </w:r>
          </w:p>
        </w:tc>
      </w:tr>
      <w:tr>
        <w:tc>
          <w:tcPr>
            <w:tcW w:type="dxa" w:w="2400"/>
            <w:shd w:fill="1F3A5F" w:val="clear"/>
            <w:tcMar>
              <w:top w:type="dxa" w:w="100"/>
              <w:left w:type="dxa" w:w="120"/>
              <w:bottom w:type="dxa" w:w="100"/>
              <w:right w:type="dxa" w:w="120"/>
            </w:tcMar>
          </w:tcPr>
          <w:p>
            <w:r>
              <w:rPr>
                <w:b/>
                <w:bCs/>
                <w:color w:val="FFFFFF"/>
                <w:sz w:val="20"/>
                <w:szCs w:val="20"/>
              </w:rPr>
              <w:t xml:space="preserve">Channels</w:t>
            </w:r>
          </w:p>
        </w:tc>
        <w:tc>
          <w:tcPr>
            <w:tcW w:type="dxa" w:w="7000"/>
            <w:tcMar>
              <w:top w:type="dxa" w:w="100"/>
              <w:left w:type="dxa" w:w="120"/>
              <w:bottom w:type="dxa" w:w="100"/>
              <w:right w:type="dxa" w:w="120"/>
            </w:tcMar>
          </w:tcPr>
          <w:p>
            <w:r>
              <w:rPr>
                <w:b w:val="false"/>
                <w:bCs w:val="false"/>
                <w:color w:val="222222"/>
                <w:sz w:val="20"/>
                <w:szCs w:val="20"/>
              </w:rPr>
              <w:t xml:space="preserve">Web/mobile platform; in-person onboarding through Chamber of Mines and business associations; partnerships with existing supplier bodies; integration with the ZPPA e-GP portal; direct sales to mine procurement departments.</w:t>
            </w:r>
          </w:p>
        </w:tc>
      </w:tr>
      <w:tr>
        <w:tc>
          <w:tcPr>
            <w:tcW w:type="dxa" w:w="2400"/>
            <w:shd w:fill="1F3A5F" w:val="clear"/>
            <w:tcMar>
              <w:top w:type="dxa" w:w="100"/>
              <w:left w:type="dxa" w:w="120"/>
              <w:bottom w:type="dxa" w:w="100"/>
              <w:right w:type="dxa" w:w="120"/>
            </w:tcMar>
          </w:tcPr>
          <w:p>
            <w:r>
              <w:rPr>
                <w:b/>
                <w:bCs/>
                <w:color w:val="FFFFFF"/>
                <w:sz w:val="20"/>
                <w:szCs w:val="20"/>
              </w:rPr>
              <w:t xml:space="preserve">Customer Relationships</w:t>
            </w:r>
          </w:p>
        </w:tc>
        <w:tc>
          <w:tcPr>
            <w:tcW w:type="dxa" w:w="7000"/>
            <w:tcMar>
              <w:top w:type="dxa" w:w="100"/>
              <w:left w:type="dxa" w:w="120"/>
              <w:bottom w:type="dxa" w:w="100"/>
              <w:right w:type="dxa" w:w="120"/>
            </w:tcMar>
          </w:tcPr>
          <w:p>
            <w:r>
              <w:rPr>
                <w:b w:val="false"/>
                <w:bCs w:val="false"/>
                <w:color w:val="222222"/>
                <w:sz w:val="20"/>
                <w:szCs w:val="20"/>
              </w:rPr>
              <w:t xml:space="preserve">Self-service supplier profiles with human-assisted onboarding; dedicated account management for mine procurement teams; ongoing training/support for SMEs on consortium formation and compliance.</w:t>
            </w:r>
          </w:p>
        </w:tc>
      </w:tr>
      <w:tr>
        <w:tc>
          <w:tcPr>
            <w:tcW w:type="dxa" w:w="2400"/>
            <w:shd w:fill="1F3A5F" w:val="clear"/>
            <w:tcMar>
              <w:top w:type="dxa" w:w="100"/>
              <w:left w:type="dxa" w:w="120"/>
              <w:bottom w:type="dxa" w:w="100"/>
              <w:right w:type="dxa" w:w="120"/>
            </w:tcMar>
          </w:tcPr>
          <w:p>
            <w:r>
              <w:rPr>
                <w:b/>
                <w:bCs/>
                <w:color w:val="FFFFFF"/>
                <w:sz w:val="20"/>
                <w:szCs w:val="20"/>
              </w:rPr>
              <w:t xml:space="preserve">Revenue Streams</w:t>
            </w:r>
          </w:p>
        </w:tc>
        <w:tc>
          <w:tcPr>
            <w:tcW w:type="dxa" w:w="7000"/>
            <w:tcMar>
              <w:top w:type="dxa" w:w="100"/>
              <w:left w:type="dxa" w:w="120"/>
              <w:bottom w:type="dxa" w:w="100"/>
              <w:right w:type="dxa" w:w="120"/>
            </w:tcMar>
          </w:tcPr>
          <w:p>
            <w:r>
              <w:rPr>
                <w:b w:val="false"/>
                <w:bCs w:val="false"/>
                <w:color w:val="222222"/>
                <w:sz w:val="20"/>
                <w:szCs w:val="20"/>
              </w:rPr>
              <w:t xml:space="preserve">(1) Subscription/listing fees for SME suppliers (tiered by company size); (2) Transaction fee on successfully awarded consortium contracts (0.5-1.5%); (3) Enterprise licence fees paid by mining companies for the compliance-dashboard and vetted-consortia access; (4) Referral fees from financing partners for facilitated loans/guarantees; (5) Grant/donor funding during pilot phase (DFIs, World Bank, bilateral programmes).</w:t>
            </w:r>
          </w:p>
        </w:tc>
      </w:tr>
      <w:tr>
        <w:tc>
          <w:tcPr>
            <w:tcW w:type="dxa" w:w="2400"/>
            <w:shd w:fill="1F3A5F" w:val="clear"/>
            <w:tcMar>
              <w:top w:type="dxa" w:w="100"/>
              <w:left w:type="dxa" w:w="120"/>
              <w:bottom w:type="dxa" w:w="100"/>
              <w:right w:type="dxa" w:w="120"/>
            </w:tcMar>
          </w:tcPr>
          <w:p>
            <w:r>
              <w:rPr>
                <w:b/>
                <w:bCs/>
                <w:color w:val="FFFFFF"/>
                <w:sz w:val="20"/>
                <w:szCs w:val="20"/>
              </w:rPr>
              <w:t xml:space="preserve">Key Resources</w:t>
            </w:r>
          </w:p>
        </w:tc>
        <w:tc>
          <w:tcPr>
            <w:tcW w:type="dxa" w:w="7000"/>
            <w:tcMar>
              <w:top w:type="dxa" w:w="100"/>
              <w:left w:type="dxa" w:w="120"/>
              <w:bottom w:type="dxa" w:w="100"/>
              <w:right w:type="dxa" w:w="120"/>
            </w:tcMar>
          </w:tcPr>
          <w:p>
            <w:r>
              <w:rPr>
                <w:b w:val="false"/>
                <w:bCs w:val="false"/>
                <w:color w:val="222222"/>
                <w:sz w:val="20"/>
                <w:szCs w:val="20"/>
              </w:rPr>
              <w:t xml:space="preserve">Supplier verification database; matching/recommendation engine; legal template library for joint ventures; compliance rules engine mapped to Zambian local content law; partnerships with banks and legal firms.</w:t>
            </w:r>
          </w:p>
        </w:tc>
      </w:tr>
      <w:tr>
        <w:tc>
          <w:tcPr>
            <w:tcW w:type="dxa" w:w="2400"/>
            <w:shd w:fill="1F3A5F" w:val="clear"/>
            <w:tcMar>
              <w:top w:type="dxa" w:w="100"/>
              <w:left w:type="dxa" w:w="120"/>
              <w:bottom w:type="dxa" w:w="100"/>
              <w:right w:type="dxa" w:w="120"/>
            </w:tcMar>
          </w:tcPr>
          <w:p>
            <w:r>
              <w:rPr>
                <w:b/>
                <w:bCs/>
                <w:color w:val="FFFFFF"/>
                <w:sz w:val="20"/>
                <w:szCs w:val="20"/>
              </w:rPr>
              <w:t xml:space="preserve">Key Activities</w:t>
            </w:r>
          </w:p>
        </w:tc>
        <w:tc>
          <w:tcPr>
            <w:tcW w:type="dxa" w:w="7000"/>
            <w:tcMar>
              <w:top w:type="dxa" w:w="100"/>
              <w:left w:type="dxa" w:w="120"/>
              <w:bottom w:type="dxa" w:w="100"/>
              <w:right w:type="dxa" w:w="120"/>
            </w:tcMar>
          </w:tcPr>
          <w:p>
            <w:r>
              <w:rPr>
                <w:b w:val="false"/>
                <w:bCs w:val="false"/>
                <w:color w:val="222222"/>
                <w:sz w:val="20"/>
                <w:szCs w:val="20"/>
              </w:rPr>
              <w:t xml:space="preserve">Supplier verification and onboarding; tender parsing and consortium matching; compliance checking against local content thresholds; platform maintenance and data security; stakeholder engagement with mines and government.</w:t>
            </w:r>
          </w:p>
        </w:tc>
      </w:tr>
      <w:tr>
        <w:tc>
          <w:tcPr>
            <w:tcW w:type="dxa" w:w="2400"/>
            <w:shd w:fill="1F3A5F" w:val="clear"/>
            <w:tcMar>
              <w:top w:type="dxa" w:w="100"/>
              <w:left w:type="dxa" w:w="120"/>
              <w:bottom w:type="dxa" w:w="100"/>
              <w:right w:type="dxa" w:w="120"/>
            </w:tcMar>
          </w:tcPr>
          <w:p>
            <w:r>
              <w:rPr>
                <w:b/>
                <w:bCs/>
                <w:color w:val="FFFFFF"/>
                <w:sz w:val="20"/>
                <w:szCs w:val="20"/>
              </w:rPr>
              <w:t xml:space="preserve">Key Partnerships</w:t>
            </w:r>
          </w:p>
        </w:tc>
        <w:tc>
          <w:tcPr>
            <w:tcW w:type="dxa" w:w="7000"/>
            <w:tcMar>
              <w:top w:type="dxa" w:w="100"/>
              <w:left w:type="dxa" w:w="120"/>
              <w:bottom w:type="dxa" w:w="100"/>
              <w:right w:type="dxa" w:w="120"/>
            </w:tcMar>
          </w:tcPr>
          <w:p>
            <w:r>
              <w:rPr>
                <w:b w:val="false"/>
                <w:bCs w:val="false"/>
                <w:color w:val="222222"/>
                <w:sz w:val="20"/>
                <w:szCs w:val="20"/>
              </w:rPr>
              <w:t xml:space="preserve">Zambia Public Procurement Authority (ZPPA); Chamber of Mines of Zambia; Zambia Development Agency (ZDA); commercial banks and DFIs; legal firms for consortium agreements; mining companies as pilot/anchor clients.</w:t>
            </w:r>
          </w:p>
        </w:tc>
      </w:tr>
      <w:tr>
        <w:tc>
          <w:tcPr>
            <w:tcW w:type="dxa" w:w="2400"/>
            <w:shd w:fill="1F3A5F" w:val="clear"/>
            <w:tcMar>
              <w:top w:type="dxa" w:w="100"/>
              <w:left w:type="dxa" w:w="120"/>
              <w:bottom w:type="dxa" w:w="100"/>
              <w:right w:type="dxa" w:w="120"/>
            </w:tcMar>
          </w:tcPr>
          <w:p>
            <w:r>
              <w:rPr>
                <w:b/>
                <w:bCs/>
                <w:color w:val="FFFFFF"/>
                <w:sz w:val="20"/>
                <w:szCs w:val="20"/>
              </w:rPr>
              <w:t xml:space="preserve">Cost Structure</w:t>
            </w:r>
          </w:p>
        </w:tc>
        <w:tc>
          <w:tcPr>
            <w:tcW w:type="dxa" w:w="7000"/>
            <w:tcMar>
              <w:top w:type="dxa" w:w="100"/>
              <w:left w:type="dxa" w:w="120"/>
              <w:bottom w:type="dxa" w:w="100"/>
              <w:right w:type="dxa" w:w="120"/>
            </w:tcMar>
          </w:tcPr>
          <w:p>
            <w:r>
              <w:rPr>
                <w:b w:val="false"/>
                <w:bCs w:val="false"/>
                <w:color w:val="222222"/>
                <w:sz w:val="20"/>
                <w:szCs w:val="20"/>
              </w:rPr>
              <w:t xml:space="preserve">Platform development and hosting; compliance and legal template maintenance; supplier verification and onboarding operations; sales and stakeholder engagement; data security and regulatory compliance; ongoing R&amp;D for the matching engine.</w:t>
            </w:r>
          </w:p>
        </w:tc>
      </w:tr>
    </w:tbl>
    <w:p>
      <w:pPr>
        <w:spacing w:after="200" w:before="60"/>
      </w:pPr>
      <w:r>
        <w:rPr>
          <w:i/>
          <w:iCs/>
          <w:color w:val="595959"/>
          <w:sz w:val="18"/>
          <w:szCs w:val="18"/>
        </w:rPr>
        <w:t xml:space="preserve">Table 1: Business Model Canvas for Bantu Bid.</w:t>
      </w:r>
    </w:p>
    <w:p>
      <w:pPr>
        <w:pStyle w:val="Heading2"/>
        <w:spacing w:after="120" w:before="280"/>
      </w:pPr>
      <w:r>
        <w:rPr>
          <w:b/>
          <w:bCs/>
          <w:color w:val="1F3A5F"/>
          <w:sz w:val="24"/>
          <w:szCs w:val="24"/>
        </w:rPr>
        <w:t xml:space="preserve">3.2 Revenue model detail</w:t>
      </w:r>
    </w:p>
    <w:p>
      <w:pPr>
        <w:pStyle w:val="ListParagraph"/>
        <w:numPr>
          <w:ilvl w:val="0"/>
          <w:numId w:val="2"/>
        </w:numPr>
        <w:spacing w:after="100" w:line="280"/>
      </w:pPr>
      <w:r>
        <w:rPr>
          <w:color w:val="222222"/>
          <w:sz w:val="22"/>
          <w:szCs w:val="22"/>
        </w:rPr>
        <w:t xml:space="preserve">SME subscription tiers: a low-cost entry tier (basic profile, tender alerts) and a premium tier (priority matching, compliance-checker access, legal template access) priced to remain affordable for micro and small enterprises, with fee waivers available during the pilot phase.</w:t>
      </w:r>
    </w:p>
    <w:p>
      <w:pPr>
        <w:pStyle w:val="ListParagraph"/>
        <w:numPr>
          <w:ilvl w:val="0"/>
          <w:numId w:val="2"/>
        </w:numPr>
        <w:spacing w:after="100" w:line="280"/>
      </w:pPr>
      <w:r>
        <w:rPr>
          <w:color w:val="222222"/>
          <w:sz w:val="22"/>
          <w:szCs w:val="22"/>
        </w:rPr>
        <w:t xml:space="preserve">Success-based transaction fee: a small percentage (0.5–1.5%) charged only on contracts a consortium formed through the platform actually wins, aligning platform revenue with real local procurement outcomes rather than mere registrations.</w:t>
      </w:r>
    </w:p>
    <w:p>
      <w:pPr>
        <w:pStyle w:val="ListParagraph"/>
        <w:numPr>
          <w:ilvl w:val="0"/>
          <w:numId w:val="2"/>
        </w:numPr>
        <w:spacing w:after="100" w:line="280"/>
      </w:pPr>
      <w:r>
        <w:rPr>
          <w:color w:val="222222"/>
          <w:sz w:val="22"/>
          <w:szCs w:val="22"/>
        </w:rPr>
        <w:t xml:space="preserve">Mine-side enterprise licence: mining companies and EPCM contractors pay an annual licence for access to the vetted-consortia pool, automated compliance reporting against the S.I. No. 68 of 2025 thresholds, and reduced due-diligence workload.</w:t>
      </w:r>
    </w:p>
    <w:p>
      <w:pPr>
        <w:pStyle w:val="ListParagraph"/>
        <w:numPr>
          <w:ilvl w:val="0"/>
          <w:numId w:val="2"/>
        </w:numPr>
        <w:spacing w:after="100" w:line="280"/>
      </w:pPr>
      <w:r>
        <w:rPr>
          <w:color w:val="222222"/>
          <w:sz w:val="22"/>
          <w:szCs w:val="22"/>
        </w:rPr>
        <w:t xml:space="preserve">Financing referral fees: a facilitation fee from partner banks or DFIs when a consortium is successfully connected to a working-capital loan or performance/bid bond.</w:t>
      </w:r>
    </w:p>
    <w:p>
      <w:pPr>
        <w:pStyle w:val="ListParagraph"/>
        <w:numPr>
          <w:ilvl w:val="0"/>
          <w:numId w:val="2"/>
        </w:numPr>
        <w:spacing w:after="100" w:line="280"/>
      </w:pPr>
      <w:r>
        <w:rPr>
          <w:color w:val="222222"/>
          <w:sz w:val="22"/>
          <w:szCs w:val="22"/>
        </w:rPr>
        <w:t xml:space="preserve">Grant and donor co-funding: given the developmental nature of the problem, pilot-phase costs are expected to be partly co-funded by development finance institutions and government-aligned programmes (in the tradition of DFID's Private Enterprise Programme Zambia), reducing early reliance on transaction revenue.</w:t>
      </w:r>
    </w:p>
    <w:p>
      <w:pPr>
        <w:pStyle w:val="Heading2"/>
        <w:spacing w:after="120" w:before="280"/>
      </w:pPr>
      <w:r>
        <w:rPr>
          <w:b/>
          <w:bCs/>
          <w:color w:val="1F3A5F"/>
          <w:sz w:val="24"/>
          <w:szCs w:val="24"/>
        </w:rPr>
        <w:t xml:space="preserve">3.3 Go-to-market phasing</w:t>
      </w:r>
    </w:p>
    <w:p>
      <w:pPr>
        <w:pStyle w:val="ListParagraph"/>
        <w:numPr>
          <w:ilvl w:val="0"/>
          <w:numId w:val="2"/>
        </w:numPr>
        <w:spacing w:after="100" w:line="280"/>
      </w:pPr>
      <w:r>
        <w:rPr>
          <w:color w:val="222222"/>
          <w:sz w:val="22"/>
          <w:szCs w:val="22"/>
        </w:rPr>
        <w:t xml:space="preserve">Phase 1 (0–3 months): manual, human-facilitated matchmaking MVP with one anchor mine and 20–30 SMEs, to validate demand and refine consortium legal templates.</w:t>
      </w:r>
    </w:p>
    <w:p>
      <w:pPr>
        <w:pStyle w:val="ListParagraph"/>
        <w:numPr>
          <w:ilvl w:val="0"/>
          <w:numId w:val="2"/>
        </w:numPr>
        <w:spacing w:after="100" w:line="280"/>
      </w:pPr>
      <w:r>
        <w:rPr>
          <w:color w:val="222222"/>
          <w:sz w:val="22"/>
          <w:szCs w:val="22"/>
        </w:rPr>
        <w:t xml:space="preserve">Phase 2 (3–9 months): digital matching engine, automated compliance checker mapped to S.I. No. 68 of 2025 thresholds, and legal template library go live.</w:t>
      </w:r>
    </w:p>
    <w:p>
      <w:pPr>
        <w:pStyle w:val="ListParagraph"/>
        <w:numPr>
          <w:ilvl w:val="0"/>
          <w:numId w:val="2"/>
        </w:numPr>
        <w:spacing w:after="100" w:line="280"/>
      </w:pPr>
      <w:r>
        <w:rPr>
          <w:color w:val="222222"/>
          <w:sz w:val="22"/>
          <w:szCs w:val="22"/>
        </w:rPr>
        <w:t xml:space="preserve">Phase 3 (9–21 months): financing-partner integration and mine-facing compliance dashboard; expansion to 2–3 additional mines and a wider SME base.</w:t>
      </w:r>
    </w:p>
    <w:p>
      <w:pPr>
        <w:pStyle w:val="ListParagraph"/>
        <w:numPr>
          <w:ilvl w:val="0"/>
          <w:numId w:val="2"/>
        </w:numPr>
        <w:spacing w:after="100" w:line="280"/>
      </w:pPr>
      <w:r>
        <w:rPr>
          <w:color w:val="222222"/>
          <w:sz w:val="22"/>
          <w:szCs w:val="22"/>
        </w:rPr>
        <w:t xml:space="preserve">Phase 4 (ongoing): sector-wide data on capacity gaps shared with ZDA and the Ministry of Mines to guide targeted supplier development investment, and potential API-level integration with the ZPPA e-GP system rather than duplicating it.</w:t>
      </w:r>
    </w:p>
    <w:p>
      <w:pPr>
        <w:pStyle w:val="Heading2"/>
        <w:spacing w:after="120" w:before="280"/>
      </w:pPr>
      <w:r>
        <w:rPr>
          <w:b/>
          <w:bCs/>
          <w:color w:val="1F3A5F"/>
          <w:sz w:val="24"/>
          <w:szCs w:val="24"/>
        </w:rPr>
        <w:t xml:space="preserve">3.4 Key risks to the model</w:t>
      </w:r>
    </w:p>
    <w:p>
      <w:pPr>
        <w:pStyle w:val="ListParagraph"/>
        <w:numPr>
          <w:ilvl w:val="0"/>
          <w:numId w:val="2"/>
        </w:numPr>
        <w:spacing w:after="100" w:line="280"/>
      </w:pPr>
      <w:r>
        <w:rPr>
          <w:color w:val="222222"/>
          <w:sz w:val="22"/>
          <w:szCs w:val="22"/>
        </w:rPr>
        <w:t xml:space="preserve">Liability and trust disputes within consortia — mitigated by standardised joint-venture templates and a clearly designated lead-partner accountability structure.</w:t>
      </w:r>
    </w:p>
    <w:p>
      <w:pPr>
        <w:pStyle w:val="ListParagraph"/>
        <w:numPr>
          <w:ilvl w:val="0"/>
          <w:numId w:val="2"/>
        </w:numPr>
        <w:spacing w:after="100" w:line="280"/>
      </w:pPr>
      <w:r>
        <w:rPr>
          <w:color w:val="222222"/>
          <w:sz w:val="22"/>
          <w:szCs w:val="22"/>
        </w:rPr>
        <w:t xml:space="preserve">Mine reluctance to alter established vendor vetting processes — mitigated by proving time and cost savings with a willing pilot partner before wider rollout.</w:t>
      </w:r>
    </w:p>
    <w:p>
      <w:pPr>
        <w:pStyle w:val="ListParagraph"/>
        <w:numPr>
          <w:ilvl w:val="0"/>
          <w:numId w:val="2"/>
        </w:numPr>
        <w:spacing w:after="100" w:line="280"/>
      </w:pPr>
      <w:r>
        <w:rPr>
          <w:color w:val="222222"/>
          <w:sz w:val="22"/>
          <w:szCs w:val="22"/>
        </w:rPr>
        <w:t xml:space="preserve">Connectivity and digital literacy gaps among SMEs — mitigated by offline-capable design and in-person onboarding support in Copperbelt and North-Western Province towns.</w:t>
      </w:r>
    </w:p>
    <w:p>
      <w:pPr>
        <w:pStyle w:val="ListParagraph"/>
        <w:numPr>
          <w:ilvl w:val="0"/>
          <w:numId w:val="2"/>
        </w:numPr>
        <w:spacing w:after="100" w:line="280"/>
      </w:pPr>
      <w:r>
        <w:rPr>
          <w:color w:val="222222"/>
          <w:sz w:val="22"/>
          <w:szCs w:val="22"/>
        </w:rPr>
        <w:t xml:space="preserve">Regulatory change risk — the compliance engine must be actively maintained as reservation percentages step up annually toward the 40% target and as implementing guidance for S.I. No. 68 of 2025 evolves.</w:t>
      </w:r>
    </w:p>
    <w:p>
      <w:pPr>
        <w:pStyle w:val="Heading1"/>
        <w:pBdr>
          <w:bottom w:val="single" w:color="1F3A5F" w:sz="6" w:space="4"/>
        </w:pBdr>
        <w:spacing w:after="160" w:before="360"/>
      </w:pPr>
      <w:r>
        <w:rPr>
          <w:b/>
          <w:bCs/>
          <w:color w:val="1F3A5F"/>
          <w:sz w:val="30"/>
          <w:szCs w:val="30"/>
        </w:rPr>
        <w:t xml:space="preserve">4. Conclusion</w:t>
      </w:r>
    </w:p>
    <w:p>
      <w:pPr>
        <w:spacing w:after="160" w:line="300"/>
        <w:jc w:val="both"/>
      </w:pPr>
      <w:r>
        <w:rPr>
          <w:color w:val="222222"/>
          <w:sz w:val="22"/>
          <w:szCs w:val="22"/>
        </w:rPr>
        <w:t xml:space="preserve">The evidence base is consistent: Zambia's mining sector has both a longstanding and a newly regulated need for local procurement to increase, and the binding constraint is less the absence of capable Zambian firms than their fragmentation relative to the scale of contracts on offer, combined with weak compliance verification tools. Bantu Bid targets this specific gap by turning fragmented individual SMEs into compliant, bid-ready consortia, and by giving mining companies a lower-friction, lower-risk way to meet the local content thresholds now required of them under Zambian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Bantu Bid —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2026-07-16T21:59:30.922Z</dcterms:created>
  <dcterms:modified xsi:type="dcterms:W3CDTF">2026-07-16T21:59:30.935Z</dcterms:modified>
</cp:coreProperties>
</file>

<file path=docProps/custom.xml><?xml version="1.0" encoding="utf-8"?>
<Properties xmlns="http://schemas.openxmlformats.org/officeDocument/2006/custom-properties" xmlns:vt="http://schemas.openxmlformats.org/officeDocument/2006/docPropsVTypes"/>
</file>