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Landlord: Metro Commercial Holdings LLC</w:t>
        <w:br/>
        <w:t>Tenant: Quantum Labs Inc.</w:t>
      </w:r>
    </w:p>
    <w:p>
      <w:pPr>
        <w:pStyle w:val="Heading2"/>
      </w:pPr>
      <w:r>
        <w:t>1. Leased Premises</w:t>
      </w:r>
    </w:p>
    <w:p>
      <w:r>
        <w:t>Landlord leases to Tenant Suite 400 located at 100 Innovation Way, consisting of approximately 4,500 rentable square feet.</w:t>
      </w:r>
    </w:p>
    <w:p>
      <w:pPr>
        <w:pStyle w:val="Heading2"/>
      </w:pPr>
      <w:r>
        <w:t>2. Lease Term &amp; Rent</w:t>
      </w:r>
    </w:p>
    <w:p>
      <w:r>
        <w:t>The term of this Lease shall be thirty-six (36) months commencing on January 1, 2027. Monthly Base Rent shall be $12,500.00 payable in advance on the first day of each calendar month.</w:t>
      </w:r>
    </w:p>
    <w:p>
      <w:pPr>
        <w:pStyle w:val="Heading2"/>
      </w:pPr>
      <w:r>
        <w:t>3. Security Deposit</w:t>
      </w:r>
    </w:p>
    <w:p>
      <w:r>
        <w:t>Tenant shall deposit with Landlord the sum of $25,000.00 as security for full and faithful performance.</w:t>
      </w:r>
    </w:p>
    <w:p>
      <w:pPr>
        <w:pStyle w:val="Heading2"/>
      </w:pPr>
      <w:r>
        <w:t>4. Maintenance and Repairs</w:t>
      </w:r>
    </w:p>
    <w:p>
      <w:r>
        <w:t>Landlord shall maintain building foundations, exterior walls, and roof. Tenant shall maintain interior fixtures, electrical lines, and HVAC units.</w:t>
      </w:r>
    </w:p>
    <w:p>
      <w:pPr>
        <w:pStyle w:val="Heading2"/>
      </w:pPr>
      <w:r>
        <w:t>5. Default and Remedies</w:t>
      </w:r>
    </w:p>
    <w:p>
      <w:r>
        <w:t>In the event of non-payment of rent within five (5) days of due date, Landlord may issue notice of default with five (5) days to cure before instituting eviction proceedings.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