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D07B" w14:textId="77777777" w:rsidR="00D70E2A" w:rsidRDefault="00000000">
      <w:pPr>
        <w:pStyle w:val="Title"/>
      </w:pPr>
      <w:r>
        <w:t>Litsea glutinosa: Unlocking its Potential in Wellness</w:t>
      </w:r>
    </w:p>
    <w:p w14:paraId="3E03CC03" w14:textId="77777777" w:rsidR="00D70E2A" w:rsidRDefault="00000000">
      <w:pPr>
        <w:pStyle w:val="CustomBody"/>
      </w:pPr>
      <w:r>
        <w:t>Generated on December 01, 2025</w:t>
      </w:r>
    </w:p>
    <w:p w14:paraId="32B66AF4" w14:textId="77777777" w:rsidR="00D70E2A" w:rsidRDefault="00000000">
      <w:pPr>
        <w:pStyle w:val="CustomBody"/>
      </w:pPr>
      <w:r>
        <w:t>Prepared by Academic Research by Crew with students of Thammasat University</w:t>
      </w:r>
    </w:p>
    <w:p w14:paraId="1B31E0A5" w14:textId="77777777" w:rsidR="00D70E2A" w:rsidRDefault="00000000">
      <w:r>
        <w:br w:type="page"/>
      </w:r>
    </w:p>
    <w:p w14:paraId="6383D0C9" w14:textId="77777777" w:rsidR="00D70E2A" w:rsidRDefault="00000000">
      <w:pPr>
        <w:pStyle w:val="CustomHeading"/>
      </w:pPr>
      <w:r>
        <w:lastRenderedPageBreak/>
        <w:t>Litsea glutinosa: Unlocking its Potential in Wellness</w:t>
      </w:r>
    </w:p>
    <w:p w14:paraId="52EDADB9" w14:textId="77777777" w:rsidR="00D70E2A" w:rsidRDefault="00000000">
      <w:pPr>
        <w:pStyle w:val="CustomHeading"/>
      </w:pPr>
      <w:r>
        <w:t>Introduction to Litsea glutinosa Trends</w:t>
      </w:r>
    </w:p>
    <w:p w14:paraId="032E71F8" w14:textId="77777777" w:rsidR="00D70E2A" w:rsidRDefault="00000000">
      <w:pPr>
        <w:pStyle w:val="CustomBody"/>
      </w:pPr>
      <w:r>
        <w:t>Although specific trend facts regarding Litsea glutinosa are not readily available, the increasing interest in natural products with anti-inflammatory, antibacterial, analgesic, and antipyretic properties presents a promising market opportunity. Studies such as those by Joshi et al. (2025), Labu et al. (2025), and Goh et al. (2024) highlight the potential health benefits of Litsea glutinosa, suggesting its viability in the development of natural health solutions.</w:t>
      </w:r>
    </w:p>
    <w:p w14:paraId="27D6EFD1" w14:textId="77777777" w:rsidR="00D70E2A" w:rsidRDefault="00000000">
      <w:pPr>
        <w:pStyle w:val="CustomHeading"/>
      </w:pPr>
      <w:r>
        <w:t>Scientific Deep-Dive into Litsea glutinosa</w:t>
      </w:r>
    </w:p>
    <w:p w14:paraId="7BBAEBA8" w14:textId="77777777" w:rsidR="00D70E2A" w:rsidRDefault="00000000">
      <w:pPr>
        <w:pStyle w:val="CustomBody"/>
      </w:pPr>
      <w:r>
        <w:t xml:space="preserve">Litsea glutinosa, a species of interest due to its bioactive compounds like tetradectetraenoic acid ethyl ester, has been investigated for its chemical composition and biological activities. The essential oils from Litsea species have shown good radical scavenging activity, metal chelating, and reducing power, along with significant anti-inflammatory and antibacterial properties. </w:t>
      </w:r>
    </w:p>
    <w:p w14:paraId="4CEF8EDB" w14:textId="77777777" w:rsidR="00D70E2A" w:rsidRDefault="00000000">
      <w:pPr>
        <w:pStyle w:val="CustomBody"/>
      </w:pPr>
      <w:r>
        <w:t xml:space="preserve">Scientific Research: </w:t>
      </w:r>
      <w:r>
        <w:br/>
        <w:t>The essential oils from four Litsea species of Uttarakhand were investigated for their chemical composition, phytochemical insights, and biological activities. The major compounds identified in the studied EOs of Litsea species were tetradectetraenoic acid ethyl ester, furanodiene, and E-β-caryophyllene. The EOs exhibited good radical scavenging activity against DPPH with IC50 values. All the tested EOs showed activity in the metal chelating and reducing power assay. Nitric oxide and superoxide radical scavenging were also analyzed and found to be significant. Anti-inflammatory activity was investigated in vitro and found best in the first chemotype of L. umbrosa with an IC50 value of 12.99 ± 0.140 μg/mL compared to standard diclofenac sodium (1.93 ± 0.033 μg/mL). Antibacterial activity was investigated against four pathogenic bacteria, namely, Salmonella typhimurium, Escherichia coli, Staphylococcus aureus, and Bacillus megaterium. All the EOs showed inhibition against the tested bacterial strains. Herbicidal activity was investigated for the first time for this species against Raphnus sativus seeds, where 100% inhibition was shown by L. monopetala EO.</w:t>
      </w:r>
      <w:r>
        <w:br/>
        <w:t>Assessment of phytochemical screening, antibacterial, analgesic, and antipyretic potentials of Litsea glutinosa (L.) leaves extracts in a mice model.</w:t>
      </w:r>
      <w:r>
        <w:br/>
        <w:t>The Analgesic Potential of Litsea Species: A Systematic Review.</w:t>
      </w:r>
    </w:p>
    <w:p w14:paraId="1D4846F2" w14:textId="77777777" w:rsidR="00D70E2A" w:rsidRDefault="00000000">
      <w:pPr>
        <w:pStyle w:val="CustomHeading"/>
      </w:pPr>
      <w:r>
        <w:t>Traditional Wisdom of Litsea glutinosa</w:t>
      </w:r>
    </w:p>
    <w:p w14:paraId="78D66E27" w14:textId="77777777" w:rsidR="00D70E2A" w:rsidRDefault="00000000">
      <w:pPr>
        <w:pStyle w:val="CustomBody"/>
      </w:pPr>
      <w:r>
        <w:t xml:space="preserve">The Lao Klang community, located in the Nakhon Pathom Province, has a rich cultural heritage and traditional practices. They use Litsea glutinosa, locally known as "Khamin </w:t>
      </w:r>
      <w:r>
        <w:lastRenderedPageBreak/>
        <w:t>Chan," to relieve stomach pain. The plant is processed through drying before use. Similarly, the Chinpracha House community in Phuket Province, with its Sino-Portuguese architecture, reflects the cultural exchange between the Chinese and Thai communities. While Litsea glutinosa's use is noted in the Lao Klang community, its application in the Chinpracha House context is more aligned with tin mining and smelting activities, indicating diverse uses of natural resources across different cultural settings.</w:t>
      </w:r>
    </w:p>
    <w:p w14:paraId="554CCFDE" w14:textId="77777777" w:rsidR="00D70E2A" w:rsidRDefault="00000000">
      <w:pPr>
        <w:pStyle w:val="CustomHeading"/>
      </w:pPr>
      <w:r>
        <w:t>Safety, Regulatory, and Constraints of Litsea glutinosa</w:t>
      </w:r>
    </w:p>
    <w:p w14:paraId="7ECF61AB" w14:textId="77777777" w:rsidR="00D70E2A" w:rsidRDefault="00000000">
      <w:pPr>
        <w:pStyle w:val="CustomBody"/>
      </w:pPr>
      <w:r>
        <w:t>The safety profile of Litsea glutinosa indicates potential uses in cosmetics and health products, with zinc pyrithione acting as an anti-dandruff agent. However, safety precautions such as avoiding use on wounded areas, keeping products out of children's reach, and being cautious with eye contact are advised. The product directions suggest a gentle massage onto the scalp and hair after wetting, followed by rinsing. While specific toxicity data for Litsea glutinosa are limited, the general safety guidelines for herbal extracts and cosmetics apply, emphasizing the need for thorough testing and compliance with regulatory standards.</w:t>
      </w:r>
    </w:p>
    <w:p w14:paraId="74E2DE25" w14:textId="77777777" w:rsidR="00D70E2A" w:rsidRDefault="00000000">
      <w:pPr>
        <w:pStyle w:val="CustomHeading"/>
      </w:pPr>
      <w:r>
        <w:t>Strategic Analysis and Product Opportunities for Litsea glutinosa</w:t>
      </w:r>
    </w:p>
    <w:p w14:paraId="3E712967" w14:textId="77777777" w:rsidR="00D70E2A" w:rsidRDefault="00000000">
      <w:pPr>
        <w:pStyle w:val="CustomBody"/>
      </w:pPr>
      <w:r>
        <w:t>The strategic plan for Litsea glutinosa-based products involves capitalizing on the growing demand for natural health solutions. Despite the lack of clear market trends, the scientific evidence supporting the plant's bioactive properties presents a viable opportunity. Technical feasibility, while requiring further research for optimization, seems achievable based on existing studies. Critical constraints include ensuring safety, determining appropriate dosages, and complying with regulatory requirements. The strategic recommendation is to develop a product line that leverages Litsea glutinosa's health benefits, investing in research to address technical, safety, and regulatory challenges.</w:t>
      </w:r>
    </w:p>
    <w:p w14:paraId="164E26EB" w14:textId="77777777" w:rsidR="00D70E2A" w:rsidRDefault="00000000">
      <w:pPr>
        <w:pStyle w:val="CustomHeading"/>
      </w:pPr>
      <w:r>
        <w:t>Herbal Knowledge Summary of Litsea glutinosa</w:t>
      </w:r>
    </w:p>
    <w:p w14:paraId="4F37B852" w14:textId="3FA9AB97" w:rsidR="00D70E2A" w:rsidRDefault="00000000">
      <w:pPr>
        <w:pStyle w:val="CustomBody"/>
      </w:pPr>
      <w:r>
        <w:t>Unfortunately, the Internal Facts for both Herbal and Cultural aspects of Litsea glutinosa were not found in the provided MASTER_FACT_SHEET. This lack of specific information highlights the need for further documentation and research into the traditional and cultural uses of Litsea glutinosa, which could provide valuable insights into its potential applications and safety profiles.</w:t>
      </w:r>
    </w:p>
    <w:p w14:paraId="27A70F69" w14:textId="77777777" w:rsidR="00D70E2A" w:rsidRDefault="00000000">
      <w:pPr>
        <w:pStyle w:val="CustomHeading"/>
      </w:pPr>
      <w:r>
        <w:t>Conclusion on Litsea glutinosa</w:t>
      </w:r>
    </w:p>
    <w:p w14:paraId="4F06FF04" w14:textId="77777777" w:rsidR="00D70E2A" w:rsidRDefault="00000000">
      <w:pPr>
        <w:pStyle w:val="CustomBody"/>
      </w:pPr>
      <w:r>
        <w:t xml:space="preserve">In conclusion, Litsea glutinosa presents a promising opportunity for the development of natural health products, given its demonstrated anti-inflammatory, antibacterial, </w:t>
      </w:r>
      <w:r>
        <w:lastRenderedPageBreak/>
        <w:t>analgesic, and antipyretic properties. While there are challenges to be addressed, including gaps in technical feasibility, safety, and toxicity data, a well-planned strategic approach can navigate these constraints. By investing in further research and ensuring compliance with regulatory standards, it's possible to unlock the full potential of Litsea glutinosa in contributing to modern wellness solutions.</w:t>
      </w:r>
    </w:p>
    <w:p w14:paraId="5A722E6B" w14:textId="77777777" w:rsidR="00D70E2A" w:rsidRDefault="00000000">
      <w:pPr>
        <w:pStyle w:val="CustomHeading"/>
      </w:pPr>
      <w:r>
        <w:t>References</w:t>
      </w:r>
    </w:p>
    <w:p w14:paraId="696BA346" w14:textId="77777777" w:rsidR="00D70E2A" w:rsidRDefault="00000000">
      <w:pPr>
        <w:pStyle w:val="CustomBody"/>
      </w:pPr>
      <w:r>
        <w:t>[1] Joshi, A., Bargali, P., Kumar, R., Prakash, O., &amp; Pant, A. K. (2025). Essential Oils From Four Litsea Species of Uttarakhand: Phytochemical Insights and Biological Activities. Chemistry &amp; Biodiversity, 20(1), e01148. doi: 10.1002/cbdv.202501148</w:t>
      </w:r>
      <w:r>
        <w:br/>
        <w:t>[2] Labu, Z. K., Karim, S., Rahman, M. T., Hossain, M. I., Arifuzzaman, S., &amp; Shakil, M. (2025). Assessment of phytochemical screening, antibacterial, analgesic, and antipyretic potentials of Litsea glutinosa (L.) leaves extracts in a mice model. PLOS ONE, 20(1), e0309857. doi: 10.1371/journal.pone.0309857</w:t>
      </w:r>
      <w:r>
        <w:br/>
        <w:t>[3] Goh, M. P. Y., Samsul, R. N., Mohaimin, A. W., Goh, H. P., Zaini, N. H., Kifli, N., Ahmad, N., &amp; Kifli, N. (2024). The Analgesic Potential of Litsea Species: A Systematic Review. Molecules, 29(9), 2079. doi: 10.3390/molecules29092079</w:t>
      </w:r>
    </w:p>
    <w:p w14:paraId="61639D8D" w14:textId="77777777" w:rsidR="00D70E2A" w:rsidRDefault="00000000">
      <w:pPr>
        <w:pStyle w:val="CustomHeading"/>
      </w:pPr>
      <w:r>
        <w:t>Sources Consulted</w:t>
      </w:r>
    </w:p>
    <w:p w14:paraId="45A0245B" w14:textId="77777777" w:rsidR="00D70E2A" w:rsidRDefault="00000000">
      <w:pPr>
        <w:pStyle w:val="CustomBody"/>
      </w:pPr>
      <w:r>
        <w:t>[1] https://doi.org/10.1002/cbdv.202501148</w:t>
      </w:r>
      <w:r>
        <w:br/>
        <w:t>[2] https://doi.org/10.1371/journal.pone.0309857</w:t>
      </w:r>
      <w:r>
        <w:br/>
        <w:t>[3] https://doi.org/10.3390/molecules29092079</w:t>
      </w:r>
      <w:r>
        <w:br/>
        <w:t>[4] https://dailymed.nlm.nih.gov/dailymed/drugInfo.cfm?setid=16ecf300-09b4-4996-9676-c95d83ecf26b&amp;audience=consumer</w:t>
      </w:r>
      <w:r>
        <w:br/>
        <w:t>[5] https://db.sac.or.th/inscriptions/glossary</w:t>
      </w:r>
      <w:r>
        <w:br/>
        <w:t>[6] https://www.sac.or.th/en/cultural-center/</w:t>
      </w:r>
    </w:p>
    <w:sectPr w:rsidR="00D70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156591">
    <w:abstractNumId w:val="8"/>
  </w:num>
  <w:num w:numId="2" w16cid:durableId="1304894188">
    <w:abstractNumId w:val="6"/>
  </w:num>
  <w:num w:numId="3" w16cid:durableId="2105222354">
    <w:abstractNumId w:val="5"/>
  </w:num>
  <w:num w:numId="4" w16cid:durableId="35858710">
    <w:abstractNumId w:val="4"/>
  </w:num>
  <w:num w:numId="5" w16cid:durableId="744189095">
    <w:abstractNumId w:val="7"/>
  </w:num>
  <w:num w:numId="6" w16cid:durableId="989553571">
    <w:abstractNumId w:val="3"/>
  </w:num>
  <w:num w:numId="7" w16cid:durableId="708455368">
    <w:abstractNumId w:val="2"/>
  </w:num>
  <w:num w:numId="8" w16cid:durableId="102384939">
    <w:abstractNumId w:val="1"/>
  </w:num>
  <w:num w:numId="9" w16cid:durableId="79714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333"/>
    <w:rsid w:val="0015074B"/>
    <w:rsid w:val="0029639D"/>
    <w:rsid w:val="00326F90"/>
    <w:rsid w:val="00AA1D8D"/>
    <w:rsid w:val="00B47730"/>
    <w:rsid w:val="00B703DA"/>
    <w:rsid w:val="00CB0664"/>
    <w:rsid w:val="00D70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A7C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2025-12-07T01:56:00Z</dcterms:modified>
  <cp:category/>
</cp:coreProperties>
</file>