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1F79" w14:textId="77777777" w:rsidR="00AB2E31" w:rsidRDefault="00000000">
      <w:pPr>
        <w:pStyle w:val="Title"/>
      </w:pPr>
      <w:r>
        <w:t>Neptunia Oleracea</w:t>
      </w:r>
    </w:p>
    <w:p w14:paraId="51075C64" w14:textId="77777777" w:rsidR="00AB2E31" w:rsidRDefault="00000000">
      <w:pPr>
        <w:pStyle w:val="CustomBody"/>
      </w:pPr>
      <w:r>
        <w:t>Generated on December 04, 2025</w:t>
      </w:r>
    </w:p>
    <w:p w14:paraId="227056B3" w14:textId="77777777" w:rsidR="00AB2E31" w:rsidRDefault="00000000">
      <w:pPr>
        <w:pStyle w:val="CustomBody"/>
      </w:pPr>
      <w:r>
        <w:t>Prepared by Academic Research by Crew with students of Thammasat University</w:t>
      </w:r>
    </w:p>
    <w:p w14:paraId="4ABAD9DB" w14:textId="77777777" w:rsidR="00AB2E31" w:rsidRDefault="00000000">
      <w:r>
        <w:br w:type="page"/>
      </w:r>
    </w:p>
    <w:p w14:paraId="7D4495AD" w14:textId="77777777" w:rsidR="00AB2E31" w:rsidRDefault="00000000">
      <w:pPr>
        <w:pStyle w:val="CustomHeading"/>
      </w:pPr>
      <w:r>
        <w:lastRenderedPageBreak/>
        <w:t>Neptunia Oleracea: Exploring Traditional Wisdom and Modern Applications</w:t>
      </w:r>
    </w:p>
    <w:p w14:paraId="4B2EF5FF" w14:textId="77777777" w:rsidR="00AB2E31" w:rsidRDefault="00000000">
      <w:pPr>
        <w:pStyle w:val="CustomHeading"/>
      </w:pPr>
      <w:r>
        <w:t>Introduction to Neptunia Oleracea Trends</w:t>
      </w:r>
    </w:p>
    <w:p w14:paraId="63A023E8" w14:textId="27637B25" w:rsidR="00AB2E31" w:rsidRDefault="00000000">
      <w:pPr>
        <w:pStyle w:val="CustomBody"/>
      </w:pPr>
      <w:r>
        <w:t>Although explicit trend facts are not available in the provided context, the cultural significance and traditional use of Neptunia oleracea in Thai communities suggest a potential market opportunity for products leveraging this herb. The emphasis on natural and traditional remedies in modern times could create a niche market for Neptunia oleracea-based products.</w:t>
      </w:r>
    </w:p>
    <w:p w14:paraId="118E672E" w14:textId="77777777" w:rsidR="00AB2E31" w:rsidRDefault="00000000">
      <w:pPr>
        <w:pStyle w:val="CustomHeading"/>
      </w:pPr>
      <w:r>
        <w:t>Scientific Deep-Dive into Neptunia Oleracea</w:t>
      </w:r>
    </w:p>
    <w:p w14:paraId="1F1918C5" w14:textId="77777777" w:rsidR="00AB2E31" w:rsidRDefault="00000000">
      <w:pPr>
        <w:pStyle w:val="CustomBody"/>
      </w:pPr>
      <w:r>
        <w:t>Neptunia oleracea has been identified as a feasible phytoremediator for cleaning up aquatic systems contaminated with arsenic. The plant's tolerance to arsenic was observed up to 30 ppm, and the highest arsenic accumulation and removal efficacy were observed at the range of 30–60 ppm. However, increasing the arsenic concentrations above 60 ppm caused severe damage and death of the plants.</w:t>
      </w:r>
    </w:p>
    <w:p w14:paraId="20D7F4DE" w14:textId="77777777" w:rsidR="00AB2E31" w:rsidRDefault="00000000">
      <w:pPr>
        <w:pStyle w:val="CustomBody"/>
      </w:pPr>
      <w:r>
        <w:t xml:space="preserve">Scientific Research: </w:t>
      </w:r>
      <w:r>
        <w:br/>
        <w:t>Neptunia oleracea has been identified as a feasible phytoremediator for cleaning up aquatic systems contaminated with arsenic. The plant's tolerance to arsenic was observed up to 30 ppm, and the highest arsenic accumulation and removal efficacy were observed at the range of 30–60 ppm. However, increasing the arsenic concentrations above 60 ppm caused severe damage and death of the plants.</w:t>
      </w:r>
    </w:p>
    <w:p w14:paraId="17D99E13" w14:textId="77777777" w:rsidR="00AB2E31" w:rsidRDefault="00000000">
      <w:pPr>
        <w:pStyle w:val="CustomHeading"/>
      </w:pPr>
      <w:r>
        <w:t>Traditional Wisdom of Neptunia Oleracea</w:t>
      </w:r>
    </w:p>
    <w:p w14:paraId="129205F0" w14:textId="7A473655" w:rsidR="00AB2E31" w:rsidRDefault="00000000">
      <w:pPr>
        <w:pStyle w:val="CustomBody"/>
      </w:pPr>
      <w:r>
        <w:t xml:space="preserve">The community of Ban Phak Chid is known for its unique name, which is derived from the local herb "Phak </w:t>
      </w:r>
      <w:proofErr w:type="spellStart"/>
      <w:r>
        <w:t>Kradat</w:t>
      </w:r>
      <w:proofErr w:type="spellEnd"/>
      <w:r>
        <w:t xml:space="preserve">". The herb is abundant in the area and is used for various purposes, including as a food source for cattle. The community has a strong tradition of using local herbs for medicinal purposes. The herb "Phak </w:t>
      </w:r>
      <w:proofErr w:type="spellStart"/>
      <w:r>
        <w:t>Kradat</w:t>
      </w:r>
      <w:proofErr w:type="spellEnd"/>
      <w:r>
        <w:t>"</w:t>
      </w:r>
      <w:r w:rsidR="00BC7F06">
        <w:rPr>
          <w:rFonts w:hint="cs"/>
          <w:cs/>
          <w:lang w:bidi="th-TH"/>
        </w:rPr>
        <w:t xml:space="preserve"> </w:t>
      </w:r>
      <w:r>
        <w:t>is used to treat various ailments, including fever and digestive problems. Similarly, the Thai-Lao ethnic group and the community of Khlong Pho have their own traditional uses for Neptunia oleracea, highlighting its versatile applications in traditional medicine and agriculture.</w:t>
      </w:r>
    </w:p>
    <w:p w14:paraId="06FA8329" w14:textId="77777777" w:rsidR="00AB2E31" w:rsidRDefault="00000000">
      <w:pPr>
        <w:pStyle w:val="CustomHeading"/>
      </w:pPr>
      <w:r>
        <w:t>Safety, Regulatory, and Constraints of Neptunia Oleracea</w:t>
      </w:r>
    </w:p>
    <w:p w14:paraId="53866D7F" w14:textId="77777777" w:rsidR="00AB2E31" w:rsidRDefault="00000000">
      <w:pPr>
        <w:pStyle w:val="CustomBody"/>
      </w:pPr>
      <w:r>
        <w:t xml:space="preserve">The toxicity facts highlight that Neptunia oleracea has a tolerance to arsenic up to 30 ppm, with the highest arsenic accumulation and removal efficacy observed at 30–60 ppm. However, increasing arsenic concentrations above 60 ppm causes severe damage and death to the plants. This information is crucial for designing safe and effective cultivation and processing methods to avoid arsenic contamination and ensure the safety of any </w:t>
      </w:r>
      <w:r>
        <w:lastRenderedPageBreak/>
        <w:t>products derived from Neptunia oleracea. The reported side effects of arsenic toxicity in plants, such as deformation of tissues and necrosis, underscore the need for stringent quality control measures to minimize exposure to arsenic during the production process. None of the compliance, safety dosage, or safety warning facts were found, indicating a need for further regulatory assessment.</w:t>
      </w:r>
    </w:p>
    <w:p w14:paraId="6723846A" w14:textId="77777777" w:rsidR="00AB2E31" w:rsidRDefault="00000000">
      <w:pPr>
        <w:pStyle w:val="CustomHeading"/>
      </w:pPr>
      <w:r>
        <w:t>Strategic Analysis and Product Opportunities for Neptunia Oleracea</w:t>
      </w:r>
    </w:p>
    <w:p w14:paraId="589BCA32" w14:textId="77777777" w:rsidR="00AB2E31" w:rsidRDefault="00000000">
      <w:pPr>
        <w:pStyle w:val="CustomBody"/>
      </w:pPr>
      <w:r>
        <w:t>Although there are no explicit trend facts available, the cultural significance and traditional use of Neptunia oleracea suggest a potential market opportunity. The technical feasibility of developing new products is supported by scientific studies indicating its potential as a phytoremediator. However, critical constraints include the need to avoid arsenic contamination and ensure the safety of products derived from Neptunia oleracea. A strategic recommendation would involve focusing on its unique properties, particularly its potential as a phytoremediator and its traditional use in Thai medicine. This could involve developing products for environmental cleanup applications or creating health supplements, provided that thorough toxicological and safety assessments are conducted.</w:t>
      </w:r>
    </w:p>
    <w:p w14:paraId="6BA8CB62" w14:textId="77777777" w:rsidR="00AB2E31" w:rsidRDefault="00000000">
      <w:pPr>
        <w:pStyle w:val="CustomHeading"/>
      </w:pPr>
      <w:r>
        <w:t>Herbal Knowledge Summary of Neptunia Oleracea</w:t>
      </w:r>
    </w:p>
    <w:p w14:paraId="458F6C08" w14:textId="0EB60C2D" w:rsidR="00AB2E31" w:rsidRDefault="00000000">
      <w:pPr>
        <w:pStyle w:val="CustomBody"/>
      </w:pPr>
      <w:r>
        <w:t>Neptunia oleracea</w:t>
      </w:r>
      <w:r w:rsidR="00BC7F06">
        <w:rPr>
          <w:rFonts w:hint="cs"/>
          <w:cs/>
          <w:lang w:bidi="th-TH"/>
        </w:rPr>
        <w:t xml:space="preserve"> </w:t>
      </w:r>
      <w:r>
        <w:t>has been used for healing in Thai wisdom for a long time. It is believed to have various health benefits, including aiding in digestion and relieving symptoms of certain illnesses. The context discusses Thai traditional medicine and its uses, as well as the benefits of using traditional medicine in modern times.</w:t>
      </w:r>
    </w:p>
    <w:p w14:paraId="2A304B4B" w14:textId="77777777" w:rsidR="00AB2E31" w:rsidRDefault="00000000">
      <w:pPr>
        <w:pStyle w:val="CustomHeading"/>
      </w:pPr>
      <w:r>
        <w:t>Conclusion on Neptunia Oleracea</w:t>
      </w:r>
    </w:p>
    <w:p w14:paraId="19C554AA" w14:textId="77777777" w:rsidR="00AB2E31" w:rsidRDefault="00000000">
      <w:pPr>
        <w:pStyle w:val="CustomBody"/>
      </w:pPr>
      <w:r>
        <w:t>In conclusion, Neptunia oleracea presents a fascinating case of traditional wisdom meeting modern applications. With its potential as a phytoremediator and its traditional use in Thai medicine, there are opportunities for product development that could leverage its unique properties. However, any such development must prioritize rigorous scientific testing to validate the safety and efficacy of Neptunia oleracea-based products, ensuring that traditional knowledge is harnessed responsibly and sustainably.</w:t>
      </w:r>
    </w:p>
    <w:p w14:paraId="3FC1262D" w14:textId="77777777" w:rsidR="00AB2E31" w:rsidRDefault="00000000">
      <w:pPr>
        <w:pStyle w:val="CustomHeading"/>
      </w:pPr>
      <w:r>
        <w:t>Sources Consulted</w:t>
      </w:r>
    </w:p>
    <w:p w14:paraId="6FE274A5" w14:textId="77777777" w:rsidR="00AB2E31" w:rsidRDefault="00000000">
      <w:pPr>
        <w:pStyle w:val="CustomBody"/>
      </w:pPr>
      <w:r>
        <w:t>[1] https://pmc.ncbi.nlm.nih.gov/articles/PMC7694506/</w:t>
      </w:r>
      <w:r>
        <w:br/>
        <w:t>[2] https://wikicommunity.sac.or.th/community/2576</w:t>
      </w:r>
      <w:r>
        <w:br/>
        <w:t>[3] https://ethnicredb.sac.or.th/research_detail.php?id=1839</w:t>
      </w:r>
      <w:r>
        <w:br/>
        <w:t>[4] https://wikicommunity.sac.or.th/community/2696</w:t>
      </w:r>
    </w:p>
    <w:sectPr w:rsidR="00AB2E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364317">
    <w:abstractNumId w:val="8"/>
  </w:num>
  <w:num w:numId="2" w16cid:durableId="1173375820">
    <w:abstractNumId w:val="6"/>
  </w:num>
  <w:num w:numId="3" w16cid:durableId="896088142">
    <w:abstractNumId w:val="5"/>
  </w:num>
  <w:num w:numId="4" w16cid:durableId="924727932">
    <w:abstractNumId w:val="4"/>
  </w:num>
  <w:num w:numId="5" w16cid:durableId="1224099542">
    <w:abstractNumId w:val="7"/>
  </w:num>
  <w:num w:numId="6" w16cid:durableId="659118593">
    <w:abstractNumId w:val="3"/>
  </w:num>
  <w:num w:numId="7" w16cid:durableId="1174803612">
    <w:abstractNumId w:val="2"/>
  </w:num>
  <w:num w:numId="8" w16cid:durableId="643236801">
    <w:abstractNumId w:val="1"/>
  </w:num>
  <w:num w:numId="9" w16cid:durableId="105393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2E31"/>
    <w:rsid w:val="00B47730"/>
    <w:rsid w:val="00B703DA"/>
    <w:rsid w:val="00BC7F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FD3FE"/>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2025-12-07T12:42:00Z</dcterms:modified>
  <cp:category/>
</cp:coreProperties>
</file>