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BFE89" w14:textId="77777777" w:rsidR="00532E36" w:rsidRDefault="00000000">
      <w:pPr>
        <w:pStyle w:val="Title"/>
      </w:pPr>
      <w:r>
        <w:t>Melientha suavis: Exploring Traditional Wisdom and Modern Applications</w:t>
      </w:r>
    </w:p>
    <w:p w14:paraId="38E08272" w14:textId="77777777" w:rsidR="00532E36" w:rsidRDefault="00000000">
      <w:pPr>
        <w:pStyle w:val="CustomBody"/>
      </w:pPr>
      <w:r>
        <w:t>Generated on December 04, 2025</w:t>
      </w:r>
    </w:p>
    <w:p w14:paraId="17F91D7E" w14:textId="77777777" w:rsidR="00532E36" w:rsidRDefault="00000000">
      <w:pPr>
        <w:pStyle w:val="CustomBody"/>
      </w:pPr>
      <w:r>
        <w:t>Prepared by Academic Research by Crew with students of Thammasat University</w:t>
      </w:r>
    </w:p>
    <w:p w14:paraId="4AED2897" w14:textId="77777777" w:rsidR="00532E36" w:rsidRDefault="00000000">
      <w:r>
        <w:br w:type="page"/>
      </w:r>
    </w:p>
    <w:p w14:paraId="073AFD14" w14:textId="77777777" w:rsidR="00532E36" w:rsidRDefault="00000000">
      <w:pPr>
        <w:pStyle w:val="CustomHeading"/>
      </w:pPr>
      <w:r>
        <w:lastRenderedPageBreak/>
        <w:t>Melientha suavis: Exploring Traditional Wisdom and Modern Applications</w:t>
      </w:r>
    </w:p>
    <w:p w14:paraId="7D0BA208" w14:textId="77777777" w:rsidR="00532E36" w:rsidRDefault="00000000">
      <w:pPr>
        <w:pStyle w:val="CustomHeading"/>
      </w:pPr>
      <w:r>
        <w:t>Introduction to Melientha suavis Trends</w:t>
      </w:r>
    </w:p>
    <w:p w14:paraId="42540ED5" w14:textId="1CF00269" w:rsidR="00532E36" w:rsidRDefault="00000000">
      <w:pPr>
        <w:pStyle w:val="CustomBody"/>
      </w:pPr>
      <w:r>
        <w:t xml:space="preserve">The trend facts surrounding </w:t>
      </w:r>
      <w:proofErr w:type="spellStart"/>
      <w:r>
        <w:t>Melientha</w:t>
      </w:r>
      <w:proofErr w:type="spellEnd"/>
      <w:r>
        <w:t xml:space="preserve"> </w:t>
      </w:r>
      <w:proofErr w:type="spellStart"/>
      <w:r>
        <w:t>suavis</w:t>
      </w:r>
      <w:proofErr w:type="spellEnd"/>
      <w:r w:rsidR="00B23FDC">
        <w:rPr>
          <w:rFonts w:hint="cs"/>
          <w:cs/>
          <w:lang w:bidi="th-TH"/>
        </w:rPr>
        <w:t xml:space="preserve"> </w:t>
      </w:r>
      <w:r>
        <w:t>are not explicitly mentioned in the provided context. However, the presence of multiple food registrations for products containing Melientha suavis in Thailand indicates a potential market for products utilizing this herb. The cultural significance and traditional use of Melientha suavis in Thai communities further support the potential for developing products that cater to the demand for traditional and culturally relevant health and wellness solutions.</w:t>
      </w:r>
    </w:p>
    <w:p w14:paraId="2DC9D9DF" w14:textId="77777777" w:rsidR="00532E36" w:rsidRDefault="00000000">
      <w:pPr>
        <w:pStyle w:val="CustomHeading"/>
      </w:pPr>
      <w:r>
        <w:t>Scientific Deep-Dive into Melientha suavis</w:t>
      </w:r>
    </w:p>
    <w:p w14:paraId="33B80758" w14:textId="77777777" w:rsidR="00532E36" w:rsidRDefault="00000000">
      <w:pPr>
        <w:pStyle w:val="CustomBody"/>
      </w:pPr>
      <w:r>
        <w:t>The scientific facts about Melientha suavis are limited in the provided context. The herb is mentioned as Melientha suavis, but there is no specific information about its compounds, extraction methods, or pharmacological findings. However, the fact that Melientha suavis may be confused with the poisonous Urobotrya siamensis highlights the need for rigorous quality control measures to ensure the correct identification and safe use of Melientha suavis in product development.</w:t>
      </w:r>
    </w:p>
    <w:p w14:paraId="022CA00C" w14:textId="77777777" w:rsidR="00532E36" w:rsidRDefault="00000000">
      <w:pPr>
        <w:pStyle w:val="CustomHeading"/>
      </w:pPr>
      <w:r>
        <w:t xml:space="preserve">Traditional Wisdom of </w:t>
      </w:r>
      <w:proofErr w:type="spellStart"/>
      <w:r>
        <w:t>Melientha</w:t>
      </w:r>
      <w:proofErr w:type="spellEnd"/>
      <w:r>
        <w:t xml:space="preserve"> </w:t>
      </w:r>
      <w:proofErr w:type="spellStart"/>
      <w:r>
        <w:t>suavis</w:t>
      </w:r>
      <w:proofErr w:type="spellEnd"/>
    </w:p>
    <w:p w14:paraId="0504AAC7" w14:textId="0F8EFC7F" w:rsidR="00532E36" w:rsidRDefault="00000000">
      <w:pPr>
        <w:pStyle w:val="CustomBody"/>
      </w:pPr>
      <w:r>
        <w:t>The traditional wisdom surrounding Melientha suavis is rooted in its use in Thai traditional medicine. Wild Bitter Gourd has been used for a long time and is believed to have various health benefits, including aiding digestion and relieving symptoms of certain diseases. According to Thai wisdom, Wild Bitter Gourd can be used as a remedy for various health issues, including fever, rheumatism, and skin problems. It is also believed to have anti-inflammatory properties and can be used to treat wounds and injuries. Additionally, Wild Bitter Gourd is said to have antioxidant properties, which can help protect the body against free radicals and oxidative stress. The communities of Thung Ma Seo Yor, Ban Phrao, and Ban Non Sang Si have a deep understanding of the medicinal properties of Wild Bitter Gourd, using it to treat a variety of ailments.</w:t>
      </w:r>
    </w:p>
    <w:p w14:paraId="1F18538A" w14:textId="77777777" w:rsidR="00532E36" w:rsidRDefault="00000000">
      <w:pPr>
        <w:pStyle w:val="CustomHeading"/>
      </w:pPr>
      <w:r>
        <w:t>Safety, Regulatory, and Constraints of Melientha suavis</w:t>
      </w:r>
    </w:p>
    <w:p w14:paraId="034984F0" w14:textId="77777777" w:rsidR="00532E36" w:rsidRDefault="00000000">
      <w:pPr>
        <w:pStyle w:val="CustomBody"/>
      </w:pPr>
      <w:r>
        <w:t xml:space="preserve">The safety and regulatory facts surrounding Melientha suavis are critical due to its potential confusion with the poisonous Urobotrya siamensis. Symptoms of Urobotrya poisoning include sore throat, sore lips, swollen tongue, and gastrointestinal signs. The case reports of poisoning outbreaks, including the incident in Pailin Province, Cambodia, in 2005, underscore the importance of strict quality control and safety protocols to prevent such adverse events. The development of new products must prioritize the safe </w:t>
      </w:r>
      <w:r>
        <w:lastRenderedPageBreak/>
        <w:t>and accurate identification of Melientha suavis, as well as the implementation of appropriate dosage limits and safety warnings to mitigate the risk of toxicity.</w:t>
      </w:r>
    </w:p>
    <w:p w14:paraId="367D92AD" w14:textId="77777777" w:rsidR="00532E36" w:rsidRDefault="00000000">
      <w:pPr>
        <w:pStyle w:val="CustomHeading"/>
      </w:pPr>
      <w:r>
        <w:t>Strategic Analysis and Product Opportunities for Melientha suavis</w:t>
      </w:r>
    </w:p>
    <w:p w14:paraId="0A70C621" w14:textId="77777777" w:rsidR="00532E36" w:rsidRDefault="00000000">
      <w:pPr>
        <w:pStyle w:val="CustomBody"/>
      </w:pPr>
      <w:r>
        <w:t>The strategic plan for new product development based on Melientha suavis involves capitalizing on the potential market opportunity indicated by the presence of multiple food registrations for products containing this herb in Thailand. The cultural significance and traditional use of Melientha suavis in Thai communities support the development of products that are both culturally relevant and safe for consumption. However, the technical feasibility of such development is constrained by the lack of specific lab facts and the need for rigorous quality control to prevent confusion with the poisonous Urobotrya siamensis. The strategic recommendation is to pursue the development of new products that utilize Melientha suavis, while prioritizing safety and quality control, and potentially collaborating with traditional Thai medicine practitioners and local communities.</w:t>
      </w:r>
    </w:p>
    <w:p w14:paraId="236D8AD9" w14:textId="77777777" w:rsidR="00532E36" w:rsidRDefault="00000000">
      <w:pPr>
        <w:pStyle w:val="CustomHeading"/>
      </w:pPr>
      <w:r>
        <w:t>Herbal Knowledge Summary of Melientha suavis</w:t>
      </w:r>
    </w:p>
    <w:p w14:paraId="3C747CC6" w14:textId="271D35FA" w:rsidR="00532E36" w:rsidRDefault="00000000">
      <w:pPr>
        <w:pStyle w:val="CustomBody"/>
      </w:pPr>
      <w:proofErr w:type="spellStart"/>
      <w:r>
        <w:t>Melientha</w:t>
      </w:r>
      <w:proofErr w:type="spellEnd"/>
      <w:r>
        <w:t xml:space="preserve"> </w:t>
      </w:r>
      <w:proofErr w:type="spellStart"/>
      <w:r>
        <w:t>suavis</w:t>
      </w:r>
      <w:proofErr w:type="spellEnd"/>
      <w:r w:rsidR="00B23FDC">
        <w:rPr>
          <w:rFonts w:hint="cs"/>
          <w:cs/>
          <w:lang w:bidi="th-TH"/>
        </w:rPr>
        <w:t xml:space="preserve"> </w:t>
      </w:r>
      <w:r>
        <w:t>is not explicitly mentioned in the provided context as having specific herbal properties or uses. However, the context discusses Thai traditional medicine and its usage in treating various health conditions. According to the context, Thai traditional medicine is considered old-fashioned and not suitable for modern times, but it has been used effectively in treating minor illnesses and initial stages of diseases. The context also highlights the importance of using Thai traditional medicine to reduce medical expenses and promote self-reliance in healthcare. Additionally, the context mentions the use of certain plants and herbs in traditional Thai medicine, which are believed to be safe from chemicals and can be used as a food source. Wild Bitter Gourd has been used in Thai traditional medicine for a long time and is believed to have various health benefits, including aiding digestion and relieving symptoms of certain diseases.</w:t>
      </w:r>
    </w:p>
    <w:p w14:paraId="5BE39EE1" w14:textId="77777777" w:rsidR="00532E36" w:rsidRDefault="00000000">
      <w:pPr>
        <w:pStyle w:val="CustomHeading"/>
      </w:pPr>
      <w:r>
        <w:t>Conclusion on Melientha suavis</w:t>
      </w:r>
    </w:p>
    <w:p w14:paraId="46530D9B" w14:textId="5EA9985B" w:rsidR="00532E36" w:rsidRDefault="00000000">
      <w:pPr>
        <w:pStyle w:val="CustomBody"/>
      </w:pPr>
      <w:r>
        <w:t xml:space="preserve">In conclusion, </w:t>
      </w:r>
      <w:proofErr w:type="spellStart"/>
      <w:r>
        <w:t>Melientha</w:t>
      </w:r>
      <w:proofErr w:type="spellEnd"/>
      <w:r>
        <w:t xml:space="preserve"> </w:t>
      </w:r>
      <w:proofErr w:type="spellStart"/>
      <w:r>
        <w:t>suavis</w:t>
      </w:r>
      <w:proofErr w:type="spellEnd"/>
      <w:r>
        <w:t>, presents a potential market opportunity for the development of new products that are both culturally relevant and safe for consumption. The traditional wisdom surrounding this herb, combined with its potential health benefits, supports the pursuit of product development that prioritizes safety and quality control. However, the lack of specific lab facts and the need for rigorous quality control to prevent confusion with the poisonous Urobotrya siamensis must be addressed through further research and development.</w:t>
      </w:r>
    </w:p>
    <w:p w14:paraId="4FD7CD2E" w14:textId="77777777" w:rsidR="00532E36" w:rsidRDefault="00000000">
      <w:pPr>
        <w:pStyle w:val="CustomHeading"/>
      </w:pPr>
      <w:r>
        <w:t>Sources Consulted</w:t>
      </w:r>
    </w:p>
    <w:p w14:paraId="24E730E2" w14:textId="77777777" w:rsidR="00532E36" w:rsidRDefault="00000000">
      <w:pPr>
        <w:pStyle w:val="CustomBody"/>
      </w:pPr>
      <w:r>
        <w:lastRenderedPageBreak/>
        <w:t>[1] https://pubmed.ncbi.nlm.nih.gov/19278704/</w:t>
      </w:r>
      <w:r>
        <w:br/>
        <w:t>[2] https://www.fda.moph.go.th/</w:t>
      </w:r>
      <w:r>
        <w:br/>
        <w:t>[3] https://dailymed.nlm.nih.gov/</w:t>
      </w:r>
      <w:r>
        <w:br/>
        <w:t>[4] https://pubmed.ncbi.nlm.nih.gov/19278704/</w:t>
      </w:r>
      <w:r>
        <w:br/>
        <w:t>[5] https://wikicommunity.sac.or.th/community/167</w:t>
      </w:r>
      <w:r>
        <w:br/>
        <w:t>[6] https://wikicommunity.sac.or.th/community/2544</w:t>
      </w:r>
      <w:r>
        <w:br/>
        <w:t>[7] https://ethnicredb.sac.or.th/research_detail.php?id=545</w:t>
      </w:r>
    </w:p>
    <w:sectPr w:rsidR="00532E36" w:rsidSect="008A76B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7968868">
    <w:abstractNumId w:val="8"/>
  </w:num>
  <w:num w:numId="2" w16cid:durableId="599337227">
    <w:abstractNumId w:val="6"/>
  </w:num>
  <w:num w:numId="3" w16cid:durableId="384372511">
    <w:abstractNumId w:val="5"/>
  </w:num>
  <w:num w:numId="4" w16cid:durableId="217711413">
    <w:abstractNumId w:val="4"/>
  </w:num>
  <w:num w:numId="5" w16cid:durableId="248806757">
    <w:abstractNumId w:val="7"/>
  </w:num>
  <w:num w:numId="6" w16cid:durableId="2054042416">
    <w:abstractNumId w:val="3"/>
  </w:num>
  <w:num w:numId="7" w16cid:durableId="792361094">
    <w:abstractNumId w:val="2"/>
  </w:num>
  <w:num w:numId="8" w16cid:durableId="1684941727">
    <w:abstractNumId w:val="1"/>
  </w:num>
  <w:num w:numId="9" w16cid:durableId="99110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E36"/>
    <w:rsid w:val="006D158D"/>
    <w:rsid w:val="008A76B4"/>
    <w:rsid w:val="00AA1D8D"/>
    <w:rsid w:val="00B23FDC"/>
    <w:rsid w:val="00B47730"/>
    <w:rsid w:val="00B703DA"/>
    <w:rsid w:val="00CB0664"/>
    <w:rsid w:val="00DF79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783F8"/>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5</cp:revision>
  <dcterms:created xsi:type="dcterms:W3CDTF">2013-12-23T23:15:00Z</dcterms:created>
  <dcterms:modified xsi:type="dcterms:W3CDTF">2025-12-07T13:04:00Z</dcterms:modified>
  <cp:category/>
</cp:coreProperties>
</file>