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0AA57" w14:textId="77777777" w:rsidR="005D3ECC" w:rsidRDefault="00000000">
      <w:pPr>
        <w:pStyle w:val="Title"/>
      </w:pPr>
      <w:r>
        <w:t>Turmeric: From Ancient Wisdom to Modern Strategy</w:t>
      </w:r>
    </w:p>
    <w:p w14:paraId="5CA38526" w14:textId="77777777" w:rsidR="005D3ECC" w:rsidRDefault="00000000">
      <w:pPr>
        <w:pStyle w:val="CustomBody"/>
      </w:pPr>
      <w:r>
        <w:t>Generated on December 24, 2025</w:t>
      </w:r>
    </w:p>
    <w:p w14:paraId="0837EFD4" w14:textId="77777777" w:rsidR="005D3ECC" w:rsidRDefault="00000000">
      <w:pPr>
        <w:pStyle w:val="CustomBody"/>
      </w:pPr>
      <w:r>
        <w:t>Prepared by Academic Research by Crew with students of Thammasat University</w:t>
      </w:r>
    </w:p>
    <w:p w14:paraId="64F85681" w14:textId="77777777" w:rsidR="005D3ECC" w:rsidRDefault="00000000">
      <w:r>
        <w:br w:type="page"/>
      </w:r>
    </w:p>
    <w:p w14:paraId="261B7F70" w14:textId="77777777" w:rsidR="005D3ECC" w:rsidRDefault="00000000">
      <w:pPr>
        <w:pStyle w:val="CustomHeading"/>
      </w:pPr>
      <w:r>
        <w:lastRenderedPageBreak/>
        <w:t>Turmeric: From Ancient Wisdom to Modern Strategy</w:t>
      </w:r>
    </w:p>
    <w:p w14:paraId="07F4A6BC" w14:textId="77777777" w:rsidR="005D3ECC" w:rsidRDefault="00000000">
      <w:pPr>
        <w:pStyle w:val="CustomHeading"/>
      </w:pPr>
      <w:r>
        <w:t>Herbal in Wellness Trends</w:t>
      </w:r>
    </w:p>
    <w:p w14:paraId="4FAD32DE" w14:textId="77777777" w:rsidR="005D3ECC" w:rsidRDefault="00000000">
      <w:pPr>
        <w:pStyle w:val="CustomBody"/>
      </w:pPr>
      <w:r>
        <w:t>Turmeric is experiencing a surge in popularity as consumers seek food ingredients to boost their immune systems, with US retail sales rising by 68% in the 14 weeks leading up to June 6. This increase suggests a growing awareness of turmeric's potential health benefits and its role in supporting overall wellness during the pandemic. In Malaysia's cuisine and wellness traditions, turmeric is leveraged along with other local fruits, vegetables, herbs, and spices, celebrating not only their taste and color but also their healing properties. Furthermore, in the context of ancient beauty and modern skincare, turmeric is employed as a key botanical for its healing properties, introducing an emotional and ecological depth that enhances user connection.</w:t>
      </w:r>
    </w:p>
    <w:p w14:paraId="42854DCF" w14:textId="77777777" w:rsidR="005D3ECC" w:rsidRDefault="00000000">
      <w:pPr>
        <w:pStyle w:val="CustomHeading"/>
      </w:pPr>
      <w:r>
        <w:t>Scientific Deep-Dive</w:t>
      </w:r>
    </w:p>
    <w:p w14:paraId="0F06CBE7" w14:textId="77777777" w:rsidR="005D3ECC" w:rsidRDefault="00000000">
      <w:pPr>
        <w:pStyle w:val="CustomBody"/>
      </w:pPr>
      <w:r>
        <w:t xml:space="preserve">The scientific community has identified Curcuma longa as the herb and curcumin as the key compound responsible for turmeric's therapeutic benefits. Research has shown that curcumin has significant therapeutic promise but is limited by poor oral bioavailability. Studies have compared the pharmacokinetics of novel standardized extracts like BioTurm with market standards, demonstrating significantly higher bioavailability without the need for additional bioavailability enhancers like piperine. </w:t>
      </w:r>
    </w:p>
    <w:p w14:paraId="12C91E42" w14:textId="77777777" w:rsidR="005D3ECC" w:rsidRDefault="00000000">
      <w:pPr>
        <w:pStyle w:val="CustomBody"/>
      </w:pPr>
      <w:r>
        <w:t xml:space="preserve">Scientific Research: </w:t>
      </w:r>
      <w:r>
        <w:br/>
        <w:t xml:space="preserve">Introduction Curcumin (95%) from Curcuma longa rhizomes holds significant therapeutic promise, but its clinical efficacy is limited by poor oral bioavailability due to rapid metabolism, poor solubility, and quick elimination. This study compared the pharmacokinetics of BioTurm, a novel standardized extract, with the market standards of Curcuma longa (95% curcumin) with piperine extract, a known bioavailability enhancer. Methods A single-dose, open-label, randomized, three-arm, comparative study was conducted in 14 healthy volunteers (aged 21-30 years). Participants were randomized into three groups: group A - BioTurm extract (standardized to 45% curcuminoids and 4.5% ar-turmerone, n = 5), group B (95% curcuminoids with 1% piperine, n = 4), and group C (95% curcuminoids with 10% piperine, n = 5). Following single oral dose administration, blood samples were collected at multiple time points over eight hours. Plasma concentrations were analyzed using validated liquid chromatography-tandem mass spectrometry (LC-MS/MS), and pharmacokinetic (PK) parameters were determined. Results BioTurm (group A) achieved significantly higher bioavailability than market-standard group B, with a C(max) of 647.97 ng/mL vs. 10.94 ng/mL. Group C, containing 10% piperine, achieved a comparable C(max) (663.60 ng/mL) and area under the curve (AUC(0)-(2)(4): 1479.89 ng.hr/mL). Ar-turmerone from BioTurm was detectable throughout the sampling period, peaking at two hours. No adverse events were reported. </w:t>
      </w:r>
      <w:r>
        <w:lastRenderedPageBreak/>
        <w:t>Conclusion BioTurm showed significantly enhanced bioavailability over the standard curcumin-piperine (1%) combination, without requiring additional enhancers. Only a high dose of piperine (10%) could match its PK profile. The presence of ar-turmerone and curcuminoids in BioTurm suggests a synergistic effect, offering a simplified and effective alternative to piperine-based formulations with potential therapeutic advantages.</w:t>
      </w:r>
      <w:r>
        <w:br/>
        <w:t>Turmeric and curcumin have been associated with a low rate of transient serum enzyme elevations during therapy, and while having a long history of safety, some turmeric products have recently been implicated in several dozen instances of clinically apparent acute liver injury.</w:t>
      </w:r>
    </w:p>
    <w:p w14:paraId="489A8C70" w14:textId="77777777" w:rsidR="005D3ECC" w:rsidRDefault="00000000">
      <w:pPr>
        <w:pStyle w:val="CustomHeading"/>
      </w:pPr>
      <w:r>
        <w:t>Traditional Wisdom</w:t>
      </w:r>
    </w:p>
    <w:p w14:paraId="6C0A82F2" w14:textId="77777777" w:rsidR="005D3ECC" w:rsidRDefault="00000000">
      <w:pPr>
        <w:pStyle w:val="CustomBody"/>
      </w:pPr>
      <w:r>
        <w:t>Turmeric has been deeply intertwined with traditional Thai medicine and herbal practices, particularly in communities like the Dong Bang Agricultural Group, which specializes in organic herbal cultivation. This group supplies high-quality raw materials to hospitals for processing into various products, ensuring residue-free ingredients through strict quality control measures. Their collaboration with the Abhaibhubejhr Thai Traditional Medicine Museum enhances knowledge preservation and dissemination, making them a leader in integrating traditional herbal wisdom with modern production standards. The use of turmeric is also highlighted in the context of Ban Thoop Hom Samunphrai, a community enterprise that produces and processes local herbs into mosquito-repellent incense, herbal sprays, and other handcrafted products, leveraging traditional wisdom to create value-added goods. Additionally, Wat Phra Chetuphon Wimon Mangkhalaram is renowned for its stone inscriptions of traditional Thai medical knowledge, including the uses and properties of turmeric, serving as invaluable references for both the public and practitioners.</w:t>
      </w:r>
    </w:p>
    <w:p w14:paraId="6A4E6B15" w14:textId="77777777" w:rsidR="005D3ECC" w:rsidRDefault="00000000">
      <w:pPr>
        <w:pStyle w:val="CustomHeading"/>
      </w:pPr>
      <w:r>
        <w:t>Safety, Regulatory, and Constraints</w:t>
      </w:r>
    </w:p>
    <w:p w14:paraId="5D6EF77E" w14:textId="77777777" w:rsidR="005D3ECC" w:rsidRDefault="00000000">
      <w:pPr>
        <w:pStyle w:val="CustomBody"/>
      </w:pPr>
      <w:r>
        <w:t>The safety and regulatory aspects of turmeric are critical, with compliance facts indicating various product registrations and statuses. However, the toxicity fact summary reveals that turmeric and curcumin have been associated with a low rate of transient serum enzyme elevations and have been implicated in several dozen instances of clinically apparent acute liver injury. The mechanism of this injury appears to be idiosyncratic, potentially immunologically mediated, with an association with the HLA allele B*35:01. Side effects include dermatitis, gastrointestinal upset, fatigue, nausea, poor appetite, dark urine, and jaundice. It is essential to consider these safety and regulatory constraints when developing turmeric-based products.</w:t>
      </w:r>
    </w:p>
    <w:p w14:paraId="05198813" w14:textId="77777777" w:rsidR="005D3ECC" w:rsidRDefault="00000000">
      <w:pPr>
        <w:pStyle w:val="CustomHeading"/>
      </w:pPr>
      <w:r>
        <w:t>Strategic Analysis and Product Opportunities</w:t>
      </w:r>
    </w:p>
    <w:p w14:paraId="3F85F893" w14:textId="77777777" w:rsidR="005D3ECC" w:rsidRDefault="00000000">
      <w:pPr>
        <w:pStyle w:val="CustomBody"/>
      </w:pPr>
      <w:r>
        <w:lastRenderedPageBreak/>
        <w:t>The strategic plan for new product development based on the Master Fact Sheet identifies a significant market opportunity in the surge of turmeric's popularity as a food ingredient to boost immune systems. The technical feasibility of developing turmeric-based products is supported by the identification of curcumin as a key compound and the existence of various extraction methods. However, critical constraints related to safety and toxicity must be addressed, including the potential for liver injury. The strategic recommendation is to develop a turmeric-based product line that prioritizes safety, considers formulations that enhance bioavailability without increasing the risk of liver injury, and ensures strict quality control measures.</w:t>
      </w:r>
    </w:p>
    <w:p w14:paraId="119DF7AC" w14:textId="77777777" w:rsidR="005D3ECC" w:rsidRDefault="00000000">
      <w:pPr>
        <w:pStyle w:val="CustomHeading"/>
      </w:pPr>
      <w:r>
        <w:t>Herbal Knowledge Summary</w:t>
      </w:r>
    </w:p>
    <w:p w14:paraId="743333E9" w14:textId="77777777" w:rsidR="005D3ECC" w:rsidRDefault="00000000">
      <w:pPr>
        <w:pStyle w:val="CustomBody"/>
      </w:pPr>
      <w:r>
        <w:t>Curcuma longa, commonly known as turmeric, is referenced in the context of traditional Thai medicine and herbal practices. The use of such herbs is highlighted as being effective, particularly for minor illnesses, and is considered a cost-saving alternative to modern pharmaceuticals. Thai traditional medicine is rooted in indigenous wisdom, passed down through generations, and is regarded as trustworthy by local communities. Additionally, the use of locally grown herbs, including those like turmeric, is promoted for safety from chemical contamination, self-sufficiency, and continual availability for consumption as both food and medicine. Curcuma longa has played a significant role in Thai traditional wisdom and medicine, traditionally incorporated into daily diets and used as a remedy for various ailments. Its continued use is encouraged for maintaining robust health and reducing national healthcare expenses.</w:t>
      </w:r>
    </w:p>
    <w:p w14:paraId="6B5B54D9" w14:textId="77777777" w:rsidR="005D3ECC" w:rsidRDefault="00000000">
      <w:pPr>
        <w:pStyle w:val="CustomHeading"/>
      </w:pPr>
      <w:r>
        <w:t>Conclusion</w:t>
      </w:r>
    </w:p>
    <w:p w14:paraId="29D2F58E" w14:textId="77777777" w:rsidR="005D3ECC" w:rsidRDefault="00000000">
      <w:pPr>
        <w:pStyle w:val="CustomBody"/>
      </w:pPr>
      <w:r>
        <w:t>In conclusion, turmeric, with its rich history in traditional Thai medicine and its growing popularity as a wellness ingredient, presents a significant market opportunity for product development. However, it is crucial to address the safety and toxicity constraints associated with turmeric and curcumin, ensuring that any product development prioritizes safety and efficacy. By leveraging traditional wisdom, modern extraction methods, and strict quality control, it is possible to develop turmeric-based products that not only support immune systems and overall wellness but also contribute to the preservation of traditional herbal knowledge and the promotion of sustainable livelihoods.</w:t>
      </w:r>
    </w:p>
    <w:p w14:paraId="798B65F2" w14:textId="77777777" w:rsidR="005D3ECC" w:rsidRDefault="00000000">
      <w:pPr>
        <w:pStyle w:val="CustomHeading"/>
      </w:pPr>
      <w:r>
        <w:t>Sources Consulted</w:t>
      </w:r>
    </w:p>
    <w:p w14:paraId="73D2E24E" w14:textId="77777777" w:rsidR="005D3ECC" w:rsidRDefault="00000000">
      <w:pPr>
        <w:pStyle w:val="CustomBody"/>
      </w:pPr>
      <w:r>
        <w:t>[1] https://globalwellnessinstitute.org/global-wellness-institute-blog/2020/07/14/accelerating-wellness-trends/</w:t>
      </w:r>
      <w:r>
        <w:br/>
        <w:t>[2] https://globalwellnessinstitute.org/wellness-in-malaysia/</w:t>
      </w:r>
      <w:r>
        <w:br/>
        <w:t>[3] https://globalwellnessinstitute.org/global-wellness-institute-blog/2025/10/21/ancient-beauty-modern-glow-how-traditional-medicine-is-quietly-transforming-skincare/</w:t>
      </w:r>
      <w:r>
        <w:br/>
      </w:r>
      <w:r>
        <w:lastRenderedPageBreak/>
        <w:t>[4] https://doi.org/10.7759/cureus.97127</w:t>
      </w:r>
      <w:r>
        <w:br/>
        <w:t>[5] https://doi.org/10.3389/ftox.2025.1691014</w:t>
      </w:r>
      <w:r>
        <w:br/>
        <w:t>[6] https://doi.org/10.1002/cbdv.202502558</w:t>
      </w:r>
      <w:r>
        <w:br/>
        <w:t>[7] https://www.fda.moph.go.th/</w:t>
      </w:r>
      <w:r>
        <w:br/>
        <w:t>[8] https://dailymed.nlm.nih.gov/dailymed/drugInfo.cfm?setid=2351796b-7f99-8377-e063-6394a90a4623</w:t>
      </w:r>
      <w:r>
        <w:br/>
        <w:t>[9] https://www.ncbi.nlm.nih.gov/books/NBK548561/</w:t>
      </w:r>
      <w:r>
        <w:br/>
        <w:t>[10] https://db.sac.or.th/museum/museum-detail/873</w:t>
      </w:r>
      <w:r>
        <w:br/>
        <w:t>[11] https://wikicommunity.sac.or.th/community/2737</w:t>
      </w:r>
      <w:r>
        <w:br/>
        <w:t>[12] https://db.sac.or.th/inscriptions/inscribe/detail/17721</w:t>
      </w:r>
    </w:p>
    <w:sectPr w:rsidR="005D3E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7077434">
    <w:abstractNumId w:val="8"/>
  </w:num>
  <w:num w:numId="2" w16cid:durableId="695741477">
    <w:abstractNumId w:val="6"/>
  </w:num>
  <w:num w:numId="3" w16cid:durableId="1715423416">
    <w:abstractNumId w:val="5"/>
  </w:num>
  <w:num w:numId="4" w16cid:durableId="2044863437">
    <w:abstractNumId w:val="4"/>
  </w:num>
  <w:num w:numId="5" w16cid:durableId="1425148086">
    <w:abstractNumId w:val="7"/>
  </w:num>
  <w:num w:numId="6" w16cid:durableId="70323112">
    <w:abstractNumId w:val="3"/>
  </w:num>
  <w:num w:numId="7" w16cid:durableId="1046754888">
    <w:abstractNumId w:val="2"/>
  </w:num>
  <w:num w:numId="8" w16cid:durableId="58018099">
    <w:abstractNumId w:val="1"/>
  </w:num>
  <w:num w:numId="9" w16cid:durableId="219484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3ECC"/>
    <w:rsid w:val="00AA1D8D"/>
    <w:rsid w:val="00B47730"/>
    <w:rsid w:val="00CB0664"/>
    <w:rsid w:val="00E4091A"/>
    <w:rsid w:val="00F83C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839E56"/>
  <w14:defaultImageDpi w14:val="300"/>
  <w15:docId w15:val="{4C689AE2-21E8-6847-A5C2-F188C426E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1335</Words>
  <Characters>7611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2</cp:revision>
  <dcterms:created xsi:type="dcterms:W3CDTF">2013-12-23T23:15:00Z</dcterms:created>
  <dcterms:modified xsi:type="dcterms:W3CDTF">2025-12-24T09:24:00Z</dcterms:modified>
  <cp:category/>
</cp:coreProperties>
</file>