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FC0D" w14:textId="77777777" w:rsidR="00066F98" w:rsidRDefault="00000000">
      <w:pPr>
        <w:pStyle w:val="Title"/>
      </w:pPr>
      <w:r>
        <w:t>Turmeric: Ancient Wisdom Meets Modern Wellness Strategy</w:t>
      </w:r>
    </w:p>
    <w:p w14:paraId="3E335DA8" w14:textId="77777777" w:rsidR="00066F98" w:rsidRDefault="00000000">
      <w:pPr>
        <w:pStyle w:val="CustomBody"/>
      </w:pPr>
      <w:r>
        <w:t>Generated on December 24, 2025</w:t>
      </w:r>
    </w:p>
    <w:p w14:paraId="539CD530" w14:textId="77777777" w:rsidR="00066F98" w:rsidRDefault="00000000">
      <w:pPr>
        <w:pStyle w:val="CustomBody"/>
      </w:pPr>
      <w:r>
        <w:t>Prepared by Academic Research by Crew with students of Thammasat University</w:t>
      </w:r>
    </w:p>
    <w:p w14:paraId="42AB8680" w14:textId="77777777" w:rsidR="00066F98" w:rsidRDefault="00000000">
      <w:r>
        <w:br w:type="page"/>
      </w:r>
    </w:p>
    <w:p w14:paraId="4953C433" w14:textId="77777777" w:rsidR="00066F98" w:rsidRDefault="00000000">
      <w:pPr>
        <w:pStyle w:val="CustomHeading"/>
      </w:pPr>
      <w:r>
        <w:lastRenderedPageBreak/>
        <w:t>Turmeric: Ancient Wisdom Meets Modern Wellness Strategy</w:t>
      </w:r>
    </w:p>
    <w:p w14:paraId="2D9AC15A" w14:textId="77777777" w:rsidR="00066F98" w:rsidRDefault="00000000">
      <w:pPr>
        <w:pStyle w:val="CustomHeading"/>
      </w:pPr>
      <w:r>
        <w:t>Turmeric in Wellness Trends</w:t>
      </w:r>
    </w:p>
    <w:p w14:paraId="24F877F5" w14:textId="77777777" w:rsidR="00066F98" w:rsidRDefault="00000000">
      <w:pPr>
        <w:pStyle w:val="CustomBody"/>
      </w:pPr>
      <w:r>
        <w:t>The COVID-19 pandemic has significantly accelerated wellness trends, particularly the use of superfoods like turmeric that claim to boost immunity. Along with ginger and garlic, turmeric has experienced a substantial increase in sales as consumers actively seek ingredients to enhance their immune systems—a trend expected to become a permanent feature in the post-pandemic landscape. Simultaneously, superfood lattes featuring turmeric are rising in popularity, valued for their nutritional and anti-inflammatory properties as consumers increasingly view food as functional medicine. This shift extends to skincare, where traditional medicine practices are transforming the industry through natural ingredients and holistic approaches. Ayurveda, for instance, incorporates turmeric, neem, and amla to promote skin health, offering more sustainable beauty solutions. Malaysia's wellness scene exemplifies this integration, with its multicultural traditions deeply rooted in harmony with nature. The country's cuisine celebrates herbs and spices like turmeric for their healing properties, while its wellness ecosystem provides sophisticated fitness options, spa treatments, and world-class healthcare facilities.</w:t>
      </w:r>
    </w:p>
    <w:p w14:paraId="6B1EB8CF" w14:textId="77777777" w:rsidR="00066F98" w:rsidRDefault="00000000">
      <w:pPr>
        <w:pStyle w:val="CustomHeading"/>
      </w:pPr>
      <w:r>
        <w:t>Scientific Deep-Dive</w:t>
      </w:r>
    </w:p>
    <w:p w14:paraId="14A4CFFE" w14:textId="77777777" w:rsidR="00066F98" w:rsidRDefault="00000000">
      <w:pPr>
        <w:pStyle w:val="CustomBody"/>
      </w:pPr>
      <w:r>
        <w:t>Laboratory analysis of turmeric (Curcuma longa) has identified two key bioactive compounds: curcumin and turmerone. While the specific extraction methods weren't detailed in the available research, scientists have successfully employed TLC (Thin Layer Chromatography) and GC-MS (Gas Chromatography-Mass Spectrometry) techniques to analyze these compounds. Particularly significant is turmeric's demonstrated antibacterial activity against Staphylococcus aureus, suggesting considerable potential for development into topical antibacterial formulations. This antimicrobial property provides a scientific foundation for both traditional uses and modern applications, though comprehensive quality control specifications were not specified in the available research.</w:t>
      </w:r>
    </w:p>
    <w:p w14:paraId="11CC013E" w14:textId="77777777" w:rsidR="00066F98" w:rsidRDefault="00000000">
      <w:pPr>
        <w:pStyle w:val="CustomHeading"/>
      </w:pPr>
      <w:r>
        <w:t>Traditional Wisdom</w:t>
      </w:r>
    </w:p>
    <w:p w14:paraId="5A586351" w14:textId="77777777" w:rsidR="00066F98" w:rsidRDefault="00000000">
      <w:pPr>
        <w:pStyle w:val="CustomBody"/>
      </w:pPr>
      <w:r>
        <w:t xml:space="preserve">The Thai community has cultivated a rich tradition of herbal medicine, with Khamin Chan (turmeric) standing as one of their most valued medicinal plants due to its versatility and numerous health benefits. The name itself reflects its cultural significance—"Khamin" refers to the turmeric family while "Chan" denotes a specific type within this classification. Thriving in Thailand's tropical climate, turmeric has been integrated into local ecosystems for sustainable use. Traditional processing typically involves boiling the rhizome for disease treatment, demonstrating the community's sophisticated understanding of herbal remedies and their practical applications. </w:t>
      </w:r>
      <w:r>
        <w:lastRenderedPageBreak/>
        <w:t>Community organizations actively promote turmeric's use and preservation through workshops, farming initiatives, and educational programs, ensuring the continuation of this valuable traditional knowledge for future generations.</w:t>
      </w:r>
    </w:p>
    <w:p w14:paraId="0BE6F252" w14:textId="77777777" w:rsidR="00066F98" w:rsidRDefault="00000000">
      <w:pPr>
        <w:pStyle w:val="CustomHeading"/>
      </w:pPr>
      <w:r>
        <w:t>Safety, Regulatory, and Constraints</w:t>
      </w:r>
    </w:p>
    <w:p w14:paraId="35EAE9BD" w14:textId="77777777" w:rsidR="00066F98" w:rsidRDefault="00000000">
      <w:pPr>
        <w:pStyle w:val="CustomBody"/>
      </w:pPr>
      <w:r>
        <w:t>Multiple turmeric-based products have achieved regulatory approval in Thailand, including Turmeric Capsule (Monpunporn Group Co., Ltd.), Curcuma by A Rina (A Miracle Co., Ltd.), and Ava Turmeric (Senjuree Co., Ltd.), all with active registration status. Some previously registered products like Fried chicken with herbs (Turmeric) and Fried squid with herbs (Turmeric) from Han Business-International Co., Ltd. have cancelled registrations.</w:t>
      </w:r>
    </w:p>
    <w:p w14:paraId="1015C91C" w14:textId="77777777" w:rsidR="00066F98" w:rsidRDefault="00000000">
      <w:pPr>
        <w:pStyle w:val="CustomBody"/>
      </w:pPr>
      <w:r>
        <w:t>Safety data indicates turmeric has been formulated at a strength of 30 hp_C in 1 mL for topical veterinary applications, particularly for hooved animals. These formulations address conditions including swelling, proud flesh, stiffness, sores, cuts, burns, wounds, scurf, sutures, injury, stress, and pain. Product labeling describes these formulations as nontoxic, odor-free, child and pet safe, dye-free, non-greasy, hypoallergenic, alcohol-free, and harmless if ingested.</w:t>
      </w:r>
    </w:p>
    <w:p w14:paraId="2ED0FBA8" w14:textId="77777777" w:rsidR="00066F98" w:rsidRDefault="00000000">
      <w:pPr>
        <w:pStyle w:val="CustomBody"/>
      </w:pPr>
      <w:r>
        <w:t>However, toxicity reports raise important concerns. While turmeric and its extract curcumin are generally considered safe, recent evidence links them—especially in high-bioavailability formulations—to rare cases of immune-mediated acute liver injury. These cases typically resolve after discontinuation, though severe outcomes can occur if use continues. The exact mechanism of liver injury remains poorly understood but appears related to the immune system's response to curcumin. Additionally, scientific evidence challenging curcumin's anti-inflammatory effects has emerged, with turmeric supplements associated with rare but potentially serious liver injuries, particularly in genetically susceptible individuals.</w:t>
      </w:r>
    </w:p>
    <w:p w14:paraId="2253369F" w14:textId="77777777" w:rsidR="00066F98" w:rsidRDefault="00000000">
      <w:pPr>
        <w:pStyle w:val="CustomHeading"/>
      </w:pPr>
      <w:r>
        <w:t>Strategic Analysis and Product Opportunities</w:t>
      </w:r>
    </w:p>
    <w:p w14:paraId="6D633C63" w14:textId="77777777" w:rsidR="00066F98" w:rsidRDefault="00000000">
      <w:pPr>
        <w:pStyle w:val="CustomHeading"/>
      </w:pPr>
      <w:r>
        <w:t>Market Opportunity Analysis</w:t>
      </w:r>
    </w:p>
    <w:p w14:paraId="13109EE0" w14:textId="77777777" w:rsidR="00066F98" w:rsidRDefault="00000000">
      <w:pPr>
        <w:pStyle w:val="CustomBody"/>
      </w:pPr>
      <w:r>
        <w:t>The wellness market presents significant opportunities for turmeric-based products. COVID-19 has accelerated consumer interest in immunity-enhancing superfoods, with turmeric experiencing substantial sales growth expected to continue post-pandemic. The rising popularity of superfood lattes featuring turmeric indicates strong consumer demand for functional beverages with nutritional and anti-inflammatory benefits. Additionally, traditional medicine practices incorporating turmeric are transforming the skincare industry as natural, holistic approaches gain mainstream acceptance.</w:t>
      </w:r>
    </w:p>
    <w:p w14:paraId="7FABA30E" w14:textId="77777777" w:rsidR="00066F98" w:rsidRDefault="00000000">
      <w:pPr>
        <w:pStyle w:val="CustomBody"/>
      </w:pPr>
      <w:r>
        <w:lastRenderedPageBreak/>
        <w:t>Malaysia represents a particularly promising market with its wellness ecosystem deeply rooted in multicultural traditions that already celebrate turmeric, supported by sophisticated healthcare infrastructure. Turmeric's deep cultural importance in Thai communities, where it's valued for medicinal purposes, provides authentic marketing narratives that resonate with consumers seeking cultural authenticity.</w:t>
      </w:r>
    </w:p>
    <w:p w14:paraId="769B4C50" w14:textId="77777777" w:rsidR="00066F98" w:rsidRDefault="00000000">
      <w:pPr>
        <w:pStyle w:val="CustomHeading"/>
      </w:pPr>
      <w:r>
        <w:t>Technical Feasibility Assessment</w:t>
      </w:r>
    </w:p>
    <w:p w14:paraId="3ECB9F69" w14:textId="77777777" w:rsidR="00066F98" w:rsidRDefault="00000000">
      <w:pPr>
        <w:pStyle w:val="CustomBody"/>
      </w:pPr>
      <w:r>
        <w:t>Product development is supported by scientific validation of turmeric's key bioactive compounds—curcumin and turmerone—which can be standardized in formulations. Research confirms turmeric's antibacterial activity against Staphylococcus aureus, supporting development of topical applications. While specific extraction methods weren't detailed, established analysis techniques like TLC and GC-MS enable quality control protocols. The existing regulatory approval of multiple turmeric-based products demonstrates regulatory feasibility for new product development.</w:t>
      </w:r>
    </w:p>
    <w:p w14:paraId="24AF4CD9" w14:textId="77777777" w:rsidR="00066F98" w:rsidRDefault="00000000">
      <w:pPr>
        <w:pStyle w:val="CustomHeading"/>
      </w:pPr>
      <w:r>
        <w:t>Critical Constraints</w:t>
      </w:r>
    </w:p>
    <w:p w14:paraId="7423E22B" w14:textId="77777777" w:rsidR="00066F98" w:rsidRDefault="00000000">
      <w:pPr>
        <w:pStyle w:val="CustomBody"/>
      </w:pPr>
      <w:r>
        <w:t>The most significant product development constraint is the recent evidence linking turmeric supplements, particularly high-bioavailability formulations, to rare cases of immune-mediated acute liver injury. The mechanism remains uncertain but appears related to the immune system's response to curcumin. Safety data indicates effective use at specific dosages for topical applications, providing baseline guidance while avoiding systemic exposure risks. Evidence suggests liver injuries may be more common in genetically susceptible individuals, potentially necessitating screening recommendations or clear warning labels. Additionally, the noted lack of scientific evidence for curcumin's anti-inflammatory effects creates constraints for certain marketing claims.</w:t>
      </w:r>
    </w:p>
    <w:p w14:paraId="1FA87473" w14:textId="77777777" w:rsidR="00066F98" w:rsidRDefault="00000000">
      <w:pPr>
        <w:pStyle w:val="CustomHeading"/>
      </w:pPr>
      <w:r>
        <w:t>Strategic Recommendations</w:t>
      </w:r>
    </w:p>
    <w:p w14:paraId="1C8817C0" w14:textId="77777777" w:rsidR="00066F98" w:rsidRDefault="00000000">
      <w:pPr>
        <w:pStyle w:val="CustomBody"/>
      </w:pPr>
      <w:r>
        <w:t>A dual-track product development strategy is recommended:</w:t>
      </w:r>
      <w:r>
        <w:br/>
        <w:t>1. Prioritize topical formulations leveraging turmeric's antibacterial properties while minimizing systemic absorption risks</w:t>
      </w:r>
      <w:r>
        <w:br/>
        <w:t>2. Develop carefully dosed functional beverages with clear usage guidelines to minimize liver injury risk</w:t>
      </w:r>
    </w:p>
    <w:p w14:paraId="2C03EE87" w14:textId="77777777" w:rsidR="00066F98" w:rsidRDefault="00000000">
      <w:pPr>
        <w:pStyle w:val="CustomBody"/>
      </w:pPr>
      <w:r>
        <w:t>A safety-first formulation approach should implement standardized extraction methods, establish strict quality control protocols, and develop moderate-bioavailability formulations that balance efficacy with safety. Clear risk communication strategies should include comprehensive warning labels, educational materials, and adverse event monitoring systems.</w:t>
      </w:r>
    </w:p>
    <w:p w14:paraId="2DE2795A" w14:textId="77777777" w:rsidR="00066F98" w:rsidRDefault="00000000">
      <w:pPr>
        <w:pStyle w:val="CustomBody"/>
      </w:pPr>
      <w:r>
        <w:lastRenderedPageBreak/>
        <w:t>Marketing should leverage Thai traditional knowledge and cultural significance of "Khamin Chan," partner with Thai community organizations, and highlight traditional processing methods that may offer safety advantages. Target markets should prioritize Malaysia's wellness market, followed by global superfood latte and natural skincare segments, with appropriate safety protocols for the immunity-focused supplement market.</w:t>
      </w:r>
    </w:p>
    <w:p w14:paraId="64563009" w14:textId="77777777" w:rsidR="00066F98" w:rsidRDefault="00000000">
      <w:pPr>
        <w:pStyle w:val="CustomBody"/>
      </w:pPr>
      <w:r>
        <w:t>For regulatory compliance, studying successful registrations and developing robust safety dossiers addressing known liver injury concerns is essential, with consideration of food/cosmetic classifications rather than supplement status where appropriate.</w:t>
      </w:r>
    </w:p>
    <w:p w14:paraId="597DA7E7" w14:textId="77777777" w:rsidR="00066F98" w:rsidRDefault="00000000">
      <w:pPr>
        <w:pStyle w:val="CustomHeading"/>
      </w:pPr>
      <w:r>
        <w:t>Herbal Knowledge Summary</w:t>
      </w:r>
    </w:p>
    <w:p w14:paraId="449F3291" w14:textId="77777777" w:rsidR="00066F98" w:rsidRDefault="00000000">
      <w:pPr>
        <w:pStyle w:val="CustomBody"/>
      </w:pPr>
      <w:r>
        <w:t>Unfortunately, the provided internal knowledge context does not explicitly mention Curcuma longa. However, it discusses the use of traditional Thai medicine and herbs in general, highlighting their potential benefits and cost-effectiveness. The context also touches on the importance of using locally grown and chemical-free plants for better health. Despite the lack of direct information on Curcuma longa, the context emphasizes the value of traditional Thai herbal medicine and its applications. Overall, while the specific herb Curcuma longa is not mentioned, the discussion around traditional Thai medicine and its benefits provides a relevant background.</w:t>
      </w:r>
    </w:p>
    <w:p w14:paraId="2A63C2DD" w14:textId="77777777" w:rsidR="00066F98" w:rsidRDefault="00000000">
      <w:pPr>
        <w:pStyle w:val="CustomBody"/>
      </w:pPr>
      <w:r>
        <w:t>Turmeric, or ขมิ้นชัน in Thai, has been utilized in Thai traditional medicine for a long time. It is known for its healing properties and is often used in various dishes, including curries and soups. The innovation of nam prik, a type of Thai chili paste, has also been influenced by turmeric, which adds a spicy flavor to meals and helps with digestion. Additionally, turmeric has been used as a medicine for many years, and its knowledge has been passed down from ancient times to the present. It is essential for everyone to pay attention to their health and be mindful of what they eat, as consuming the right foods can help prevent illnesses and reduce healthcare costs. Furthermore, turmeric is believed to have various health benefits, including reducing inflammation and improving cognitive function. Overall, turmeric is a valuable herb in Thai culture, and its uses and benefits are still being discovered and appreciated today.</w:t>
      </w:r>
    </w:p>
    <w:p w14:paraId="50375820" w14:textId="77777777" w:rsidR="00066F98" w:rsidRDefault="00000000">
      <w:pPr>
        <w:pStyle w:val="CustomHeading"/>
      </w:pPr>
      <w:r>
        <w:t>Conclusion</w:t>
      </w:r>
    </w:p>
    <w:p w14:paraId="763C942C" w14:textId="77777777" w:rsidR="00066F98" w:rsidRDefault="00000000">
      <w:pPr>
        <w:pStyle w:val="CustomBody"/>
      </w:pPr>
      <w:r>
        <w:t>Turmeric stands at a fascinating intersection of ancient wisdom and modern wellness innovation. Its deep cultural roots in Thai and Malaysian traditions provide a rich foundation of knowledge about its applications and benefits, while scientific research continues to validate some of its traditional uses, particularly its antimicrobial properties. However, the emerging safety concerns regarding liver toxicity highlight the importance of responsible product development that balances efficacy with consumer safety.</w:t>
      </w:r>
    </w:p>
    <w:p w14:paraId="0D0D3FF1" w14:textId="77777777" w:rsidR="00066F98" w:rsidRDefault="00000000">
      <w:pPr>
        <w:pStyle w:val="CustomBody"/>
      </w:pPr>
      <w:r>
        <w:lastRenderedPageBreak/>
        <w:t>The strategic opportunities for turmeric-based products remain substantial, particularly in topical applications and carefully formulated functional beverages. By adopting a dual-track approach that prioritizes safety while honoring cultural authenticity, manufacturers can develop products that meet growing consumer demand for natural wellness solutions while mitigating potential risks. As research continues to evolve, the full potential of this ancient herb in modern wellness applications will become increasingly clear, potentially opening new avenues for innovation that respect both scientific evidence and traditional wisdom.</w:t>
      </w:r>
    </w:p>
    <w:p w14:paraId="67A36C18" w14:textId="77777777" w:rsidR="00066F98" w:rsidRDefault="00000000">
      <w:pPr>
        <w:pStyle w:val="CustomHeading"/>
      </w:pPr>
      <w:r>
        <w:t>Sources Consulted</w:t>
      </w:r>
    </w:p>
    <w:p w14:paraId="0376B7C7" w14:textId="77777777" w:rsidR="00066F98" w:rsidRDefault="00000000">
      <w:pPr>
        <w:pStyle w:val="CustomBody"/>
      </w:pPr>
      <w:r>
        <w:t>[1] https://globalwellnessinstitute.org/global-wellness-institute-blog/2020/07/14/accelerating-wellness-trends/</w:t>
      </w:r>
      <w:r>
        <w:br/>
        <w:t>[2] https://globalwellnessinstitute.org/global-wellness-institute-blog/2023/01/04/nutrition-for-healthspan-initiative-for-2022-trends/</w:t>
      </w:r>
      <w:r>
        <w:br/>
        <w:t>[3] https://globalwellnessinstitute.org/global-wellness-institute-blog/2025/10/21/ancient-beauty-modern-glow-how-traditional-medicine-is-quietly-transforming-skincare/</w:t>
      </w:r>
      <w:r>
        <w:br/>
        <w:t>[4] https://globalwellnessinstitute.org/wellness-in-malaysia/</w:t>
      </w:r>
      <w:r>
        <w:br/>
        <w:t>[5] https://dailymed.nlm.nih.gov/dailymed/drugInfo.cfm?setid=dc04003b-a2c4-f3cf-64cb-9c8fdb4b03ef&amp;audience=consumer</w:t>
      </w:r>
      <w:r>
        <w:br/>
        <w:t>[6] https://en.wikipedia.org/wiki/Curcuma_longa</w:t>
      </w:r>
      <w:r>
        <w:br/>
        <w:t>[7] https://th.wikipedia.org/wiki/%E0%B8%82%E0%B8%B1%E0%B9%88%E0%B8%87%E0%B8%8A%E0%B8%B8%E0%B8%95</w:t>
      </w:r>
      <w:r>
        <w:br/>
        <w:t>[8] https://www.sac.or.th/db/knowledge/</w:t>
      </w:r>
    </w:p>
    <w:sectPr w:rsidR="00066F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256759">
    <w:abstractNumId w:val="8"/>
  </w:num>
  <w:num w:numId="2" w16cid:durableId="1577016219">
    <w:abstractNumId w:val="6"/>
  </w:num>
  <w:num w:numId="3" w16cid:durableId="1363941467">
    <w:abstractNumId w:val="5"/>
  </w:num>
  <w:num w:numId="4" w16cid:durableId="1751611158">
    <w:abstractNumId w:val="4"/>
  </w:num>
  <w:num w:numId="5" w16cid:durableId="1356150356">
    <w:abstractNumId w:val="7"/>
  </w:num>
  <w:num w:numId="6" w16cid:durableId="580872870">
    <w:abstractNumId w:val="3"/>
  </w:num>
  <w:num w:numId="7" w16cid:durableId="317072749">
    <w:abstractNumId w:val="2"/>
  </w:num>
  <w:num w:numId="8" w16cid:durableId="1568611255">
    <w:abstractNumId w:val="1"/>
  </w:num>
  <w:num w:numId="9" w16cid:durableId="209073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98"/>
    <w:rsid w:val="0015074B"/>
    <w:rsid w:val="0029639D"/>
    <w:rsid w:val="00326F90"/>
    <w:rsid w:val="00A2324A"/>
    <w:rsid w:val="00AA1D8D"/>
    <w:rsid w:val="00B47730"/>
    <w:rsid w:val="00CB0664"/>
    <w:rsid w:val="00E40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BD4D4"/>
  <w14:defaultImageDpi w14:val="300"/>
  <w15:docId w15:val="{4C689AE2-21E8-6847-A5C2-F188C426E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1823</Words>
  <Characters>10393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2025-12-24T12:39:00Z</dcterms:modified>
  <cp:category/>
</cp:coreProperties>
</file>