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4BF16">
      <w:pPr>
        <w:spacing w:after="80"/>
        <w:jc w:val="right"/>
      </w:pPr>
      <w:r>
        <w:rPr>
          <w:b/>
          <w:color w:val="B18A4B"/>
          <w:sz w:val="20"/>
        </w:rPr>
        <w:t>FASE 2 / WEBSITE BRAND BLUEPRINT</w:t>
      </w:r>
    </w:p>
    <w:p w14:paraId="4AC40A07">
      <w:pPr>
        <w:spacing w:after="80"/>
      </w:pPr>
      <w:r>
        <w:br w:type="textWrapping"/>
      </w:r>
    </w:p>
    <w:p w14:paraId="5FB2CAEC">
      <w:pPr>
        <w:pStyle w:val="36"/>
        <w:spacing w:after="80"/>
        <w:jc w:val="left"/>
      </w:pPr>
      <w:r>
        <w:t>Galdino &amp; Partner</w:t>
      </w:r>
      <w:r>
        <w:br w:type="textWrapping"/>
      </w:r>
      <w:r>
        <w:t>Website Brand Blueprint</w:t>
      </w:r>
    </w:p>
    <w:p w14:paraId="13B06AB1">
      <w:pPr>
        <w:spacing w:after="80"/>
      </w:pPr>
      <w:r>
        <w:rPr>
          <w:color w:val="4B5563"/>
          <w:sz w:val="24"/>
        </w:rPr>
        <w:t>Dokumen pendalaman brand foundation untuk menyelaraskan struktur halaman, messaging, CTA, dan batasan klaim sebelum copywriting final.</w:t>
      </w:r>
    </w:p>
    <w:p w14:paraId="2759530A">
      <w:pPr>
        <w:spacing w:after="80"/>
      </w:pPr>
      <w:r>
        <w:br w:type="textWrapping"/>
      </w:r>
    </w:p>
    <w:tbl>
      <w:tblPr>
        <w:tblStyle w:val="12"/>
        <w:tblW w:w="0" w:type="auto"/>
        <w:jc w:val="center"/>
        <w:tblLayout w:type="autofit"/>
        <w:tblCellMar>
          <w:top w:w="0" w:type="dxa"/>
          <w:left w:w="108" w:type="dxa"/>
          <w:bottom w:w="0" w:type="dxa"/>
          <w:right w:w="108" w:type="dxa"/>
        </w:tblCellMar>
      </w:tblPr>
      <w:tblGrid>
        <w:gridCol w:w="10037"/>
      </w:tblGrid>
      <w:tr w14:paraId="548055F6">
        <w:tblPrEx>
          <w:tblCellMar>
            <w:top w:w="0" w:type="dxa"/>
            <w:left w:w="108" w:type="dxa"/>
            <w:bottom w:w="0" w:type="dxa"/>
            <w:right w:w="108" w:type="dxa"/>
          </w:tblCellMar>
        </w:tblPrEx>
        <w:trPr>
          <w:jc w:val="center"/>
        </w:trPr>
        <w:tc>
          <w:tcPr>
            <w:tcW w:w="10037" w:type="dxa"/>
            <w:tcBorders>
              <w:top w:val="single" w:color="720D1C" w:sz="4" w:space="0"/>
              <w:left w:val="single" w:color="720D1C" w:sz="4" w:space="0"/>
              <w:bottom w:val="single" w:color="720D1C" w:sz="4" w:space="0"/>
              <w:right w:val="single" w:color="720D1C" w:sz="4" w:space="0"/>
              <w:insideH w:val="single" w:sz="4" w:space="0"/>
              <w:insideV w:val="single" w:sz="4" w:space="0"/>
            </w:tcBorders>
            <w:shd w:val="clear" w:color="auto" w:fill="720D1C"/>
          </w:tcPr>
          <w:p w14:paraId="1FC5F1B9">
            <w:pPr>
              <w:jc w:val="center"/>
            </w:pPr>
            <w:r>
              <w:rPr>
                <w:b/>
                <w:color w:val="FFFFFF"/>
                <w:sz w:val="20"/>
              </w:rPr>
              <w:t>Regulatory complexity into ordered, decision-ready steps</w:t>
            </w:r>
          </w:p>
        </w:tc>
      </w:tr>
    </w:tbl>
    <w:p w14:paraId="5AA0B8AF">
      <w:pPr>
        <w:spacing w:after="80"/>
      </w:pPr>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200"/>
      </w:tblGrid>
      <w:tr w14:paraId="5218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924F03">
            <w:pPr>
              <w:spacing w:after="0" w:line="240" w:lineRule="auto"/>
            </w:pPr>
            <w:r>
              <w:rPr>
                <w:rFonts w:ascii="Aptos" w:hAnsi="Aptos"/>
                <w:sz w:val="16"/>
              </w:rPr>
              <w:t>Client</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C28D66D">
            <w:pPr>
              <w:spacing w:after="0" w:line="240" w:lineRule="auto"/>
            </w:pPr>
            <w:r>
              <w:rPr>
                <w:rFonts w:ascii="Aptos" w:hAnsi="Aptos"/>
                <w:sz w:val="16"/>
              </w:rPr>
              <w:t>Galdino &amp; Partner</w:t>
            </w:r>
          </w:p>
        </w:tc>
      </w:tr>
      <w:tr w14:paraId="3E06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49D7352">
            <w:pPr>
              <w:spacing w:after="0" w:line="240" w:lineRule="auto"/>
            </w:pPr>
            <w:r>
              <w:rPr>
                <w:rFonts w:ascii="Aptos" w:hAnsi="Aptos"/>
                <w:sz w:val="16"/>
              </w:rPr>
              <w:t>Prepared for</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51EAA47">
            <w:pPr>
              <w:spacing w:after="0" w:line="240" w:lineRule="auto"/>
            </w:pPr>
            <w:r>
              <w:rPr>
                <w:rFonts w:ascii="Aptos" w:hAnsi="Aptos"/>
                <w:sz w:val="16"/>
              </w:rPr>
              <w:t>Tim Kultivate</w:t>
            </w:r>
          </w:p>
        </w:tc>
      </w:tr>
      <w:tr w14:paraId="2945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939E5B6">
            <w:pPr>
              <w:spacing w:after="0" w:line="240" w:lineRule="auto"/>
            </w:pPr>
            <w:r>
              <w:rPr>
                <w:rFonts w:ascii="Aptos" w:hAnsi="Aptos"/>
                <w:sz w:val="16"/>
              </w:rPr>
              <w:t>Project</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6218810">
            <w:pPr>
              <w:spacing w:after="0" w:line="240" w:lineRule="auto"/>
            </w:pPr>
            <w:r>
              <w:rPr>
                <w:rFonts w:ascii="Aptos" w:hAnsi="Aptos"/>
                <w:sz w:val="16"/>
              </w:rPr>
              <w:t>Galdino &amp; Partner Website</w:t>
            </w:r>
          </w:p>
        </w:tc>
      </w:tr>
      <w:tr w14:paraId="7C6C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3427405">
            <w:pPr>
              <w:spacing w:after="0" w:line="240" w:lineRule="auto"/>
            </w:pPr>
            <w:r>
              <w:rPr>
                <w:rFonts w:ascii="Aptos" w:hAnsi="Aptos"/>
                <w:sz w:val="16"/>
              </w:rPr>
              <w:t>Date</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6A3E29">
            <w:pPr>
              <w:spacing w:after="0" w:line="240" w:lineRule="auto"/>
            </w:pPr>
            <w:r>
              <w:rPr>
                <w:rFonts w:ascii="Aptos" w:hAnsi="Aptos"/>
                <w:sz w:val="16"/>
              </w:rPr>
              <w:t>5 Agustus 2026</w:t>
            </w:r>
          </w:p>
        </w:tc>
      </w:tr>
      <w:tr w14:paraId="1690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909E92C">
            <w:pPr>
              <w:spacing w:after="0" w:line="240" w:lineRule="auto"/>
            </w:pPr>
            <w:r>
              <w:rPr>
                <w:rFonts w:ascii="Aptos" w:hAnsi="Aptos"/>
                <w:sz w:val="16"/>
              </w:rPr>
              <w:t>Status</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6E830F">
            <w:pPr>
              <w:spacing w:after="0" w:line="240" w:lineRule="auto"/>
            </w:pPr>
            <w:r>
              <w:rPr>
                <w:rFonts w:ascii="Aptos" w:hAnsi="Aptos"/>
                <w:sz w:val="16"/>
              </w:rPr>
              <w:t>ALIGNED - CURRENT IMPLEMENTATION + APPROVED BACKLOG</w:t>
            </w:r>
          </w:p>
        </w:tc>
      </w:tr>
      <w:tr w14:paraId="31F1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64DA96E">
            <w:pPr>
              <w:spacing w:after="0" w:line="240" w:lineRule="auto"/>
            </w:pPr>
            <w:r>
              <w:rPr>
                <w:rFonts w:ascii="Aptos" w:hAnsi="Aptos"/>
                <w:sz w:val="16"/>
              </w:rPr>
              <w:t>Basis</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5D85F8C">
            <w:pPr>
              <w:spacing w:after="0" w:line="240" w:lineRule="auto"/>
            </w:pPr>
            <w:r>
              <w:rPr>
                <w:rFonts w:ascii="Aptos" w:hAnsi="Aptos"/>
                <w:sz w:val="16"/>
              </w:rPr>
              <w:t>Website/codebase aktual, Fase 2 terbaru, Fase 1 Discovery, Brand Guidelines, dan audit pendukung</w:t>
            </w:r>
          </w:p>
        </w:tc>
      </w:tr>
    </w:tbl>
    <w:p w14:paraId="0DF9B801">
      <w:pPr>
        <w:spacing w:after="80"/>
      </w:pPr>
    </w:p>
    <w:p w14:paraId="26A1C695">
      <w:pPr>
        <w:spacing w:after="80"/>
      </w:pPr>
      <w:r>
        <w:br w:type="page"/>
      </w:r>
    </w:p>
    <w:p w14:paraId="4A0FF74C">
      <w:pPr>
        <w:pStyle w:val="2"/>
        <w:spacing w:before="160" w:after="80"/>
      </w:pPr>
      <w:r>
        <w:t>1. Tujuan Dokumen</w:t>
      </w:r>
    </w:p>
    <w:p w14:paraId="0953FCAA">
      <w:pPr>
        <w:spacing w:after="80"/>
      </w:pPr>
      <w:r>
        <w:t>Website Brand Blueprint ini menjelaskan ulang fondasi brand yang sebelumnya muncul dalam dokumen Fase 2, lalu mengubahnya menjadi panduan praktis untuk keputusan struktur website. Dokumen ini bukan copy final dan belum boleh dianggap sebagai approval final dari Brand Manager atau Project Lead.</w:t>
      </w:r>
    </w:p>
    <w:tbl>
      <w:tblPr>
        <w:tblStyle w:val="12"/>
        <w:tblW w:w="0" w:type="auto"/>
        <w:jc w:val="center"/>
        <w:tblLayout w:type="autofit"/>
        <w:tblCellMar>
          <w:top w:w="0" w:type="dxa"/>
          <w:left w:w="108" w:type="dxa"/>
          <w:bottom w:w="0" w:type="dxa"/>
          <w:right w:w="108" w:type="dxa"/>
        </w:tblCellMar>
      </w:tblPr>
      <w:tblGrid>
        <w:gridCol w:w="5018"/>
        <w:gridCol w:w="5018"/>
      </w:tblGrid>
      <w:tr w14:paraId="32DFF499">
        <w:tblPrEx>
          <w:tblCellMar>
            <w:top w:w="0" w:type="dxa"/>
            <w:left w:w="108" w:type="dxa"/>
            <w:bottom w:w="0" w:type="dxa"/>
            <w:right w:w="108" w:type="dxa"/>
          </w:tblCellMar>
        </w:tblPrEx>
        <w:trPr>
          <w:jc w:val="center"/>
        </w:trPr>
        <w:tc>
          <w:tcPr>
            <w:tcW w:w="5018" w:type="dxa"/>
            <w:tcBorders>
              <w:top w:val="single" w:color="F7F7F5" w:sz="4" w:space="0"/>
              <w:left w:val="single" w:color="F7F7F5" w:sz="4" w:space="0"/>
              <w:bottom w:val="single" w:color="F7F7F5" w:sz="4" w:space="0"/>
              <w:right w:val="single" w:color="F7F7F5" w:sz="4" w:space="0"/>
              <w:insideH w:val="single" w:sz="4" w:space="0"/>
              <w:insideV w:val="single" w:sz="4" w:space="0"/>
            </w:tcBorders>
            <w:shd w:val="clear" w:color="auto" w:fill="B18A4B"/>
            <w:vAlign w:val="center"/>
          </w:tcPr>
          <w:p w14:paraId="559AD157"/>
        </w:tc>
        <w:tc>
          <w:tcPr>
            <w:tcW w:w="5018" w:type="dxa"/>
            <w:tcBorders>
              <w:top w:val="single" w:color="F7F7F5" w:sz="4" w:space="0"/>
              <w:left w:val="single" w:color="F7F7F5" w:sz="4" w:space="0"/>
              <w:bottom w:val="single" w:color="F7F7F5" w:sz="4" w:space="0"/>
              <w:right w:val="single" w:color="F7F7F5" w:sz="4" w:space="0"/>
              <w:insideH w:val="single" w:sz="4" w:space="0"/>
              <w:insideV w:val="single" w:sz="4" w:space="0"/>
            </w:tcBorders>
            <w:shd w:val="clear" w:color="auto" w:fill="F7F7F5"/>
            <w:vAlign w:val="center"/>
          </w:tcPr>
          <w:p w14:paraId="1C157A8C">
            <w:pPr/>
            <w:r>
              <w:rPr>
                <w:b/>
                <w:color w:val="0B0B0C"/>
                <w:sz w:val="19"/>
              </w:rPr>
              <w:t>Status dokumen</w:t>
              <w:br/>
              <w:t>Blueprint telah diselaraskan dengan website aktual dan keputusan pengguna 5 Agustus 2026. Fakta legal yang dikonfirmasi dapat dipakai; data dummy dan preview hanya untuk prototype/staging dan tidak otomatis boleh ikut production launch.</w:t>
            </w:r>
          </w:p>
        </w:tc>
      </w:tr>
    </w:tbl>
    <w:p w14:paraId="2744BA0F">
      <w:pPr>
        <w:pStyle w:val="2"/>
        <w:spacing w:before="160" w:after="80"/>
      </w:pPr>
      <w:r>
        <w:t>2. Hierarki Sumber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880"/>
        <w:gridCol w:w="6048"/>
      </w:tblGrid>
      <w:tr w14:paraId="434C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820E0AE">
            <w:pPr>
              <w:spacing w:after="0" w:line="240" w:lineRule="auto"/>
              <w:jc w:val="center"/>
            </w:pPr>
            <w:r>
              <w:rPr>
                <w:rFonts w:ascii="Aptos" w:hAnsi="Aptos"/>
                <w:b/>
                <w:color w:val="FFFFFF"/>
                <w:sz w:val="16"/>
              </w:rPr>
              <w:t>Prioritas</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6E11D17">
            <w:pPr>
              <w:spacing w:after="0" w:line="240" w:lineRule="auto"/>
              <w:jc w:val="center"/>
            </w:pPr>
            <w:r>
              <w:rPr>
                <w:rFonts w:ascii="Aptos" w:hAnsi="Aptos"/>
                <w:b/>
                <w:color w:val="FFFFFF"/>
                <w:sz w:val="16"/>
              </w:rPr>
              <w:t>Sumber</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6B705FC8">
            <w:pPr>
              <w:spacing w:after="0" w:line="240" w:lineRule="auto"/>
              <w:jc w:val="center"/>
            </w:pPr>
            <w:r>
              <w:rPr>
                <w:rFonts w:ascii="Aptos" w:hAnsi="Aptos"/>
                <w:b/>
                <w:color w:val="FFFFFF"/>
                <w:sz w:val="16"/>
              </w:rPr>
              <w:t>Fungsi dalam blueprint</w:t>
            </w:r>
          </w:p>
        </w:tc>
      </w:tr>
      <w:tr w14:paraId="0699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3A85B75">
            <w:pPr>
              <w:spacing w:after="0" w:line="240" w:lineRule="auto"/>
            </w:pPr>
            <w:r>
              <w:rPr>
                <w:rFonts w:ascii="Aptos" w:hAnsi="Aptos"/>
                <w:sz w:val="16"/>
              </w:rPr>
              <w:t>1</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44ACB59">
            <w:pPr>
              <w:spacing w:after="0" w:line="240" w:lineRule="auto"/>
            </w:pPr>
            <w:r>
              <w:rPr>
                <w:rFonts w:ascii="Aptos" w:hAnsi="Aptos"/>
                <w:sz w:val="16"/>
              </w:rPr>
              <w:t>Website dan codebase terbaru</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B4D09BA">
            <w:pPr>
              <w:spacing w:after="0" w:line="240" w:lineRule="auto"/>
            </w:pPr>
            <w:r>
              <w:rPr>
                <w:rFonts w:ascii="Aptos" w:hAnsi="Aptos"/>
                <w:sz w:val="16"/>
              </w:rPr>
              <w:t>Sumber utama untuk struktur halaman, route, navigation, CTA, user flow, dan fitur yang benar-benar telah diterapkan.</w:t>
            </w:r>
          </w:p>
        </w:tc>
      </w:tr>
      <w:tr w14:paraId="3B4D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65EA0E">
            <w:pPr>
              <w:spacing w:after="0" w:line="240" w:lineRule="auto"/>
            </w:pPr>
            <w:r>
              <w:rPr>
                <w:rFonts w:ascii="Aptos" w:hAnsi="Aptos"/>
                <w:sz w:val="16"/>
              </w:rPr>
              <w:t>2</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78806AF">
            <w:pPr>
              <w:spacing w:after="0" w:line="240" w:lineRule="auto"/>
            </w:pPr>
            <w:r>
              <w:rPr>
                <w:rFonts w:ascii="Aptos" w:hAnsi="Aptos"/>
                <w:sz w:val="16"/>
              </w:rPr>
              <w:t>Dokumen Fase 2 terbaru</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7F3D75A">
            <w:pPr>
              <w:spacing w:after="0" w:line="240" w:lineRule="auto"/>
            </w:pPr>
            <w:r>
              <w:rPr>
                <w:rFonts w:ascii="Aptos" w:hAnsi="Aptos"/>
                <w:sz w:val="16"/>
              </w:rPr>
              <w:t>Sumber struktur dan keputusan; yang belum dibangun dipertahankan sebagai backlog, bukan dianggap current.</w:t>
            </w:r>
          </w:p>
        </w:tc>
      </w:tr>
      <w:tr w14:paraId="6C06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F09BB6F">
            <w:pPr>
              <w:spacing w:after="0" w:line="240" w:lineRule="auto"/>
            </w:pPr>
            <w:r>
              <w:rPr>
                <w:rFonts w:ascii="Aptos" w:hAnsi="Aptos"/>
                <w:sz w:val="16"/>
              </w:rPr>
              <w:t>3</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EF22790">
            <w:pPr>
              <w:spacing w:after="0" w:line="240" w:lineRule="auto"/>
            </w:pPr>
            <w:r>
              <w:rPr>
                <w:rFonts w:ascii="Aptos" w:hAnsi="Aptos"/>
                <w:sz w:val="16"/>
              </w:rPr>
              <w:t>Dokumen Fase 1</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A15529A">
            <w:pPr>
              <w:spacing w:after="0" w:line="240" w:lineRule="auto"/>
            </w:pPr>
            <w:r>
              <w:rPr>
                <w:rFonts w:ascii="Aptos" w:hAnsi="Aptos"/>
                <w:sz w:val="16"/>
              </w:rPr>
              <w:t>Sumber discovery, fakta bisnis, brand foundation, kebutuhan pengguna, dan konteks proyek.</w:t>
            </w:r>
          </w:p>
        </w:tc>
      </w:tr>
      <w:tr w14:paraId="1D83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89F076">
            <w:pPr>
              <w:spacing w:after="0" w:line="240" w:lineRule="auto"/>
            </w:pPr>
            <w:r>
              <w:rPr>
                <w:rFonts w:ascii="Aptos" w:hAnsi="Aptos"/>
                <w:sz w:val="16"/>
              </w:rPr>
              <w:t>4</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D3361C6">
            <w:pPr>
              <w:spacing w:after="0" w:line="240" w:lineRule="auto"/>
            </w:pPr>
            <w:r>
              <w:rPr>
                <w:rFonts w:ascii="Aptos" w:hAnsi="Aptos"/>
                <w:sz w:val="16"/>
              </w:rPr>
              <w:t>File pendukung</w:t>
            </w:r>
          </w:p>
        </w:tc>
        <w:tc>
          <w:tcPr>
            <w:tcW w:w="60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BEA1FA6">
            <w:pPr>
              <w:spacing w:after="0" w:line="240" w:lineRule="auto"/>
            </w:pPr>
            <w:r>
              <w:rPr>
                <w:rFonts w:ascii="Aptos" w:hAnsi="Aptos"/>
                <w:sz w:val="16"/>
              </w:rPr>
              <w:t>Referensi tambahan; tidak boleh memperluas scope atau membuat klaim tanpa approval.</w:t>
            </w:r>
          </w:p>
        </w:tc>
      </w:tr>
    </w:tbl>
    <w:p w14:paraId="16E1FBA9">
      <w:pPr>
        <w:spacing w:after="80"/>
      </w:pPr>
    </w:p>
    <w:p w14:paraId="38CDF34C">
      <w:pPr>
        <w:pStyle w:val="2"/>
        <w:spacing w:before="160" w:after="80"/>
      </w:pPr>
      <w:r>
        <w:t>3. Brand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200"/>
      </w:tblGrid>
      <w:tr w14:paraId="27B1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9E6B68B">
            <w:pPr>
              <w:spacing w:after="0" w:line="240" w:lineRule="auto"/>
              <w:jc w:val="center"/>
            </w:pPr>
            <w:r>
              <w:rPr>
                <w:rFonts w:ascii="Aptos" w:hAnsi="Aptos"/>
                <w:b/>
                <w:color w:val="FFFFFF"/>
                <w:sz w:val="16"/>
              </w:rPr>
              <w:t>Elemen</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F58C626">
            <w:pPr>
              <w:spacing w:after="0" w:line="240" w:lineRule="auto"/>
              <w:jc w:val="center"/>
            </w:pPr>
            <w:r>
              <w:rPr>
                <w:rFonts w:ascii="Aptos" w:hAnsi="Aptos"/>
                <w:b/>
                <w:color w:val="FFFFFF"/>
                <w:sz w:val="16"/>
              </w:rPr>
              <w:t>Arahan Brand</w:t>
            </w:r>
          </w:p>
        </w:tc>
      </w:tr>
      <w:tr w14:paraId="1168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BE19A2A">
            <w:pPr>
              <w:spacing w:after="0" w:line="240" w:lineRule="auto"/>
            </w:pPr>
            <w:r>
              <w:rPr>
                <w:rFonts w:ascii="Aptos" w:hAnsi="Aptos"/>
                <w:sz w:val="16"/>
              </w:rPr>
              <w:t>Display name</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B0EA9D7">
            <w:pPr>
              <w:spacing w:after="0" w:line="240" w:lineRule="auto"/>
            </w:pPr>
            <w:r>
              <w:rPr>
                <w:rFonts w:ascii="Aptos" w:hAnsi="Aptos"/>
                <w:sz w:val="16"/>
              </w:rPr>
              <w:t>Galdino &amp; Partner by Kultivate</w:t>
            </w:r>
          </w:p>
        </w:tc>
      </w:tr>
      <w:tr w14:paraId="02D6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DB9DF51">
            <w:pPr>
              <w:spacing w:after="0" w:line="240" w:lineRule="auto"/>
            </w:pPr>
            <w:r>
              <w:rPr>
                <w:rFonts w:ascii="Aptos" w:hAnsi="Aptos"/>
                <w:sz w:val="16"/>
              </w:rPr>
              <w:t>Kategori</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2F95D5D">
            <w:pPr>
              <w:spacing w:after="0" w:line="240" w:lineRule="auto"/>
            </w:pPr>
            <w:r>
              <w:rPr>
                <w:rFonts w:ascii="Aptos" w:hAnsi="Aptos"/>
                <w:sz w:val="16"/>
              </w:rPr>
              <w:t>Brand konsultan perizinan dan legal-regulatory partner yang dioperasikan oleh PT Karya Usaha Sukses.</w:t>
            </w:r>
          </w:p>
        </w:tc>
      </w:tr>
      <w:tr w14:paraId="0766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70793EA">
            <w:pPr>
              <w:spacing w:after="0" w:line="240" w:lineRule="auto"/>
            </w:pPr>
            <w:r>
              <w:rPr>
                <w:rFonts w:ascii="Aptos" w:hAnsi="Aptos"/>
                <w:sz w:val="16"/>
              </w:rPr>
              <w:t>Core promise</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3FAA2FE">
            <w:pPr>
              <w:spacing w:after="0" w:line="240" w:lineRule="auto"/>
            </w:pPr>
            <w:r>
              <w:rPr>
                <w:rFonts w:ascii="Aptos" w:hAnsi="Aptos"/>
                <w:sz w:val="16"/>
              </w:rPr>
              <w:t>Map the requirements, prepare the documents, guide the process.</w:t>
            </w:r>
          </w:p>
        </w:tc>
      </w:tr>
      <w:tr w14:paraId="6506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F1AB0A5">
            <w:pPr>
              <w:spacing w:after="0" w:line="240" w:lineRule="auto"/>
            </w:pPr>
            <w:r>
              <w:rPr>
                <w:rFonts w:ascii="Aptos" w:hAnsi="Aptos"/>
                <w:sz w:val="16"/>
              </w:rPr>
              <w:t>Brand essence internal</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9462B91">
            <w:pPr>
              <w:spacing w:after="0" w:line="240" w:lineRule="auto"/>
            </w:pPr>
            <w:r>
              <w:rPr>
                <w:rFonts w:ascii="Aptos" w:hAnsi="Aptos"/>
                <w:sz w:val="16"/>
              </w:rPr>
              <w:t>Regulatory clarity for business action.</w:t>
            </w:r>
          </w:p>
        </w:tc>
      </w:tr>
      <w:tr w14:paraId="3498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A724053">
            <w:pPr>
              <w:spacing w:after="0" w:line="240" w:lineRule="auto"/>
            </w:pPr>
            <w:r>
              <w:rPr>
                <w:rFonts w:ascii="Aptos" w:hAnsi="Aptos"/>
                <w:sz w:val="16"/>
              </w:rPr>
              <w:t>Fokus utama</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8B743CA">
            <w:pPr>
              <w:spacing w:after="0" w:line="240" w:lineRule="auto"/>
            </w:pPr>
            <w:r>
              <w:rPr>
                <w:rFonts w:ascii="Aptos" w:hAnsi="Aptos"/>
                <w:sz w:val="16"/>
              </w:rPr>
              <w:t>Permit handling first. Legal capability in support.</w:t>
            </w:r>
          </w:p>
        </w:tc>
      </w:tr>
      <w:tr w14:paraId="49B2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B57136F">
            <w:pPr>
              <w:spacing w:after="0" w:line="240" w:lineRule="auto"/>
            </w:pPr>
            <w:r>
              <w:rPr>
                <w:rFonts w:ascii="Aptos" w:hAnsi="Aptos"/>
                <w:sz w:val="16"/>
              </w:rPr>
              <w:t>Boundary</w:t>
            </w:r>
          </w:p>
        </w:tc>
        <w:tc>
          <w:tcPr>
            <w:tcW w:w="720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10E155D">
            <w:pPr>
              <w:spacing w:after="0" w:line="240" w:lineRule="auto"/>
            </w:pPr>
            <w:r>
              <w:rPr>
                <w:rFonts w:ascii="Aptos" w:hAnsi="Aptos"/>
                <w:sz w:val="16"/>
              </w:rPr>
              <w:t>Tidak menjanjikan hasil yang dikontrol otoritas; tidak memakai klaim “terbaik”, “tercepat”, atau “100% approved”.</w:t>
            </w:r>
          </w:p>
        </w:tc>
      </w:tr>
    </w:tbl>
    <w:p w14:paraId="3F5791BB">
      <w:pPr>
        <w:spacing w:after="80"/>
      </w:pPr>
    </w:p>
    <w:tbl>
      <w:tblPr>
        <w:tblStyle w:val="12"/>
        <w:tblW w:w="0" w:type="auto"/>
        <w:jc w:val="center"/>
        <w:tblLayout w:type="autofit"/>
        <w:tblCellMar>
          <w:top w:w="0" w:type="dxa"/>
          <w:left w:w="108" w:type="dxa"/>
          <w:bottom w:w="0" w:type="dxa"/>
          <w:right w:w="108" w:type="dxa"/>
        </w:tblCellMar>
      </w:tblPr>
      <w:tblGrid>
        <w:gridCol w:w="5018"/>
        <w:gridCol w:w="5018"/>
      </w:tblGrid>
      <w:tr w14:paraId="4D275E59">
        <w:tblPrEx>
          <w:tblCellMar>
            <w:top w:w="0" w:type="dxa"/>
            <w:left w:w="108" w:type="dxa"/>
            <w:bottom w:w="0" w:type="dxa"/>
            <w:right w:w="108" w:type="dxa"/>
          </w:tblCellMar>
        </w:tblPrEx>
        <w:trPr>
          <w:jc w:val="center"/>
        </w:trPr>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C4142A"/>
            <w:vAlign w:val="center"/>
          </w:tcPr>
          <w:p w14:paraId="7D4A340C"/>
        </w:tc>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FFF7ED"/>
            <w:vAlign w:val="center"/>
          </w:tcPr>
          <w:p w14:paraId="4CD34319">
            <w:r>
              <w:rPr>
                <w:b/>
                <w:color w:val="0B0B0C"/>
                <w:sz w:val="19"/>
              </w:rPr>
              <w:t>Implikasi utama</w:t>
            </w:r>
            <w:r>
              <w:rPr>
                <w:b/>
                <w:color w:val="0B0B0C"/>
                <w:sz w:val="19"/>
              </w:rPr>
              <w:br w:type="textWrapping"/>
            </w:r>
            <w:r>
              <w:rPr>
                <w:color w:val="4B5563"/>
                <w:sz w:val="18"/>
              </w:rPr>
              <w:t>Homepage dan struktur layanan harus menjelaskan jalur perizinan dan kesiapan operasional bisnis, bukan menjual konsultasi hukum per jam atau klaim hasil instan.</w:t>
            </w:r>
          </w:p>
        </w:tc>
      </w:tr>
    </w:tbl>
    <w:p w14:paraId="3B01EA54">
      <w:pPr>
        <w:spacing w:after="80"/>
      </w:pPr>
      <w:r>
        <w:br w:type="page"/>
      </w:r>
    </w:p>
    <w:p w14:paraId="17AC8313">
      <w:pPr>
        <w:pStyle w:val="2"/>
        <w:spacing w:before="160" w:after="80"/>
      </w:pPr>
      <w:r>
        <w:t>4. Positioning Utama</w:t>
      </w:r>
    </w:p>
    <w:p w14:paraId="1E457AC7">
      <w:pPr>
        <w:spacing w:after="80"/>
      </w:pPr>
      <w:r>
        <w:t>Galdino &amp; Partner diposisikan sebagai partner legal-regulasi yang membantu decision-maker menavigasi kebutuhan perizinan bisnis di Indonesia. Nilai utamanya adalah mengubah kompleksitas regulasi menjadi langkah yang terurut, terdokumentasi, dan siap ditindaklanjuti.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176"/>
        <w:gridCol w:w="4176"/>
      </w:tblGrid>
      <w:tr w14:paraId="1722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656749EB">
            <w:pPr>
              <w:spacing w:after="0" w:line="240" w:lineRule="auto"/>
              <w:jc w:val="center"/>
            </w:pPr>
            <w:r>
              <w:rPr>
                <w:rFonts w:ascii="Aptos" w:hAnsi="Aptos"/>
                <w:b/>
                <w:color w:val="FFFFFF"/>
                <w:sz w:val="16"/>
              </w:rPr>
              <w:t>Layer</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46B90BA">
            <w:pPr>
              <w:spacing w:after="0" w:line="240" w:lineRule="auto"/>
              <w:jc w:val="center"/>
            </w:pPr>
            <w:r>
              <w:rPr>
                <w:rFonts w:ascii="Aptos" w:hAnsi="Aptos"/>
                <w:b/>
                <w:color w:val="FFFFFF"/>
                <w:sz w:val="16"/>
              </w:rPr>
              <w:t>Penjelasan</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B3663C5">
            <w:pPr>
              <w:spacing w:after="0" w:line="240" w:lineRule="auto"/>
              <w:jc w:val="center"/>
            </w:pPr>
            <w:r>
              <w:rPr>
                <w:rFonts w:ascii="Aptos" w:hAnsi="Aptos"/>
                <w:b/>
                <w:color w:val="FFFFFF"/>
                <w:sz w:val="16"/>
              </w:rPr>
              <w:t>Konsekuensi untuk Website</w:t>
            </w:r>
          </w:p>
        </w:tc>
      </w:tr>
      <w:tr w14:paraId="50D8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655DDCF">
            <w:pPr>
              <w:spacing w:after="0" w:line="240" w:lineRule="auto"/>
            </w:pPr>
            <w:r>
              <w:rPr>
                <w:rFonts w:ascii="Aptos" w:hAnsi="Aptos"/>
                <w:sz w:val="16"/>
              </w:rPr>
              <w:t>Market role</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A9C0139">
            <w:pPr>
              <w:spacing w:after="0" w:line="240" w:lineRule="auto"/>
            </w:pPr>
            <w:r>
              <w:rPr>
                <w:rFonts w:ascii="Aptos" w:hAnsi="Aptos"/>
                <w:sz w:val="16"/>
              </w:rPr>
              <w:t>Business licensing consultant + law firm + legal-regulatory partner</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C409758">
            <w:pPr>
              <w:spacing w:after="0" w:line="240" w:lineRule="auto"/>
            </w:pPr>
            <w:r>
              <w:rPr>
                <w:rFonts w:ascii="Aptos" w:hAnsi="Aptos"/>
                <w:sz w:val="16"/>
              </w:rPr>
              <w:t>Semua halaman harus menunjukkan pemetaan kebutuhan, persiapan dokumen, koordinasi proses, monitoring, dan follow-up.</w:t>
            </w:r>
          </w:p>
        </w:tc>
      </w:tr>
      <w:tr w14:paraId="60DC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CCD1712">
            <w:pPr>
              <w:spacing w:after="0" w:line="240" w:lineRule="auto"/>
            </w:pPr>
            <w:r>
              <w:rPr>
                <w:rFonts w:ascii="Aptos" w:hAnsi="Aptos"/>
                <w:sz w:val="16"/>
              </w:rPr>
              <w:t>Differentiation</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76B05D8">
            <w:pPr>
              <w:spacing w:after="0" w:line="240" w:lineRule="auto"/>
            </w:pPr>
            <w:r>
              <w:rPr>
                <w:rFonts w:ascii="Aptos" w:hAnsi="Aptos"/>
                <w:sz w:val="16"/>
              </w:rPr>
              <w:t>Permit handling first, legal capability in support</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359DE30">
            <w:pPr>
              <w:spacing w:after="0" w:line="240" w:lineRule="auto"/>
            </w:pPr>
            <w:r>
              <w:rPr>
                <w:rFonts w:ascii="Aptos" w:hAnsi="Aptos"/>
                <w:sz w:val="16"/>
              </w:rPr>
              <w:t>Bahasa “konsultasi hukum umum” harus dihindari. Legal advisory dibingkai sebagai dukungan kepatuhan dan operasional.</w:t>
            </w:r>
          </w:p>
        </w:tc>
      </w:tr>
      <w:tr w14:paraId="056C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620E449">
            <w:pPr>
              <w:spacing w:after="0" w:line="240" w:lineRule="auto"/>
            </w:pPr>
            <w:r>
              <w:rPr>
                <w:rFonts w:ascii="Aptos" w:hAnsi="Aptos"/>
                <w:sz w:val="16"/>
              </w:rPr>
              <w:t>Promise limit</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5648D5D">
            <w:pPr>
              <w:spacing w:after="0" w:line="240" w:lineRule="auto"/>
            </w:pPr>
            <w:r>
              <w:rPr>
                <w:rFonts w:ascii="Aptos" w:hAnsi="Aptos"/>
                <w:sz w:val="16"/>
              </w:rPr>
              <w:t>No guarantees of authority-controlled outcomes</w:t>
            </w:r>
          </w:p>
        </w:tc>
        <w:tc>
          <w:tcPr>
            <w:tcW w:w="417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1EB4A17">
            <w:pPr>
              <w:spacing w:after="0" w:line="240" w:lineRule="auto"/>
            </w:pPr>
            <w:r>
              <w:rPr>
                <w:rFonts w:ascii="Aptos" w:hAnsi="Aptos"/>
                <w:sz w:val="16"/>
              </w:rPr>
              <w:t>CTA dan copy harus mengundang assessment/review, bukan menjanjikan izin pasti keluar.</w:t>
            </w:r>
          </w:p>
        </w:tc>
      </w:tr>
    </w:tbl>
    <w:p w14:paraId="7AE2191E">
      <w:pPr>
        <w:spacing w:after="80"/>
      </w:pPr>
    </w:p>
    <w:p w14:paraId="561DCB75">
      <w:pPr>
        <w:pStyle w:val="2"/>
        <w:spacing w:before="160" w:after="80"/>
      </w:pPr>
      <w:r>
        <w:t>5. Target Pengguna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4032"/>
        <w:gridCol w:w="4032"/>
      </w:tblGrid>
      <w:tr w14:paraId="63AC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2FD6D481">
            <w:pPr>
              <w:spacing w:after="0" w:line="240" w:lineRule="auto"/>
              <w:jc w:val="center"/>
            </w:pPr>
            <w:r>
              <w:rPr>
                <w:rFonts w:ascii="Aptos" w:hAnsi="Aptos"/>
                <w:b/>
                <w:color w:val="FFFFFF"/>
                <w:sz w:val="16"/>
              </w:rPr>
              <w:t>Segmen</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4A21730">
            <w:pPr>
              <w:spacing w:after="0" w:line="240" w:lineRule="auto"/>
              <w:jc w:val="center"/>
            </w:pPr>
            <w:r>
              <w:rPr>
                <w:rFonts w:ascii="Aptos" w:hAnsi="Aptos"/>
                <w:b/>
                <w:color w:val="FFFFFF"/>
                <w:sz w:val="16"/>
              </w:rPr>
              <w:t>Kebutuhan Utama</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57A6979">
            <w:pPr>
              <w:spacing w:after="0" w:line="240" w:lineRule="auto"/>
              <w:jc w:val="center"/>
            </w:pPr>
            <w:r>
              <w:rPr>
                <w:rFonts w:ascii="Aptos" w:hAnsi="Aptos"/>
                <w:b/>
                <w:color w:val="FFFFFF"/>
                <w:sz w:val="16"/>
              </w:rPr>
              <w:t>Pesan yang Relevan</w:t>
            </w:r>
          </w:p>
        </w:tc>
      </w:tr>
      <w:tr w14:paraId="0FD3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1577E27">
            <w:pPr>
              <w:spacing w:after="0" w:line="240" w:lineRule="auto"/>
            </w:pPr>
            <w:r>
              <w:rPr>
                <w:rFonts w:ascii="Aptos" w:hAnsi="Aptos"/>
                <w:sz w:val="16"/>
              </w:rPr>
              <w:t>Business leaders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035BED4">
            <w:pPr>
              <w:spacing w:after="0" w:line="240" w:lineRule="auto"/>
            </w:pPr>
            <w:r>
              <w:rPr>
                <w:rFonts w:ascii="Aptos" w:hAnsi="Aptos"/>
                <w:sz w:val="16"/>
              </w:rPr>
              <w:t>Jalur izin yang jelas dari aktivitas bisnis sampai dokumen yang perlu disiapkan.</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DE4FED">
            <w:pPr>
              <w:spacing w:after="0" w:line="240" w:lineRule="auto"/>
            </w:pPr>
            <w:r>
              <w:rPr>
                <w:rFonts w:ascii="Aptos" w:hAnsi="Aptos"/>
                <w:sz w:val="16"/>
              </w:rPr>
              <w:t>Kami bantu memetakan kebutuhan legal-regulasi agar keputusan bisnis lebih jelas.</w:t>
            </w:r>
          </w:p>
        </w:tc>
      </w:tr>
      <w:tr w14:paraId="004A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96ECC4D">
            <w:pPr>
              <w:spacing w:after="0" w:line="240" w:lineRule="auto"/>
            </w:pPr>
            <w:r>
              <w:rPr>
                <w:rFonts w:ascii="Aptos" w:hAnsi="Aptos"/>
                <w:sz w:val="16"/>
              </w:rPr>
              <w:t>Legal &amp; compliance teams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E92DB75">
            <w:pPr>
              <w:spacing w:after="0" w:line="240" w:lineRule="auto"/>
            </w:pPr>
            <w:r>
              <w:rPr>
                <w:rFonts w:ascii="Aptos" w:hAnsi="Aptos"/>
                <w:sz w:val="16"/>
              </w:rPr>
              <w:t>Scope jelas, documented follow-up, dan dukungan koordinasi.</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5350548">
            <w:pPr>
              <w:spacing w:after="0" w:line="240" w:lineRule="auto"/>
            </w:pPr>
            <w:r>
              <w:rPr>
                <w:rFonts w:ascii="Aptos" w:hAnsi="Aptos"/>
                <w:sz w:val="16"/>
              </w:rPr>
              <w:t>Kami membantu review, koordinasi, dan follow-up proses sesuai kebutuhan operasional.</w:t>
            </w:r>
          </w:p>
        </w:tc>
      </w:tr>
      <w:tr w14:paraId="5E88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561FE6D">
            <w:pPr>
              <w:spacing w:after="0" w:line="240" w:lineRule="auto"/>
            </w:pPr>
            <w:r>
              <w:rPr>
                <w:rFonts w:ascii="Aptos" w:hAnsi="Aptos"/>
                <w:sz w:val="16"/>
              </w:rPr>
              <w:t>International teams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C86066A">
            <w:pPr>
              <w:spacing w:after="0" w:line="240" w:lineRule="auto"/>
            </w:pPr>
            <w:r>
              <w:rPr>
                <w:rFonts w:ascii="Aptos" w:hAnsi="Aptos"/>
                <w:sz w:val="16"/>
              </w:rPr>
              <w:t>Orientasi berbahasa Inggris tanpa menghilangkan istilah resmi Indonesia.</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CA4171">
            <w:pPr>
              <w:spacing w:after="0" w:line="240" w:lineRule="auto"/>
            </w:pPr>
            <w:r>
              <w:rPr>
                <w:rFonts w:ascii="Aptos" w:hAnsi="Aptos"/>
                <w:sz w:val="16"/>
              </w:rPr>
              <w:t>We explain Indonesian regulatory pathways clearly while preserving official terms.</w:t>
            </w:r>
          </w:p>
        </w:tc>
      </w:tr>
      <w:tr w14:paraId="5BB9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A3D07F2">
            <w:pPr>
              <w:spacing w:after="0" w:line="240" w:lineRule="auto"/>
            </w:pPr>
            <w:r>
              <w:rPr>
                <w:rFonts w:ascii="Aptos" w:hAnsi="Aptos"/>
                <w:sz w:val="16"/>
              </w:rPr>
              <w:t>Growth situations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9B89E28">
            <w:pPr>
              <w:spacing w:after="0" w:line="240" w:lineRule="auto"/>
            </w:pPr>
            <w:r>
              <w:rPr>
                <w:rFonts w:ascii="Aptos" w:hAnsi="Aptos"/>
                <w:sz w:val="16"/>
              </w:rPr>
              <w:t>Dukungan saat mendirikan, ekspansi, regularising, atau maintenance aktivitas bisnis.</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067473D">
            <w:pPr>
              <w:spacing w:after="0" w:line="240" w:lineRule="auto"/>
            </w:pPr>
            <w:r>
              <w:rPr>
                <w:rFonts w:ascii="Aptos" w:hAnsi="Aptos"/>
                <w:sz w:val="16"/>
              </w:rPr>
              <w:t>Kami bantu melihat izin sebagai bagian dari kesiapan operasional dan investasi.</w:t>
            </w:r>
          </w:p>
        </w:tc>
      </w:tr>
    </w:tbl>
    <w:p w14:paraId="2437C189">
      <w:pPr>
        <w:spacing w:after="80"/>
      </w:pPr>
    </w:p>
    <w:p w14:paraId="75AF9732">
      <w:pPr>
        <w:pStyle w:val="2"/>
        <w:spacing w:before="160" w:after="80"/>
      </w:pPr>
      <w:r>
        <w:t>6. Masalah Pengguna yang Harus Dijawab Website</w:t>
      </w:r>
    </w:p>
    <w:p w14:paraId="52DBD32E">
      <w:pPr>
        <w:pStyle w:val="23"/>
        <w:spacing w:after="80"/>
      </w:pPr>
      <w:r>
        <w:rPr>
          <w:sz w:val="19"/>
        </w:rPr>
        <w:t>Pengguna belum tahu izin apa yang relevan untuk aktivitas, KBLI, lokasi, produk, atau tahap bisnisnya.</w:t>
      </w:r>
    </w:p>
    <w:p w14:paraId="2CD4B9CC">
      <w:pPr>
        <w:pStyle w:val="23"/>
        <w:spacing w:after="80"/>
      </w:pPr>
      <w:r>
        <w:rPr>
          <w:sz w:val="19"/>
        </w:rPr>
        <w:t>Pengguna butuh memahami apakah NIB/OSS sudah cukup atau masih memerlukan Sertifikat Standar, Izin, PB UMKU, atau izin sektoral lain.</w:t>
      </w:r>
    </w:p>
    <w:p w14:paraId="33F083BA">
      <w:pPr>
        <w:pStyle w:val="23"/>
        <w:spacing w:after="80"/>
      </w:pPr>
      <w:r>
        <w:rPr>
          <w:sz w:val="19"/>
        </w:rPr>
        <w:t>Pengguna perlu menilai kredibilitas penyedia jasa tanpa tergantung pada klaim berlebihan.</w:t>
      </w:r>
    </w:p>
    <w:p w14:paraId="606D53A4">
      <w:pPr>
        <w:pStyle w:val="23"/>
        <w:spacing w:after="80"/>
      </w:pPr>
      <w:r>
        <w:rPr>
          <w:sz w:val="19"/>
        </w:rPr>
        <w:t>Pengguna ingin tahu langkah berikutnya: assessment, dokumen yang perlu disiapkan, kontak, atau review kebutuhan layanan.</w:t>
      </w:r>
    </w:p>
    <w:p w14:paraId="4E4AE57A">
      <w:pPr>
        <w:spacing w:after="80"/>
      </w:pPr>
      <w:r>
        <w:br w:type="page"/>
      </w:r>
    </w:p>
    <w:p w14:paraId="55B46B17">
      <w:pPr>
        <w:pStyle w:val="2"/>
        <w:spacing w:before="160" w:after="80"/>
      </w:pPr>
      <w:r>
        <w:t>7. Value Proposition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744"/>
        <w:gridCol w:w="3744"/>
      </w:tblGrid>
      <w:tr w14:paraId="245D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2FAD8010">
            <w:pPr>
              <w:spacing w:after="0" w:line="240" w:lineRule="auto"/>
              <w:jc w:val="center"/>
            </w:pPr>
            <w:r>
              <w:rPr>
                <w:rFonts w:ascii="Aptos" w:hAnsi="Aptos"/>
                <w:b/>
                <w:color w:val="FFFFFF"/>
                <w:sz w:val="16"/>
              </w:rPr>
              <w:t>Pilar</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79ED61C">
            <w:pPr>
              <w:spacing w:after="0" w:line="240" w:lineRule="auto"/>
              <w:jc w:val="center"/>
            </w:pPr>
            <w:r>
              <w:rPr>
                <w:rFonts w:ascii="Aptos" w:hAnsi="Aptos"/>
                <w:b/>
                <w:color w:val="FFFFFF"/>
                <w:sz w:val="16"/>
              </w:rPr>
              <w:t>Makna</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288719E">
            <w:pPr>
              <w:spacing w:after="0" w:line="240" w:lineRule="auto"/>
              <w:jc w:val="center"/>
            </w:pPr>
            <w:r>
              <w:rPr>
                <w:rFonts w:ascii="Aptos" w:hAnsi="Aptos"/>
                <w:b/>
                <w:color w:val="FFFFFF"/>
                <w:sz w:val="16"/>
              </w:rPr>
              <w:t>Contoh penerapan di website</w:t>
            </w:r>
          </w:p>
        </w:tc>
      </w:tr>
      <w:tr w14:paraId="269C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6E1EC78">
            <w:pPr>
              <w:spacing w:after="0" w:line="240" w:lineRule="auto"/>
            </w:pPr>
            <w:r>
              <w:rPr>
                <w:rFonts w:ascii="Aptos" w:hAnsi="Aptos"/>
                <w:sz w:val="16"/>
              </w:rPr>
              <w:t>Map requirements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55D4615">
            <w:pPr>
              <w:spacing w:after="0" w:line="240" w:lineRule="auto"/>
            </w:pPr>
            <w:r>
              <w:rPr>
                <w:rFonts w:ascii="Aptos" w:hAnsi="Aptos"/>
                <w:sz w:val="16"/>
              </w:rPr>
              <w:t>Memetakan aktivitas bisnis, KBLI, risk level, izin, dan kebutuhan dokumen.</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9DCC723">
            <w:pPr>
              <w:spacing w:after="0" w:line="240" w:lineRule="auto"/>
            </w:pPr>
            <w:r>
              <w:rPr>
                <w:rFonts w:ascii="Aptos" w:hAnsi="Aptos"/>
                <w:sz w:val="16"/>
              </w:rPr>
              <w:t>Service pages menjelaskan use case dan data awal yang perlu dikirim.</w:t>
            </w:r>
          </w:p>
        </w:tc>
      </w:tr>
      <w:tr w14:paraId="168F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0A255D">
            <w:pPr>
              <w:spacing w:after="0" w:line="240" w:lineRule="auto"/>
            </w:pPr>
            <w:r>
              <w:rPr>
                <w:rFonts w:ascii="Aptos" w:hAnsi="Aptos"/>
                <w:sz w:val="16"/>
              </w:rPr>
              <w:t>Prepare documents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3EBCCE7">
            <w:pPr>
              <w:spacing w:after="0" w:line="240" w:lineRule="auto"/>
            </w:pPr>
            <w:r>
              <w:rPr>
                <w:rFonts w:ascii="Aptos" w:hAnsi="Aptos"/>
                <w:sz w:val="16"/>
              </w:rPr>
              <w:t>Membantu menyiapkan evidence, dokumen korporasi, checklist, atau material pendukung.</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F39EB17">
            <w:pPr>
              <w:spacing w:after="0" w:line="240" w:lineRule="auto"/>
            </w:pPr>
            <w:r>
              <w:rPr>
                <w:rFonts w:ascii="Aptos" w:hAnsi="Aptos"/>
                <w:sz w:val="16"/>
              </w:rPr>
              <w:t>CTA meminta konteks dan dokumen awal, bukan langsung menjanjikan approval.</w:t>
            </w:r>
          </w:p>
        </w:tc>
      </w:tr>
      <w:tr w14:paraId="1295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63E23B7">
            <w:pPr>
              <w:spacing w:after="0" w:line="240" w:lineRule="auto"/>
            </w:pPr>
            <w:r>
              <w:rPr>
                <w:rFonts w:ascii="Aptos" w:hAnsi="Aptos"/>
                <w:sz w:val="16"/>
              </w:rPr>
              <w:t>Guide the process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C143E77">
            <w:pPr>
              <w:spacing w:after="0" w:line="240" w:lineRule="auto"/>
            </w:pPr>
            <w:r>
              <w:rPr>
                <w:rFonts w:ascii="Aptos" w:hAnsi="Aptos"/>
                <w:sz w:val="16"/>
              </w:rPr>
              <w:t>Mengkoordinasikan jalur proses, monitoring, komunikasi progres, dan follow-up.</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7AB3CE0">
            <w:pPr>
              <w:spacing w:after="0" w:line="240" w:lineRule="auto"/>
            </w:pPr>
            <w:r>
              <w:rPr>
                <w:rFonts w:ascii="Aptos" w:hAnsi="Aptos"/>
                <w:sz w:val="16"/>
              </w:rPr>
              <w:t>Home dan Services menjelaskan tahapan assess-map-prepare-coordinate-monitor-follow up; tidak ada halaman Proses Kerja terpisah pada implementasi current.</w:t>
            </w:r>
          </w:p>
        </w:tc>
      </w:tr>
      <w:tr w14:paraId="59A6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DD78503">
            <w:pPr>
              <w:spacing w:after="0" w:line="240" w:lineRule="auto"/>
            </w:pPr>
            <w:r>
              <w:rPr>
                <w:rFonts w:ascii="Aptos" w:hAnsi="Aptos"/>
                <w:sz w:val="16"/>
              </w:rPr>
              <w:t>Support operational decision</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9BFF383">
            <w:pPr>
              <w:spacing w:after="0" w:line="240" w:lineRule="auto"/>
            </w:pPr>
            <w:r>
              <w:rPr>
                <w:rFonts w:ascii="Aptos" w:hAnsi="Aptos"/>
                <w:sz w:val="16"/>
              </w:rPr>
              <w:t>Menghubungkan legal/regulatory need dengan ekspansi, continuity, risk, dan investment.</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F339CEF">
            <w:pPr>
              <w:spacing w:after="0" w:line="240" w:lineRule="auto"/>
            </w:pPr>
            <w:r>
              <w:rPr>
                <w:rFonts w:ascii="Aptos" w:hAnsi="Aptos"/>
                <w:sz w:val="16"/>
              </w:rPr>
              <w:t>Copy memakai bahasa bisnis, bukan hanya bahasa administrasi izin.</w:t>
            </w:r>
          </w:p>
        </w:tc>
      </w:tr>
    </w:tbl>
    <w:p w14:paraId="18B8DFEA">
      <w:pPr>
        <w:spacing w:after="80"/>
      </w:pPr>
    </w:p>
    <w:p w14:paraId="38C1A8BA">
      <w:pPr>
        <w:pStyle w:val="2"/>
        <w:spacing w:before="160" w:after="80"/>
      </w:pPr>
      <w:r>
        <w:t>8. Scope Layanan Website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4320"/>
        <w:gridCol w:w="2736"/>
      </w:tblGrid>
      <w:tr w14:paraId="34E7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9086C21">
            <w:pPr>
              <w:spacing w:after="0" w:line="240" w:lineRule="auto"/>
              <w:jc w:val="center"/>
            </w:pPr>
            <w:r>
              <w:rPr>
                <w:rFonts w:ascii="Aptos" w:hAnsi="Aptos"/>
                <w:b/>
                <w:color w:val="FFFFFF"/>
                <w:sz w:val="16"/>
              </w:rPr>
              <w:t>Kategori Layanan</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4418CF3">
            <w:pPr>
              <w:spacing w:after="0" w:line="240" w:lineRule="auto"/>
              <w:jc w:val="center"/>
            </w:pPr>
            <w:r>
              <w:rPr>
                <w:rFonts w:ascii="Aptos" w:hAnsi="Aptos"/>
                <w:b/>
                <w:color w:val="FFFFFF"/>
                <w:sz w:val="16"/>
              </w:rPr>
              <w:t>Peran dalam Website</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CB295C9">
            <w:pPr>
              <w:spacing w:after="0" w:line="240" w:lineRule="auto"/>
              <w:jc w:val="center"/>
            </w:pPr>
            <w:r>
              <w:rPr>
                <w:rFonts w:ascii="Aptos" w:hAnsi="Aptos"/>
                <w:b/>
                <w:color w:val="FFFFFF"/>
                <w:sz w:val="16"/>
              </w:rPr>
              <w:t>Status Detail</w:t>
            </w:r>
          </w:p>
        </w:tc>
      </w:tr>
      <w:tr w14:paraId="4822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48B6542">
            <w:pPr>
              <w:spacing w:after="0" w:line="240" w:lineRule="auto"/>
            </w:pPr>
            <w:r>
              <w:rPr>
                <w:rFonts w:ascii="Aptos" w:hAnsi="Aptos"/>
                <w:sz w:val="16"/>
              </w:rPr>
              <w:t>Pendirian &amp; Legalitas Usaha</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CB29FDA">
            <w:pPr>
              <w:spacing w:after="0" w:line="240" w:lineRule="auto"/>
            </w:pPr>
            <w:r>
              <w:rPr>
                <w:rFonts w:ascii="Aptos" w:hAnsi="Aptos"/>
                <w:sz w:val="16"/>
              </w:rPr>
              <w:t>Membantu pendirian dan penataan fondasi legal usaha, dokumen korporasi, NIB, dan kebutuhan awal operasional.</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566832C">
            <w:pPr>
              <w:spacing w:after="0" w:line="240" w:lineRule="auto"/>
            </w:pPr>
            <w:r>
              <w:rPr>
                <w:rFonts w:ascii="Aptos" w:hAnsi="Aptos"/>
                <w:sz w:val="16"/>
              </w:rPr>
              <w:t>Deliverable, exclusions, dan checklist masih perlu dilengkapi.</w:t>
            </w:r>
          </w:p>
        </w:tc>
      </w:tr>
      <w:tr w14:paraId="0F7C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EA8430F">
            <w:pPr>
              <w:spacing w:after="0" w:line="240" w:lineRule="auto"/>
            </w:pPr>
            <w:r>
              <w:rPr>
                <w:rFonts w:ascii="Aptos" w:hAnsi="Aptos"/>
                <w:sz w:val="16"/>
              </w:rPr>
              <w:t>Perizinan Berbasis Risiko</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63870BD">
            <w:pPr>
              <w:spacing w:after="0" w:line="240" w:lineRule="auto"/>
            </w:pPr>
            <w:r>
              <w:rPr>
                <w:rFonts w:ascii="Aptos" w:hAnsi="Aptos"/>
                <w:sz w:val="16"/>
              </w:rPr>
              <w:t>Membantu pemetaan KBLI, tingkat risiko, OSS-RBA, PB UMKU, dan izin sektoral yang relevan.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6BB0F49">
            <w:pPr>
              <w:spacing w:after="0" w:line="240" w:lineRule="auto"/>
            </w:pPr>
            <w:r>
              <w:rPr>
                <w:rFonts w:ascii="Aptos" w:hAnsi="Aptos"/>
                <w:sz w:val="16"/>
              </w:rPr>
              <w:t>Coverage sektoral spesifik perlu validasi.</w:t>
            </w:r>
          </w:p>
        </w:tc>
      </w:tr>
      <w:tr w14:paraId="6FED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33F7152">
            <w:pPr>
              <w:spacing w:after="0" w:line="240" w:lineRule="auto"/>
            </w:pPr>
            <w:r>
              <w:rPr>
                <w:rFonts w:ascii="Aptos" w:hAnsi="Aptos"/>
                <w:sz w:val="16"/>
              </w:rPr>
              <w:t>Kepatuhan &amp; Legal Advisory</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045F27D">
            <w:pPr>
              <w:spacing w:after="0" w:line="240" w:lineRule="auto"/>
            </w:pPr>
            <w:r>
              <w:rPr>
                <w:rFonts w:ascii="Aptos" w:hAnsi="Aptos"/>
                <w:sz w:val="16"/>
              </w:rPr>
              <w:t>Mendukung review kepatuhan, risiko regulasi, dan legal support dalam permit lifecycle.</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A2BD07A">
            <w:pPr>
              <w:spacing w:after="0" w:line="240" w:lineRule="auto"/>
            </w:pPr>
            <w:r>
              <w:rPr>
                <w:rFonts w:ascii="Aptos" w:hAnsi="Aptos"/>
                <w:sz w:val="16"/>
              </w:rPr>
              <w:t>Scope retainer/SOP/legal reviewer perlu dilengkapi.</w:t>
            </w:r>
          </w:p>
        </w:tc>
      </w:tr>
      <w:tr w14:paraId="2C26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8AEE9A5">
            <w:pPr>
              <w:spacing w:after="0" w:line="240" w:lineRule="auto"/>
            </w:pPr>
            <w:r>
              <w:rPr>
                <w:rFonts w:ascii="Aptos" w:hAnsi="Aptos"/>
                <w:sz w:val="16"/>
              </w:rPr>
              <w:t>Perizinan Proyek &amp; Investasi</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2A25F0E">
            <w:pPr>
              <w:spacing w:after="0" w:line="240" w:lineRule="auto"/>
            </w:pPr>
            <w:r>
              <w:rPr>
                <w:rFonts w:ascii="Aptos" w:hAnsi="Aptos"/>
                <w:sz w:val="16"/>
              </w:rPr>
              <w:t>Membantu jalur izin untuk ekspansi, proyek, investasi, dan koordinasi lintas dokumen.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598D776">
            <w:pPr>
              <w:spacing w:after="0" w:line="240" w:lineRule="auto"/>
            </w:pPr>
            <w:r>
              <w:rPr>
                <w:rFonts w:ascii="Aptos" w:hAnsi="Aptos"/>
                <w:sz w:val="16"/>
              </w:rPr>
              <w:t>Contoh sektor/proyek perlu disetujui.</w:t>
            </w:r>
          </w:p>
        </w:tc>
      </w:tr>
    </w:tbl>
    <w:p w14:paraId="686E51B7">
      <w:pPr>
        <w:spacing w:after="80"/>
      </w:pPr>
    </w:p>
    <w:tbl>
      <w:tblPr>
        <w:tblStyle w:val="12"/>
        <w:tblW w:w="0" w:type="auto"/>
        <w:jc w:val="center"/>
        <w:tblLayout w:type="autofit"/>
        <w:tblCellMar>
          <w:top w:w="0" w:type="dxa"/>
          <w:left w:w="108" w:type="dxa"/>
          <w:bottom w:w="0" w:type="dxa"/>
          <w:right w:w="108" w:type="dxa"/>
        </w:tblCellMar>
      </w:tblPr>
      <w:tblGrid>
        <w:gridCol w:w="5018"/>
        <w:gridCol w:w="5018"/>
      </w:tblGrid>
      <w:tr w14:paraId="13A0E09E">
        <w:tblPrEx>
          <w:tblCellMar>
            <w:top w:w="0" w:type="dxa"/>
            <w:left w:w="108" w:type="dxa"/>
            <w:bottom w:w="0" w:type="dxa"/>
            <w:right w:w="108" w:type="dxa"/>
          </w:tblCellMar>
        </w:tblPrEx>
        <w:trPr>
          <w:jc w:val="center"/>
        </w:trPr>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B18A4B"/>
            <w:vAlign w:val="center"/>
          </w:tcPr>
          <w:p w14:paraId="5FF3E2DB"/>
        </w:tc>
        <w:tc>
          <w:tcPr>
            <w:tcW w:w="5018" w:type="dxa"/>
            <w:tcBorders>
              <w:top w:val="single" w:color="FFF7ED" w:sz="4" w:space="0"/>
              <w:left w:val="single" w:color="FFF7ED" w:sz="4" w:space="0"/>
              <w:bottom w:val="single" w:color="FFF7ED" w:sz="4" w:space="0"/>
              <w:right w:val="single" w:color="FFF7ED" w:sz="4" w:space="0"/>
              <w:insideH w:val="single" w:sz="4" w:space="0"/>
              <w:insideV w:val="single" w:sz="4" w:space="0"/>
            </w:tcBorders>
            <w:shd w:val="clear" w:color="auto" w:fill="FFF7ED"/>
            <w:vAlign w:val="center"/>
          </w:tcPr>
          <w:p w14:paraId="6359D7F2">
            <w:r>
              <w:rPr>
                <w:b/>
                <w:color w:val="0B0B0C"/>
                <w:sz w:val="19"/>
              </w:rPr>
              <w:t>Batasan scope</w:t>
            </w:r>
            <w:r>
              <w:rPr>
                <w:b/>
                <w:color w:val="0B0B0C"/>
                <w:sz w:val="19"/>
              </w:rPr>
              <w:br w:type="textWrapping"/>
            </w:r>
            <w:r>
              <w:rPr>
                <w:color w:val="4B5563"/>
                <w:sz w:val="18"/>
              </w:rPr>
              <w:t>Audit IZIN.co.id menunjukkan peluang izin sektoral kompleks dan compliance retainer, tetapi final website structure tetap mengikuti empat kategori layanan aktif dari Discovery. Peluang pendukung dapat masuk sebagai subtopic atau future roadmap setelah konfirmasi.</w:t>
            </w:r>
          </w:p>
        </w:tc>
      </w:tr>
    </w:tbl>
    <w:p w14:paraId="4C602AE1">
      <w:pPr>
        <w:pStyle w:val="2"/>
        <w:spacing w:before="160" w:after="80"/>
      </w:pPr>
      <w:r>
        <w:t>9. Message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456"/>
        <w:gridCol w:w="4320"/>
      </w:tblGrid>
      <w:tr w14:paraId="544D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7F1B4AF">
            <w:pPr>
              <w:spacing w:after="0" w:line="240" w:lineRule="auto"/>
              <w:jc w:val="center"/>
            </w:pPr>
            <w:r>
              <w:rPr>
                <w:rFonts w:ascii="Aptos" w:hAnsi="Aptos"/>
                <w:b/>
                <w:color w:val="FFFFFF"/>
                <w:sz w:val="16"/>
              </w:rPr>
              <w:t>Urutan Pesan</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9C09D1F">
            <w:pPr>
              <w:spacing w:after="0" w:line="240" w:lineRule="auto"/>
              <w:jc w:val="center"/>
            </w:pPr>
            <w:r>
              <w:rPr>
                <w:rFonts w:ascii="Aptos" w:hAnsi="Aptos"/>
                <w:b/>
                <w:color w:val="FFFFFF"/>
                <w:sz w:val="16"/>
              </w:rPr>
              <w:t>Fungsi</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24E6A151">
            <w:pPr>
              <w:spacing w:after="0" w:line="240" w:lineRule="auto"/>
              <w:jc w:val="center"/>
            </w:pPr>
            <w:r>
              <w:rPr>
                <w:rFonts w:ascii="Aptos" w:hAnsi="Aptos"/>
                <w:b/>
                <w:color w:val="FFFFFF"/>
                <w:sz w:val="16"/>
              </w:rPr>
              <w:t>Penerapan</w:t>
            </w:r>
          </w:p>
        </w:tc>
      </w:tr>
      <w:tr w14:paraId="3795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83B0AA7">
            <w:pPr>
              <w:spacing w:after="0" w:line="240" w:lineRule="auto"/>
            </w:pPr>
            <w:r>
              <w:rPr>
                <w:rFonts w:ascii="Aptos" w:hAnsi="Aptos"/>
                <w:sz w:val="16"/>
              </w:rPr>
              <w:t>Activity</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F1C13B8">
            <w:pPr>
              <w:spacing w:after="0" w:line="240" w:lineRule="auto"/>
            </w:pPr>
            <w:r>
              <w:rPr>
                <w:rFonts w:ascii="Aptos" w:hAnsi="Aptos"/>
                <w:sz w:val="16"/>
              </w:rPr>
              <w:t>Namakan aktivitas bisnis, aksi entitas, proyek, atau compliance event.</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06671D8">
            <w:pPr>
              <w:spacing w:after="0" w:line="240" w:lineRule="auto"/>
            </w:pPr>
            <w:r>
              <w:rPr>
                <w:rFonts w:ascii="Aptos" w:hAnsi="Aptos"/>
                <w:sz w:val="16"/>
              </w:rPr>
              <w:t>Contoh: pendirian PT, ekspansi lokasi, izin produk, review kepatuhan.</w:t>
            </w:r>
          </w:p>
        </w:tc>
      </w:tr>
      <w:tr w14:paraId="4A21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B4B1AD4">
            <w:pPr>
              <w:spacing w:after="0" w:line="240" w:lineRule="auto"/>
            </w:pPr>
            <w:r>
              <w:rPr>
                <w:rFonts w:ascii="Aptos" w:hAnsi="Aptos"/>
                <w:sz w:val="16"/>
              </w:rPr>
              <w:t>Regulatory problem</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C17B5BC">
            <w:pPr>
              <w:spacing w:after="0" w:line="240" w:lineRule="auto"/>
            </w:pPr>
            <w:r>
              <w:rPr>
                <w:rFonts w:ascii="Aptos" w:hAnsi="Aptos"/>
                <w:sz w:val="16"/>
              </w:rPr>
              <w:t>Jelaskan isu klasifikasi, risk level, dokumen, otoritas, atau sequencing.</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4D6DA64">
            <w:pPr>
              <w:spacing w:after="0" w:line="240" w:lineRule="auto"/>
            </w:pPr>
            <w:r>
              <w:rPr>
                <w:rFonts w:ascii="Aptos" w:hAnsi="Aptos"/>
                <w:sz w:val="16"/>
              </w:rPr>
              <w:t>Jangan terlalu teknis tanpa konteks bisnis.</w:t>
            </w:r>
          </w:p>
        </w:tc>
      </w:tr>
      <w:tr w14:paraId="5079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1321CD3">
            <w:pPr>
              <w:spacing w:after="0" w:line="240" w:lineRule="auto"/>
            </w:pPr>
            <w:r>
              <w:rPr>
                <w:rFonts w:ascii="Aptos" w:hAnsi="Aptos"/>
                <w:sz w:val="16"/>
              </w:rPr>
              <w:t>Support</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E660523">
            <w:pPr>
              <w:spacing w:after="0" w:line="240" w:lineRule="auto"/>
            </w:pPr>
            <w:r>
              <w:rPr>
                <w:rFonts w:ascii="Aptos" w:hAnsi="Aptos"/>
                <w:sz w:val="16"/>
              </w:rPr>
              <w:t>Jelaskan bagaimana GP map, prepare, coordinate, monitor, atau review.</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D8C5EE5">
            <w:pPr>
              <w:spacing w:after="0" w:line="240" w:lineRule="auto"/>
            </w:pPr>
            <w:r>
              <w:rPr>
                <w:rFonts w:ascii="Aptos" w:hAnsi="Aptos"/>
                <w:sz w:val="16"/>
              </w:rPr>
              <w:t>Gunakan kata kerja praktis dan terverifikasi.</w:t>
            </w:r>
          </w:p>
        </w:tc>
      </w:tr>
      <w:tr w14:paraId="79F1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42D5ABF">
            <w:pPr>
              <w:spacing w:after="0" w:line="240" w:lineRule="auto"/>
            </w:pPr>
            <w:r>
              <w:rPr>
                <w:rFonts w:ascii="Aptos" w:hAnsi="Aptos"/>
                <w:sz w:val="16"/>
              </w:rPr>
              <w:t>Next step</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BB409D3">
            <w:pPr>
              <w:spacing w:after="0" w:line="240" w:lineRule="auto"/>
            </w:pPr>
            <w:r>
              <w:rPr>
                <w:rFonts w:ascii="Aptos" w:hAnsi="Aptos"/>
                <w:sz w:val="16"/>
              </w:rPr>
              <w:t>Arahkan ke assessment, service review, WhatsApp, atau kontak.</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6A4F459">
            <w:pPr>
              <w:spacing w:after="0" w:line="240" w:lineRule="auto"/>
            </w:pPr>
            <w:r>
              <w:rPr>
                <w:rFonts w:ascii="Aptos" w:hAnsi="Aptos"/>
                <w:sz w:val="16"/>
              </w:rPr>
              <w:t>CTA harus spesifik dan tidak generik.</w:t>
            </w:r>
          </w:p>
        </w:tc>
      </w:tr>
      <w:tr w14:paraId="6FDF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DAD0F54">
            <w:pPr>
              <w:spacing w:after="0" w:line="240" w:lineRule="auto"/>
            </w:pPr>
            <w:r>
              <w:rPr>
                <w:rFonts w:ascii="Aptos" w:hAnsi="Aptos"/>
                <w:sz w:val="16"/>
              </w:rPr>
              <w:t>Boundary</w:t>
            </w:r>
          </w:p>
        </w:tc>
        <w:tc>
          <w:tcPr>
            <w:tcW w:w="345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CCD1D54">
            <w:pPr>
              <w:spacing w:after="0" w:line="240" w:lineRule="auto"/>
            </w:pPr>
            <w:r>
              <w:rPr>
                <w:rFonts w:ascii="Aptos" w:hAnsi="Aptos"/>
                <w:sz w:val="16"/>
              </w:rPr>
              <w:t>Sampaikan bahwa informasi umum bukan nasihat hukum spesifik dan hasil tunduk pada otoritas terkait.</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5AB2838">
            <w:pPr>
              <w:spacing w:after="0" w:line="240" w:lineRule="auto"/>
            </w:pPr>
            <w:r>
              <w:rPr>
                <w:rFonts w:ascii="Aptos" w:hAnsi="Aptos"/>
                <w:sz w:val="16"/>
              </w:rPr>
              <w:t>Disclaimer wajib ada.</w:t>
            </w:r>
          </w:p>
        </w:tc>
      </w:tr>
    </w:tbl>
    <w:p w14:paraId="78A86BEF">
      <w:pPr>
        <w:spacing w:after="80"/>
      </w:pPr>
    </w:p>
    <w:p w14:paraId="24FA1C55">
      <w:pPr>
        <w:spacing w:after="80"/>
      </w:pPr>
      <w:r>
        <w:br w:type="page"/>
      </w:r>
    </w:p>
    <w:p w14:paraId="58A70A17">
      <w:pPr>
        <w:pStyle w:val="2"/>
        <w:spacing w:before="160" w:after="80"/>
      </w:pPr>
      <w:r>
        <w:t>10. Tone of Voice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4032"/>
        <w:gridCol w:w="3744"/>
      </w:tblGrid>
      <w:tr w14:paraId="21EA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0C6BD95">
            <w:pPr>
              <w:spacing w:after="0" w:line="240" w:lineRule="auto"/>
              <w:jc w:val="center"/>
            </w:pPr>
            <w:r>
              <w:rPr>
                <w:rFonts w:ascii="Aptos" w:hAnsi="Aptos"/>
                <w:b/>
                <w:color w:val="FFFFFF"/>
                <w:sz w:val="16"/>
              </w:rPr>
              <w:t>Trait</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F3740BE">
            <w:pPr>
              <w:spacing w:after="0" w:line="240" w:lineRule="auto"/>
              <w:jc w:val="center"/>
            </w:pPr>
            <w:r>
              <w:rPr>
                <w:rFonts w:ascii="Aptos" w:hAnsi="Aptos"/>
                <w:b/>
                <w:color w:val="FFFFFF"/>
                <w:sz w:val="16"/>
              </w:rPr>
              <w:t>Cara Menulis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43F1FBB9">
            <w:pPr>
              <w:spacing w:after="0" w:line="240" w:lineRule="auto"/>
              <w:jc w:val="center"/>
            </w:pPr>
            <w:r>
              <w:rPr>
                <w:rFonts w:ascii="Aptos" w:hAnsi="Aptos"/>
                <w:b/>
                <w:color w:val="FFFFFF"/>
                <w:sz w:val="16"/>
              </w:rPr>
              <w:t>Yang Harus Dihindari</w:t>
            </w:r>
          </w:p>
        </w:tc>
      </w:tr>
      <w:tr w14:paraId="3110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5C18F1F">
            <w:pPr>
              <w:spacing w:after="0" w:line="240" w:lineRule="auto"/>
            </w:pPr>
            <w:r>
              <w:rPr>
                <w:rFonts w:ascii="Aptos" w:hAnsi="Aptos"/>
                <w:sz w:val="16"/>
              </w:rPr>
              <w:t>Calm</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23EA07D">
            <w:pPr>
              <w:spacing w:after="0" w:line="240" w:lineRule="auto"/>
            </w:pPr>
            <w:r>
              <w:rPr>
                <w:rFonts w:ascii="Aptos" w:hAnsi="Aptos"/>
                <w:sz w:val="16"/>
              </w:rPr>
              <w:t>Mengurangi noise dan membuat next step terlihat.</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64E28A">
            <w:pPr>
              <w:spacing w:after="0" w:line="240" w:lineRule="auto"/>
            </w:pPr>
            <w:r>
              <w:rPr>
                <w:rFonts w:ascii="Aptos" w:hAnsi="Aptos"/>
                <w:sz w:val="16"/>
              </w:rPr>
              <w:t>Nada alarmist atau menakut-nakuti.</w:t>
            </w:r>
          </w:p>
        </w:tc>
      </w:tr>
      <w:tr w14:paraId="273B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08183F0">
            <w:pPr>
              <w:spacing w:after="0" w:line="240" w:lineRule="auto"/>
            </w:pPr>
            <w:r>
              <w:rPr>
                <w:rFonts w:ascii="Aptos" w:hAnsi="Aptos"/>
                <w:sz w:val="16"/>
              </w:rPr>
              <w:t>Precise</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B09C5B4">
            <w:pPr>
              <w:spacing w:after="0" w:line="240" w:lineRule="auto"/>
            </w:pPr>
            <w:r>
              <w:rPr>
                <w:rFonts w:ascii="Aptos" w:hAnsi="Aptos"/>
                <w:sz w:val="16"/>
              </w:rPr>
              <w:t>Memakai istilah legal/regulasi yang akurat sambil menandai uncertainty.</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AE2F4BD">
            <w:pPr>
              <w:spacing w:after="0" w:line="240" w:lineRule="auto"/>
            </w:pPr>
            <w:r>
              <w:rPr>
                <w:rFonts w:ascii="Aptos" w:hAnsi="Aptos"/>
                <w:sz w:val="16"/>
              </w:rPr>
              <w:t>Istilah outdated tanpa konteks, klaim teknis yang belum diverifikasi.</w:t>
            </w:r>
          </w:p>
        </w:tc>
      </w:tr>
      <w:tr w14:paraId="686E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C8D705C">
            <w:pPr>
              <w:spacing w:after="0" w:line="240" w:lineRule="auto"/>
            </w:pPr>
            <w:r>
              <w:rPr>
                <w:rFonts w:ascii="Aptos" w:hAnsi="Aptos"/>
                <w:sz w:val="16"/>
              </w:rPr>
              <w:t>Practical</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5C46E54">
            <w:pPr>
              <w:spacing w:after="0" w:line="240" w:lineRule="auto"/>
            </w:pPr>
            <w:r>
              <w:rPr>
                <w:rFonts w:ascii="Aptos" w:hAnsi="Aptos"/>
                <w:sz w:val="16"/>
              </w:rPr>
              <w:t>Menghubungkan requirement dengan tindakan bisnis.</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92422CF">
            <w:pPr>
              <w:spacing w:after="0" w:line="240" w:lineRule="auto"/>
            </w:pPr>
            <w:r>
              <w:rPr>
                <w:rFonts w:ascii="Aptos" w:hAnsi="Aptos"/>
                <w:sz w:val="16"/>
              </w:rPr>
              <w:t>Copy abstrak atau jargon legal panjang.</w:t>
            </w:r>
          </w:p>
        </w:tc>
      </w:tr>
      <w:tr w14:paraId="22F7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F0F00A">
            <w:pPr>
              <w:spacing w:after="0" w:line="240" w:lineRule="auto"/>
            </w:pPr>
            <w:r>
              <w:rPr>
                <w:rFonts w:ascii="Aptos" w:hAnsi="Aptos"/>
                <w:sz w:val="16"/>
              </w:rPr>
              <w:t>Commercially aware</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3FEE354">
            <w:pPr>
              <w:spacing w:after="0" w:line="240" w:lineRule="auto"/>
            </w:pPr>
            <w:r>
              <w:rPr>
                <w:rFonts w:ascii="Aptos" w:hAnsi="Aptos"/>
                <w:sz w:val="16"/>
              </w:rPr>
              <w:t>Membingkai compliance untuk expansion, continuity, risk, dan investment.</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C75045B">
            <w:pPr>
              <w:spacing w:after="0" w:line="240" w:lineRule="auto"/>
            </w:pPr>
            <w:r>
              <w:rPr>
                <w:rFonts w:ascii="Aptos" w:hAnsi="Aptos"/>
                <w:sz w:val="16"/>
              </w:rPr>
              <w:t>Konten hukum yang tidak membantu keputusan bisnis.</w:t>
            </w:r>
          </w:p>
        </w:tc>
      </w:tr>
      <w:tr w14:paraId="7DD3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C198B88">
            <w:pPr>
              <w:spacing w:after="0" w:line="240" w:lineRule="auto"/>
            </w:pPr>
            <w:r>
              <w:rPr>
                <w:rFonts w:ascii="Aptos" w:hAnsi="Aptos"/>
                <w:sz w:val="16"/>
              </w:rPr>
              <w:t>Premium &amp; decisive</w:t>
            </w:r>
          </w:p>
        </w:tc>
        <w:tc>
          <w:tcPr>
            <w:tcW w:w="4032"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AF76417">
            <w:pPr>
              <w:spacing w:after="0" w:line="240" w:lineRule="auto"/>
            </w:pPr>
            <w:r>
              <w:rPr>
                <w:rFonts w:ascii="Aptos" w:hAnsi="Aptos"/>
                <w:sz w:val="16"/>
              </w:rPr>
              <w:t>Authority dibangun lewat restraint, hierarchy, dan bukti.</w:t>
            </w:r>
          </w:p>
        </w:tc>
        <w:tc>
          <w:tcPr>
            <w:tcW w:w="374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6860315">
            <w:pPr>
              <w:spacing w:after="0" w:line="240" w:lineRule="auto"/>
            </w:pPr>
            <w:r>
              <w:rPr>
                <w:rFonts w:ascii="Aptos" w:hAnsi="Aptos"/>
                <w:sz w:val="16"/>
              </w:rPr>
              <w:t>Superlative berlebihan, “terbaik”, “tercepat”, “100% approved”.</w:t>
            </w:r>
          </w:p>
        </w:tc>
      </w:tr>
    </w:tbl>
    <w:p w14:paraId="3833533C">
      <w:pPr>
        <w:spacing w:after="80"/>
      </w:pPr>
    </w:p>
    <w:p w14:paraId="6111BE15">
      <w:pPr>
        <w:pStyle w:val="2"/>
        <w:spacing w:before="160" w:after="80"/>
      </w:pPr>
      <w:r>
        <w:t>11. Prinsip Visual dan UI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920"/>
      </w:tblGrid>
      <w:tr w14:paraId="281D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5BDC78B">
            <w:pPr>
              <w:spacing w:after="0" w:line="240" w:lineRule="auto"/>
              <w:jc w:val="center"/>
            </w:pPr>
            <w:r>
              <w:rPr>
                <w:rFonts w:ascii="Aptos" w:hAnsi="Aptos"/>
                <w:b/>
                <w:color w:val="FFFFFF"/>
                <w:sz w:val="16"/>
              </w:rPr>
              <w:t>Elemen</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626F9B63">
            <w:pPr>
              <w:spacing w:after="0" w:line="240" w:lineRule="auto"/>
              <w:jc w:val="center"/>
            </w:pPr>
            <w:r>
              <w:rPr>
                <w:rFonts w:ascii="Aptos" w:hAnsi="Aptos"/>
                <w:b/>
                <w:color w:val="FFFFFF"/>
                <w:sz w:val="16"/>
              </w:rPr>
              <w:t>Arahan</w:t>
            </w:r>
          </w:p>
        </w:tc>
      </w:tr>
      <w:tr w14:paraId="6730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B967FBF">
            <w:pPr>
              <w:spacing w:after="0" w:line="240" w:lineRule="auto"/>
            </w:pPr>
            <w:r>
              <w:rPr>
                <w:rFonts w:ascii="Aptos" w:hAnsi="Aptos"/>
                <w:sz w:val="16"/>
              </w:rPr>
              <w:t>Warna</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5CE2E3D">
            <w:pPr>
              <w:spacing w:after="0" w:line="240" w:lineRule="auto"/>
            </w:pPr>
            <w:r>
              <w:rPr>
                <w:rFonts w:ascii="Aptos" w:hAnsi="Aptos"/>
                <w:sz w:val="16"/>
              </w:rPr>
              <w:t>Base near-black #0B0B0C, paper/off-white #F4F3F1, brand red #C4142A, deep oxblood #720D1C, gold sebagai aksen kecil.</w:t>
            </w:r>
          </w:p>
        </w:tc>
      </w:tr>
      <w:tr w14:paraId="031C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291C9BF">
            <w:pPr>
              <w:spacing w:after="0" w:line="240" w:lineRule="auto"/>
            </w:pPr>
            <w:r>
              <w:rPr>
                <w:rFonts w:ascii="Aptos" w:hAnsi="Aptos"/>
                <w:sz w:val="16"/>
              </w:rPr>
              <w:t>Kesan</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2074B88">
            <w:pPr>
              <w:spacing w:after="0" w:line="240" w:lineRule="auto"/>
            </w:pPr>
            <w:r>
              <w:rPr>
                <w:rFonts w:ascii="Aptos" w:hAnsi="Aptos"/>
                <w:sz w:val="16"/>
              </w:rPr>
              <w:t>Serius, modern, profesional, restrained, premium, dan jelas.</w:t>
            </w:r>
          </w:p>
        </w:tc>
      </w:tr>
      <w:tr w14:paraId="1ADE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ED2657E">
            <w:pPr>
              <w:spacing w:after="0" w:line="240" w:lineRule="auto"/>
            </w:pPr>
            <w:r>
              <w:rPr>
                <w:rFonts w:ascii="Aptos" w:hAnsi="Aptos"/>
                <w:sz w:val="16"/>
              </w:rPr>
              <w:t>Layout</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6139724">
            <w:pPr>
              <w:spacing w:after="0" w:line="240" w:lineRule="auto"/>
            </w:pPr>
            <w:r>
              <w:rPr>
                <w:rFonts w:ascii="Aptos" w:hAnsi="Aptos"/>
                <w:sz w:val="16"/>
              </w:rPr>
              <w:t>Hierarchy tegas, ruang napas cukup, tidak terlalu ramai, tidak memakai dashboard/card berlebihan untuk area utama.</w:t>
            </w:r>
          </w:p>
        </w:tc>
      </w:tr>
      <w:tr w14:paraId="02DD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F23AD48">
            <w:pPr>
              <w:spacing w:after="0" w:line="240" w:lineRule="auto"/>
            </w:pPr>
            <w:r>
              <w:rPr>
                <w:rFonts w:ascii="Aptos" w:hAnsi="Aptos"/>
                <w:sz w:val="16"/>
              </w:rPr>
              <w:t>Bilingual</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D010510">
            <w:pPr>
              <w:spacing w:after="0" w:line="240" w:lineRule="auto"/>
            </w:pPr>
            <w:r>
              <w:rPr>
                <w:rFonts w:ascii="Aptos" w:hAnsi="Aptos"/>
                <w:sz w:val="16"/>
              </w:rPr>
              <w:t>Bahasa Indonesia utama; English tersedia untuk international teams, tetap menjaga istilah resmi Indonesia.</w:t>
            </w:r>
          </w:p>
        </w:tc>
      </w:tr>
      <w:tr w14:paraId="1F67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5A22216">
            <w:pPr>
              <w:spacing w:after="0" w:line="240" w:lineRule="auto"/>
            </w:pPr>
            <w:r>
              <w:rPr>
                <w:rFonts w:ascii="Aptos" w:hAnsi="Aptos"/>
                <w:sz w:val="16"/>
              </w:rPr>
              <w:t>Accessibility</w:t>
            </w:r>
          </w:p>
        </w:tc>
        <w:tc>
          <w:tcPr>
            <w:tcW w:w="79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AE67A97">
            <w:pPr>
              <w:spacing w:after="0" w:line="240" w:lineRule="auto"/>
            </w:pPr>
            <w:r>
              <w:rPr>
                <w:rFonts w:ascii="Aptos" w:hAnsi="Aptos"/>
                <w:sz w:val="16"/>
              </w:rPr>
              <w:t>Kontras tinggi, ukuran teks terbaca, CTA jelas, dan disclaimer mudah ditemukan.</w:t>
            </w:r>
          </w:p>
        </w:tc>
      </w:tr>
    </w:tbl>
    <w:p w14:paraId="44E6FD28">
      <w:pPr>
        <w:spacing w:after="80"/>
      </w:pPr>
    </w:p>
    <w:p w14:paraId="460973BF">
      <w:pPr>
        <w:pStyle w:val="2"/>
        <w:spacing w:before="160" w:after="80"/>
      </w:pPr>
      <w:r>
        <w:t>12. Claim Discipline dan Governance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8"/>
        <w:gridCol w:w="3168"/>
      </w:tblGrid>
      <w:tr w14:paraId="7CC3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5C84448">
            <w:pPr>
              <w:spacing w:after="0" w:line="240" w:lineRule="auto"/>
              <w:jc w:val="center"/>
            </w:pPr>
            <w:r>
              <w:rPr>
                <w:rFonts w:ascii="Aptos" w:hAnsi="Aptos"/>
                <w:b/>
                <w:color w:val="FFFFFF"/>
                <w:sz w:val="16"/>
              </w:rPr>
              <w:t>Aman Dijelaskan</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1AD9F76">
            <w:pPr>
              <w:spacing w:after="0" w:line="240" w:lineRule="auto"/>
              <w:jc w:val="center"/>
            </w:pPr>
            <w:r>
              <w:rPr>
                <w:rFonts w:ascii="Aptos" w:hAnsi="Aptos"/>
                <w:b/>
                <w:color w:val="FFFFFF"/>
                <w:sz w:val="16"/>
              </w:rPr>
              <w:t>Verifikasi Sebelum Dipakai</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7E980853">
            <w:pPr>
              <w:spacing w:after="0" w:line="240" w:lineRule="auto"/>
              <w:jc w:val="center"/>
            </w:pPr>
            <w:r>
              <w:rPr>
                <w:rFonts w:ascii="Aptos" w:hAnsi="Aptos"/>
                <w:b/>
                <w:color w:val="FFFFFF"/>
                <w:sz w:val="16"/>
              </w:rPr>
              <w:t>Butuh Consent</w:t>
            </w:r>
          </w:p>
        </w:tc>
      </w:tr>
      <w:tr w14:paraId="43F8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71439AA">
            <w:pPr>
              <w:spacing w:after="0" w:line="240" w:lineRule="auto"/>
            </w:pPr>
            <w:r>
              <w:rPr>
                <w:rFonts w:ascii="Aptos" w:hAnsi="Aptos"/>
                <w:sz w:val="16"/>
              </w:rPr>
              <w:t>Service process; operator legal PT Karya Usaha Sukses; berdiri sejak 2015; Kota Tangerang</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8C26E77">
            <w:pPr>
              <w:spacing w:after="0" w:line="240" w:lineRule="auto"/>
            </w:pPr>
            <w:r>
              <w:rPr>
                <w:rFonts w:ascii="Aptos" w:hAnsi="Aptos"/>
                <w:sz w:val="16"/>
              </w:rPr>
              <w:t>Nomor registrasi; kontak publik GP; alamat jalan lengkap</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906A071">
            <w:pPr>
              <w:spacing w:after="0" w:line="240" w:lineRule="auto"/>
            </w:pPr>
            <w:r>
              <w:rPr>
                <w:rFonts w:ascii="Aptos" w:hAnsi="Aptos"/>
                <w:sz w:val="16"/>
              </w:rPr>
              <w:t>Client identities</w:t>
            </w:r>
          </w:p>
        </w:tc>
      </w:tr>
      <w:tr w14:paraId="15CD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519A4D0">
            <w:pPr>
              <w:spacing w:after="0" w:line="240" w:lineRule="auto"/>
            </w:pPr>
            <w:r>
              <w:rPr>
                <w:rFonts w:ascii="Aptos" w:hAnsi="Aptos"/>
                <w:sz w:val="16"/>
              </w:rPr>
              <w:t>Regulatory topics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DEF42C9">
            <w:pPr>
              <w:spacing w:after="0" w:line="240" w:lineRule="auto"/>
            </w:pPr>
            <w:r>
              <w:rPr>
                <w:rFonts w:ascii="Aptos" w:hAnsi="Aptos"/>
                <w:sz w:val="16"/>
              </w:rPr>
              <w:t>Registration/credential</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A9D8445">
            <w:pPr>
              <w:spacing w:after="0" w:line="240" w:lineRule="auto"/>
            </w:pPr>
            <w:r>
              <w:rPr>
                <w:rFonts w:ascii="Aptos" w:hAnsi="Aptos"/>
                <w:sz w:val="16"/>
              </w:rPr>
              <w:t>Client logos</w:t>
            </w:r>
          </w:p>
        </w:tc>
      </w:tr>
      <w:tr w14:paraId="4B6B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B2F13B9">
            <w:pPr>
              <w:spacing w:after="0" w:line="240" w:lineRule="auto"/>
            </w:pPr>
            <w:r>
              <w:rPr>
                <w:rFonts w:ascii="Aptos" w:hAnsi="Aptos"/>
                <w:sz w:val="16"/>
              </w:rPr>
              <w:t>Scope boundaries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22B5794">
            <w:pPr>
              <w:spacing w:after="0" w:line="240" w:lineRule="auto"/>
            </w:pPr>
            <w:r>
              <w:rPr>
                <w:rFonts w:ascii="Aptos" w:hAnsi="Aptos"/>
                <w:sz w:val="16"/>
              </w:rPr>
              <w:t>Statistik, milestone selain 2015, harga, timeline, dan hasil proyek</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02E6BFD">
            <w:pPr>
              <w:spacing w:after="0" w:line="240" w:lineRule="auto"/>
            </w:pPr>
            <w:r>
              <w:rPr>
                <w:rFonts w:ascii="Aptos" w:hAnsi="Aptos"/>
                <w:sz w:val="16"/>
              </w:rPr>
              <w:t>Testimonials</w:t>
            </w:r>
          </w:p>
        </w:tc>
      </w:tr>
      <w:tr w14:paraId="6818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97C1976">
            <w:pPr>
              <w:spacing w:after="0" w:line="240" w:lineRule="auto"/>
            </w:pPr>
            <w:r>
              <w:rPr>
                <w:rFonts w:ascii="Aptos" w:hAnsi="Aptos"/>
                <w:sz w:val="16"/>
              </w:rPr>
              <w:t>General next steps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004D77D">
            <w:pPr>
              <w:spacing w:after="0" w:line="240" w:lineRule="auto"/>
            </w:pPr>
            <w:r>
              <w:rPr>
                <w:rFonts w:ascii="Aptos" w:hAnsi="Aptos"/>
                <w:sz w:val="16"/>
              </w:rPr>
              <w:t>Prices and timelines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2CA9E35">
            <w:pPr>
              <w:spacing w:after="0" w:line="240" w:lineRule="auto"/>
            </w:pPr>
            <w:r>
              <w:rPr>
                <w:rFonts w:ascii="Aptos" w:hAnsi="Aptos"/>
                <w:sz w:val="16"/>
              </w:rPr>
              <w:t>Project details</w:t>
            </w:r>
          </w:p>
        </w:tc>
      </w:tr>
      <w:tr w14:paraId="5FD6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EB20595">
            <w:pPr>
              <w:spacing w:after="0" w:line="240" w:lineRule="auto"/>
            </w:pPr>
            <w:r>
              <w:rPr>
                <w:rFonts w:ascii="Aptos" w:hAnsi="Aptos"/>
                <w:sz w:val="16"/>
              </w:rPr>
              <w:t>Artikel hanya setelah legal/editorial review; preview staging dikecualikan dari launch</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25934A1">
            <w:pPr>
              <w:spacing w:after="0" w:line="240" w:lineRule="auto"/>
            </w:pPr>
            <w:r>
              <w:rPr>
                <w:rFonts w:ascii="Aptos" w:hAnsi="Aptos"/>
                <w:sz w:val="16"/>
              </w:rPr>
              <w:t>Project outcomes/metrics</w:t>
            </w:r>
          </w:p>
        </w:tc>
        <w:tc>
          <w:tcPr>
            <w:tcW w:w="316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D83A79">
            <w:pPr>
              <w:spacing w:after="0" w:line="240" w:lineRule="auto"/>
            </w:pPr>
            <w:r>
              <w:rPr>
                <w:rFonts w:ascii="Aptos" w:hAnsi="Aptos"/>
                <w:sz w:val="16"/>
              </w:rPr>
              <w:t>Official photography/sensitive documents</w:t>
            </w:r>
          </w:p>
        </w:tc>
      </w:tr>
    </w:tbl>
    <w:p w14:paraId="600158BF">
      <w:pPr>
        <w:spacing w:after="80"/>
      </w:pPr>
    </w:p>
    <w:tbl>
      <w:tblPr>
        <w:tblStyle w:val="12"/>
        <w:tblW w:w="0" w:type="auto"/>
        <w:jc w:val="center"/>
        <w:tblLayout w:type="autofit"/>
        <w:tblCellMar>
          <w:top w:w="0" w:type="dxa"/>
          <w:left w:w="108" w:type="dxa"/>
          <w:bottom w:w="0" w:type="dxa"/>
          <w:right w:w="108" w:type="dxa"/>
        </w:tblCellMar>
      </w:tblPr>
      <w:tblGrid>
        <w:gridCol w:w="5018"/>
        <w:gridCol w:w="5018"/>
      </w:tblGrid>
      <w:tr w14:paraId="4EE507E4">
        <w:tblPrEx>
          <w:tblCellMar>
            <w:top w:w="0" w:type="dxa"/>
            <w:left w:w="108" w:type="dxa"/>
            <w:bottom w:w="0" w:type="dxa"/>
            <w:right w:w="108" w:type="dxa"/>
          </w:tblCellMar>
        </w:tblPrEx>
        <w:trPr>
          <w:jc w:val="center"/>
        </w:trPr>
        <w:tc>
          <w:tcPr>
            <w:tcW w:w="5018" w:type="dxa"/>
            <w:tcBorders>
              <w:top w:val="single" w:color="F3F4F6" w:sz="4" w:space="0"/>
              <w:left w:val="single" w:color="F3F4F6" w:sz="4" w:space="0"/>
              <w:bottom w:val="single" w:color="F3F4F6" w:sz="4" w:space="0"/>
              <w:right w:val="single" w:color="F3F4F6" w:sz="4" w:space="0"/>
              <w:insideH w:val="single" w:sz="4" w:space="0"/>
              <w:insideV w:val="single" w:sz="4" w:space="0"/>
            </w:tcBorders>
            <w:shd w:val="clear" w:color="auto" w:fill="C4142A"/>
            <w:vAlign w:val="center"/>
          </w:tcPr>
          <w:p w14:paraId="1744FF5B"/>
        </w:tc>
        <w:tc>
          <w:tcPr>
            <w:tcW w:w="5018" w:type="dxa"/>
            <w:tcBorders>
              <w:top w:val="single" w:color="F3F4F6" w:sz="4" w:space="0"/>
              <w:left w:val="single" w:color="F3F4F6" w:sz="4" w:space="0"/>
              <w:bottom w:val="single" w:color="F3F4F6" w:sz="4" w:space="0"/>
              <w:right w:val="single" w:color="F3F4F6" w:sz="4" w:space="0"/>
              <w:insideH w:val="single" w:sz="4" w:space="0"/>
              <w:insideV w:val="single" w:sz="4" w:space="0"/>
            </w:tcBorders>
            <w:shd w:val="clear" w:color="auto" w:fill="F3F4F6"/>
            <w:vAlign w:val="center"/>
          </w:tcPr>
          <w:p w14:paraId="05EB7E37">
            <w:r>
              <w:rPr>
                <w:b/>
                <w:color w:val="0B0B0C"/>
                <w:sz w:val="19"/>
              </w:rPr>
              <w:t>Required disclaimer</w:t>
            </w:r>
            <w:r>
              <w:rPr>
                <w:b/>
                <w:color w:val="0B0B0C"/>
                <w:sz w:val="19"/>
              </w:rPr>
              <w:br w:type="textWrapping"/>
            </w:r>
            <w:r>
              <w:rPr>
                <w:color w:val="4B5563"/>
                <w:sz w:val="18"/>
              </w:rPr>
              <w:t>Information on this website is general and does not constitute legal advice for a specific matter.</w:t>
            </w:r>
          </w:p>
        </w:tc>
      </w:tr>
    </w:tbl>
    <w:p w14:paraId="2DA52C31">
      <w:pPr>
        <w:spacing w:after="80"/>
      </w:pPr>
      <w:r>
        <w:br w:type="page"/>
      </w:r>
    </w:p>
    <w:p w14:paraId="1EBF7007">
      <w:pPr>
        <w:pStyle w:val="2"/>
        <w:spacing w:before="160" w:after="80"/>
      </w:pPr>
      <w:r>
        <w:t>13. Implikasi ke Struktur Halaman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4896"/>
        <w:gridCol w:w="2736"/>
      </w:tblGrid>
      <w:tr w14:paraId="6BAB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062FD76">
            <w:pPr>
              <w:spacing w:after="0" w:line="240" w:lineRule="auto"/>
              <w:jc w:val="center"/>
            </w:pPr>
            <w:r>
              <w:rPr>
                <w:rFonts w:ascii="Aptos" w:hAnsi="Aptos"/>
                <w:b/>
                <w:color w:val="FFFFFF"/>
                <w:sz w:val="16"/>
              </w:rPr>
              <w:t>Halaman</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123901E9">
            <w:pPr>
              <w:spacing w:after="0" w:line="240" w:lineRule="auto"/>
              <w:jc w:val="center"/>
            </w:pPr>
            <w:r>
              <w:rPr>
                <w:rFonts w:ascii="Aptos" w:hAnsi="Aptos"/>
                <w:b/>
                <w:color w:val="FFFFFF"/>
                <w:sz w:val="16"/>
              </w:rPr>
              <w:t>Peran Brand</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CAFB5D6">
            <w:pPr>
              <w:spacing w:after="0" w:line="240" w:lineRule="auto"/>
              <w:jc w:val="center"/>
            </w:pPr>
            <w:r>
              <w:rPr>
                <w:rFonts w:ascii="Aptos" w:hAnsi="Aptos"/>
                <w:b/>
                <w:color w:val="FFFFFF"/>
                <w:sz w:val="16"/>
              </w:rPr>
              <w:t>Catatan</w:t>
            </w:r>
          </w:p>
        </w:tc>
      </w:tr>
      <w:tr w14:paraId="3CFA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629C114">
            <w:pPr>
              <w:spacing w:after="0" w:line="240" w:lineRule="auto"/>
            </w:pPr>
            <w:r>
              <w:rPr>
                <w:rFonts w:ascii="Aptos" w:hAnsi="Aptos"/>
                <w:sz w:val="16"/>
              </w:rPr>
              <w:t>Home</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D6DCF42">
            <w:pPr>
              <w:spacing w:after="0" w:line="240" w:lineRule="auto"/>
            </w:pPr>
            <w:r>
              <w:rPr>
                <w:rFonts w:ascii="Aptos" w:hAnsi="Aptos"/>
                <w:sz w:val="16"/>
              </w:rPr>
              <w:t>Orientasi utama, positioning, empat kategori, prototype catalog, proses, preview experience/article, dan CTA.</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56B45D2">
            <w:pPr>
              <w:spacing w:after="0" w:line="240" w:lineRule="auto"/>
            </w:pPr>
            <w:r>
              <w:rPr>
                <w:rFonts w:ascii="Aptos" w:hAnsi="Aptos"/>
                <w:sz w:val="16"/>
              </w:rPr>
              <w:t>CURRENT - /id/ dan /en/</w:t>
            </w:r>
          </w:p>
        </w:tc>
      </w:tr>
      <w:tr w14:paraId="45D5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BBAC029">
            <w:pPr>
              <w:spacing w:after="0" w:line="240" w:lineRule="auto"/>
            </w:pPr>
            <w:r>
              <w:rPr>
                <w:rFonts w:ascii="Aptos" w:hAnsi="Aptos"/>
                <w:sz w:val="16"/>
              </w:rPr>
              <w:t>Profile</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77AE54A">
            <w:pPr>
              <w:spacing w:after="0" w:line="240" w:lineRule="auto"/>
            </w:pPr>
            <w:r>
              <w:rPr>
                <w:rFonts w:ascii="Aptos" w:hAnsi="Aptos"/>
                <w:sz w:val="16"/>
              </w:rPr>
              <w:t>Identitas brand/operator, pendekatan, galeri, dan direktori prototype tim.</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7B750C5">
            <w:pPr>
              <w:spacing w:after="0" w:line="240" w:lineRule="auto"/>
            </w:pPr>
            <w:r>
              <w:rPr>
                <w:rFonts w:ascii="Aptos" w:hAnsi="Aptos"/>
                <w:sz w:val="16"/>
              </w:rPr>
              <w:t>CURRENT - /[lang]/profile/</w:t>
            </w:r>
          </w:p>
        </w:tc>
      </w:tr>
      <w:tr w14:paraId="288D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602AD90">
            <w:pPr>
              <w:spacing w:after="0" w:line="240" w:lineRule="auto"/>
            </w:pPr>
            <w:r>
              <w:rPr>
                <w:rFonts w:ascii="Aptos" w:hAnsi="Aptos"/>
                <w:sz w:val="16"/>
              </w:rPr>
              <w:t>Profile Detail</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4661236">
            <w:pPr>
              <w:spacing w:after="0" w:line="240" w:lineRule="auto"/>
            </w:pPr>
            <w:r>
              <w:rPr>
                <w:rFonts w:ascii="Aptos" w:hAnsi="Aptos"/>
                <w:sz w:val="16"/>
              </w:rPr>
              <w:t>High-fidelity profile prototype untuk tiga persona dummy.</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1836260">
            <w:pPr>
              <w:spacing w:after="0" w:line="240" w:lineRule="auto"/>
            </w:pPr>
            <w:r>
              <w:rPr>
                <w:rFonts w:ascii="Aptos" w:hAnsi="Aptos"/>
                <w:sz w:val="16"/>
              </w:rPr>
              <w:t>CURRENT PROTOTYPE - noindex</w:t>
            </w:r>
          </w:p>
        </w:tc>
      </w:tr>
      <w:tr w14:paraId="146F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2810376">
            <w:pPr>
              <w:spacing w:after="0" w:line="240" w:lineRule="auto"/>
            </w:pPr>
            <w:r>
              <w:rPr>
                <w:rFonts w:ascii="Aptos" w:hAnsi="Aptos"/>
                <w:sz w:val="16"/>
              </w:rPr>
              <w:t>Services</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6594F81">
            <w:pPr>
              <w:spacing w:after="0" w:line="240" w:lineRule="auto"/>
            </w:pPr>
            <w:r>
              <w:rPr>
                <w:rFonts w:ascii="Aptos" w:hAnsi="Aptos"/>
                <w:sz w:val="16"/>
              </w:rPr>
              <w:t>Empat kategori layanan utama; detail scope masih provisional.</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EA30AF9">
            <w:pPr>
              <w:spacing w:after="0" w:line="240" w:lineRule="auto"/>
            </w:pPr>
            <w:r>
              <w:rPr>
                <w:rFonts w:ascii="Aptos" w:hAnsi="Aptos"/>
                <w:sz w:val="16"/>
              </w:rPr>
              <w:t>CURRENT - /[lang]/services/</w:t>
            </w:r>
          </w:p>
        </w:tc>
      </w:tr>
      <w:tr w14:paraId="6D08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D973211">
            <w:pPr>
              <w:spacing w:after="0" w:line="240" w:lineRule="auto"/>
            </w:pPr>
            <w:r>
              <w:rPr>
                <w:rFonts w:ascii="Aptos" w:hAnsi="Aptos"/>
                <w:sz w:val="16"/>
              </w:rPr>
              <w:t>Our Experiences</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B78EADC">
            <w:pPr>
              <w:spacing w:after="0" w:line="240" w:lineRule="auto"/>
            </w:pPr>
            <w:r>
              <w:rPr>
                <w:rFonts w:ascii="Aptos" w:hAnsi="Aptos"/>
                <w:sz w:val="16"/>
              </w:rPr>
              <w:t>Tiga experience placeholder untuk prototype.</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A14E020">
            <w:pPr>
              <w:spacing w:after="0" w:line="240" w:lineRule="auto"/>
            </w:pPr>
            <w:r>
              <w:rPr>
                <w:rFonts w:ascii="Aptos" w:hAnsi="Aptos"/>
                <w:sz w:val="16"/>
              </w:rPr>
              <w:t>CURRENT PROTOTYPE - /[lang]/projects/</w:t>
            </w:r>
          </w:p>
        </w:tc>
      </w:tr>
      <w:tr w14:paraId="589B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7B3B492">
            <w:pPr>
              <w:spacing w:after="0" w:line="240" w:lineRule="auto"/>
            </w:pPr>
            <w:r>
              <w:rPr>
                <w:rFonts w:ascii="Aptos" w:hAnsi="Aptos"/>
                <w:sz w:val="16"/>
              </w:rPr>
              <w:t>Blog</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4B9B568">
            <w:pPr>
              <w:spacing w:after="0" w:line="240" w:lineRule="auto"/>
            </w:pPr>
            <w:r>
              <w:rPr>
                <w:rFonts w:ascii="Aptos" w:hAnsi="Aptos"/>
                <w:sz w:val="16"/>
              </w:rPr>
              <w:t>Daftar enam artikel preview bilingual.</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EDC39F4">
            <w:pPr>
              <w:spacing w:after="0" w:line="240" w:lineRule="auto"/>
            </w:pPr>
            <w:r>
              <w:rPr>
                <w:rFonts w:ascii="Aptos" w:hAnsi="Aptos"/>
                <w:sz w:val="16"/>
              </w:rPr>
              <w:t>CURRENT PREVIEW - /[lang]/blog/</w:t>
            </w:r>
          </w:p>
        </w:tc>
      </w:tr>
      <w:tr w14:paraId="33F7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98A60A0">
            <w:pPr>
              <w:spacing w:after="0" w:line="240" w:lineRule="auto"/>
            </w:pPr>
            <w:r>
              <w:rPr>
                <w:rFonts w:ascii="Aptos" w:hAnsi="Aptos"/>
                <w:sz w:val="16"/>
              </w:rPr>
              <w:t>Article Detail</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CBD504B">
            <w:pPr>
              <w:spacing w:after="0" w:line="240" w:lineRule="auto"/>
            </w:pPr>
            <w:r>
              <w:rPr>
                <w:rFonts w:ascii="Aptos" w:hAnsi="Aptos"/>
                <w:sz w:val="16"/>
              </w:rPr>
              <w:t>Artikel preview; tidak ikut launch sebelum review.</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127B0B1">
            <w:pPr>
              <w:spacing w:after="0" w:line="240" w:lineRule="auto"/>
            </w:pPr>
            <w:r>
              <w:rPr>
                <w:rFonts w:ascii="Aptos" w:hAnsi="Aptos"/>
                <w:sz w:val="16"/>
              </w:rPr>
              <w:t>CURRENT PREVIEW - 6 routes</w:t>
            </w:r>
          </w:p>
        </w:tc>
      </w:tr>
      <w:tr w14:paraId="2763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E0E7D11">
            <w:pPr>
              <w:spacing w:after="0" w:line="240" w:lineRule="auto"/>
            </w:pPr>
            <w:r>
              <w:rPr>
                <w:rFonts w:ascii="Aptos" w:hAnsi="Aptos"/>
                <w:sz w:val="16"/>
              </w:rPr>
              <w:t>Contact</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B786620">
            <w:pPr>
              <w:spacing w:after="0" w:line="240" w:lineRule="auto"/>
            </w:pPr>
            <w:r>
              <w:rPr>
                <w:rFonts w:ascii="Aptos" w:hAnsi="Aptos"/>
                <w:sz w:val="16"/>
              </w:rPr>
              <w:t>Inquiry form, Resend, WhatsApp fallback, dan target modal Thank You.</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E9B719A">
            <w:pPr>
              <w:spacing w:after="0" w:line="240" w:lineRule="auto"/>
            </w:pPr>
            <w:r>
              <w:rPr>
                <w:rFonts w:ascii="Aptos" w:hAnsi="Aptos"/>
                <w:sz w:val="16"/>
              </w:rPr>
              <w:t>CURRENT - /[lang]/contact/</w:t>
            </w:r>
          </w:p>
        </w:tc>
      </w:tr>
      <w:tr w14:paraId="6A88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C72F83B">
            <w:pPr>
              <w:spacing w:after="0" w:line="240" w:lineRule="auto"/>
            </w:pPr>
            <w:r>
              <w:rPr>
                <w:rFonts w:ascii="Aptos" w:hAnsi="Aptos"/>
                <w:sz w:val="16"/>
              </w:rPr>
              <w:t>FAQ</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08D4D9B">
            <w:pPr>
              <w:spacing w:after="0" w:line="240" w:lineRule="auto"/>
            </w:pPr>
            <w:r>
              <w:rPr>
                <w:rFonts w:ascii="Aptos" w:hAnsi="Aptos"/>
                <w:sz w:val="16"/>
              </w:rPr>
              <w:t>Jawaban lintas layanan yang telah direview.</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205EF7">
            <w:pPr>
              <w:spacing w:after="0" w:line="240" w:lineRule="auto"/>
            </w:pPr>
            <w:r>
              <w:rPr>
                <w:rFonts w:ascii="Aptos" w:hAnsi="Aptos"/>
                <w:sz w:val="16"/>
              </w:rPr>
              <w:t>BACKLOG - tidak ditemukan</w:t>
            </w:r>
          </w:p>
        </w:tc>
      </w:tr>
      <w:tr w14:paraId="3675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1E7FEE1">
            <w:pPr>
              <w:spacing w:after="0" w:line="240" w:lineRule="auto"/>
            </w:pPr>
            <w:r>
              <w:rPr>
                <w:rFonts w:ascii="Aptos" w:hAnsi="Aptos"/>
                <w:sz w:val="16"/>
              </w:rPr>
              <w:t>Service Detail - Pendirian</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6F851E8">
            <w:pPr>
              <w:spacing w:after="0" w:line="240" w:lineRule="auto"/>
            </w:pPr>
            <w:r>
              <w:rPr>
                <w:rFonts w:ascii="Aptos" w:hAnsi="Aptos"/>
                <w:sz w:val="16"/>
              </w:rPr>
              <w:t>Detail scope/deliverable/exclusion/checklist.</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74C2647">
            <w:pPr>
              <w:spacing w:after="0" w:line="240" w:lineRule="auto"/>
            </w:pPr>
            <w:r>
              <w:rPr>
                <w:rFonts w:ascii="Aptos" w:hAnsi="Aptos"/>
                <w:sz w:val="16"/>
              </w:rPr>
              <w:t>BACKLOG - tidak ditemukan</w:t>
            </w:r>
          </w:p>
        </w:tc>
      </w:tr>
      <w:tr w14:paraId="0C7D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A7B9A09">
            <w:pPr>
              <w:spacing w:after="0" w:line="240" w:lineRule="auto"/>
            </w:pPr>
            <w:r>
              <w:rPr>
                <w:rFonts w:ascii="Aptos" w:hAnsi="Aptos"/>
                <w:sz w:val="16"/>
              </w:rPr>
              <w:t>Service Detail - Risiko</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082E57E">
            <w:pPr>
              <w:spacing w:after="0" w:line="240" w:lineRule="auto"/>
            </w:pPr>
            <w:r>
              <w:rPr>
                <w:rFonts w:ascii="Aptos" w:hAnsi="Aptos"/>
                <w:sz w:val="16"/>
              </w:rPr>
              <w:t>Detail KBLI, OSS-RBA, dan izin relevan.</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05113BC">
            <w:pPr>
              <w:spacing w:after="0" w:line="240" w:lineRule="auto"/>
            </w:pPr>
            <w:r>
              <w:rPr>
                <w:rFonts w:ascii="Aptos" w:hAnsi="Aptos"/>
                <w:sz w:val="16"/>
              </w:rPr>
              <w:t>BACKLOG - tidak ditemukan</w:t>
            </w:r>
          </w:p>
        </w:tc>
      </w:tr>
      <w:tr w14:paraId="1EC6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DFAD041">
            <w:pPr>
              <w:spacing w:after="0" w:line="240" w:lineRule="auto"/>
            </w:pPr>
            <w:r>
              <w:rPr>
                <w:rFonts w:ascii="Aptos" w:hAnsi="Aptos"/>
                <w:sz w:val="16"/>
              </w:rPr>
              <w:t>Service Detail - Kepatuhan</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79D0A21">
            <w:pPr>
              <w:spacing w:after="0" w:line="240" w:lineRule="auto"/>
            </w:pPr>
            <w:r>
              <w:rPr>
                <w:rFonts w:ascii="Aptos" w:hAnsi="Aptos"/>
                <w:sz w:val="16"/>
              </w:rPr>
              <w:t>Detail compliance/legal advisory.</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57E2927">
            <w:pPr>
              <w:spacing w:after="0" w:line="240" w:lineRule="auto"/>
            </w:pPr>
            <w:r>
              <w:rPr>
                <w:rFonts w:ascii="Aptos" w:hAnsi="Aptos"/>
                <w:sz w:val="16"/>
              </w:rPr>
              <w:t>BACKLOG - tidak ditemukan</w:t>
            </w:r>
          </w:p>
        </w:tc>
      </w:tr>
      <w:tr w14:paraId="1F53E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617529C">
            <w:pPr>
              <w:spacing w:after="0" w:line="240" w:lineRule="auto"/>
            </w:pPr>
            <w:r>
              <w:rPr>
                <w:rFonts w:ascii="Aptos" w:hAnsi="Aptos"/>
                <w:sz w:val="16"/>
              </w:rPr>
              <w:t>Service Detail - Proyek</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F36C47E">
            <w:pPr>
              <w:spacing w:after="0" w:line="240" w:lineRule="auto"/>
            </w:pPr>
            <w:r>
              <w:rPr>
                <w:rFonts w:ascii="Aptos" w:hAnsi="Aptos"/>
                <w:sz w:val="16"/>
              </w:rPr>
              <w:t>Detail perizinan proyek dan investasi.</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CCF3E5C">
            <w:pPr>
              <w:spacing w:after="0" w:line="240" w:lineRule="auto"/>
            </w:pPr>
            <w:r>
              <w:rPr>
                <w:rFonts w:ascii="Aptos" w:hAnsi="Aptos"/>
                <w:sz w:val="16"/>
              </w:rPr>
              <w:t>BACKLOG - tidak ditemukan</w:t>
            </w:r>
          </w:p>
        </w:tc>
      </w:tr>
      <w:tr w14:paraId="723C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B31C106">
            <w:pPr>
              <w:spacing w:after="0" w:line="240" w:lineRule="auto"/>
            </w:pPr>
            <w:r>
              <w:rPr>
                <w:rFonts w:ascii="Aptos" w:hAnsi="Aptos"/>
                <w:sz w:val="16"/>
              </w:rPr>
              <w:t>Privacy Policy</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71BF836">
            <w:pPr>
              <w:spacing w:after="0" w:line="240" w:lineRule="auto"/>
            </w:pPr>
            <w:r>
              <w:rPr>
                <w:rFonts w:ascii="Aptos" w:hAnsi="Aptos"/>
                <w:sz w:val="16"/>
              </w:rPr>
              <w:t>Kebijakan pemrosesan data yang telah direview.</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8EB35EB">
            <w:pPr>
              <w:spacing w:after="0" w:line="240" w:lineRule="auto"/>
            </w:pPr>
            <w:r>
              <w:rPr>
                <w:rFonts w:ascii="Aptos" w:hAnsi="Aptos"/>
                <w:sz w:val="16"/>
              </w:rPr>
              <w:t>BACKLOG / launch blocker</w:t>
            </w:r>
          </w:p>
        </w:tc>
      </w:tr>
      <w:tr w14:paraId="57B6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B1DA609">
            <w:pPr>
              <w:spacing w:after="0" w:line="240" w:lineRule="auto"/>
            </w:pPr>
            <w:r>
              <w:rPr>
                <w:rFonts w:ascii="Aptos" w:hAnsi="Aptos"/>
                <w:sz w:val="16"/>
              </w:rPr>
              <w:t>Terms &amp; Disclaimer</w:t>
            </w:r>
          </w:p>
        </w:tc>
        <w:tc>
          <w:tcPr>
            <w:tcW w:w="489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9214C37">
            <w:pPr>
              <w:spacing w:after="0" w:line="240" w:lineRule="auto"/>
            </w:pPr>
            <w:r>
              <w:rPr>
                <w:rFonts w:ascii="Aptos" w:hAnsi="Aptos"/>
                <w:sz w:val="16"/>
              </w:rPr>
              <w:t>Ketentuan penggunaan dan batas informasi.</w:t>
            </w:r>
          </w:p>
        </w:tc>
        <w:tc>
          <w:tcPr>
            <w:tcW w:w="2736"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6FF3F0F">
            <w:pPr>
              <w:spacing w:after="0" w:line="240" w:lineRule="auto"/>
            </w:pPr>
            <w:r>
              <w:rPr>
                <w:rFonts w:ascii="Aptos" w:hAnsi="Aptos"/>
                <w:sz w:val="16"/>
              </w:rPr>
              <w:t>BACKLOG / launch blocker</w:t>
            </w:r>
          </w:p>
        </w:tc>
      </w:tr>
    </w:tbl>
    <w:p w14:paraId="77CFC9A0">
      <w:pPr>
        <w:spacing w:after="80"/>
      </w:pPr>
    </w:p>
    <w:p w14:paraId="3E607026">
      <w:pPr>
        <w:pStyle w:val="2"/>
        <w:spacing w:before="160" w:after="80"/>
      </w:pPr>
      <w:r>
        <w:t>14. Informasi yang Perlu Dikonfirmasi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4320"/>
        <w:gridCol w:w="2160"/>
        <w:gridCol w:w="2880"/>
      </w:tblGrid>
      <w:tr w14:paraId="0187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6DA7412">
            <w:pPr>
              <w:spacing w:after="0" w:line="240" w:lineRule="auto"/>
              <w:jc w:val="center"/>
            </w:pPr>
            <w:r>
              <w:rPr>
                <w:rFonts w:ascii="Aptos" w:hAnsi="Aptos"/>
                <w:b/>
                <w:color w:val="FFFFFF"/>
                <w:sz w:val="16"/>
              </w:rPr>
              <w:t>ID</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36B335E1">
            <w:pPr>
              <w:spacing w:after="0" w:line="240" w:lineRule="auto"/>
              <w:jc w:val="center"/>
            </w:pPr>
            <w:r>
              <w:rPr>
                <w:rFonts w:ascii="Aptos" w:hAnsi="Aptos"/>
                <w:b/>
                <w:color w:val="FFFFFF"/>
                <w:sz w:val="16"/>
              </w:rPr>
              <w:t>Informasi</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5D1F2D98">
            <w:pPr>
              <w:spacing w:after="0" w:line="240" w:lineRule="auto"/>
              <w:jc w:val="center"/>
            </w:pPr>
            <w:r>
              <w:rPr>
                <w:rFonts w:ascii="Aptos" w:hAnsi="Aptos"/>
                <w:b/>
                <w:color w:val="FFFFFF"/>
                <w:sz w:val="16"/>
              </w:rPr>
              <w:t>Status</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0B0B0C"/>
            <w:vAlign w:val="top"/>
          </w:tcPr>
          <w:p w14:paraId="0BAD7453">
            <w:pPr>
              <w:spacing w:after="0" w:line="240" w:lineRule="auto"/>
              <w:jc w:val="center"/>
            </w:pPr>
            <w:r>
              <w:rPr>
                <w:rFonts w:ascii="Aptos" w:hAnsi="Aptos"/>
                <w:b/>
                <w:color w:val="FFFFFF"/>
                <w:sz w:val="16"/>
              </w:rPr>
              <w:t>Halaman</w:t>
            </w:r>
          </w:p>
        </w:tc>
      </w:tr>
      <w:tr w14:paraId="51C6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46A1996">
            <w:pPr>
              <w:spacing w:after="0" w:line="240" w:lineRule="auto"/>
            </w:pPr>
            <w:r>
              <w:rPr>
                <w:rFonts w:ascii="Aptos" w:hAnsi="Aptos"/>
                <w:sz w:val="16"/>
              </w:rPr>
              <w:t>I-002</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805BC6C">
            <w:pPr>
              <w:spacing w:after="0" w:line="240" w:lineRule="auto"/>
            </w:pPr>
            <w:r>
              <w:rPr>
                <w:rFonts w:ascii="Aptos" w:hAnsi="Aptos"/>
                <w:sz w:val="16"/>
              </w:rPr>
              <w:t>Operator legal: PT Karya Usaha Sukses; brand Galdino &amp; Partner</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561B1AA">
            <w:pPr>
              <w:spacing w:after="0" w:line="240" w:lineRule="auto"/>
            </w:pPr>
            <w:r>
              <w:rPr>
                <w:rFonts w:ascii="Aptos" w:hAnsi="Aptos"/>
                <w:sz w:val="16"/>
              </w:rPr>
              <w:t>DIKONFIRMASI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392B24A">
            <w:pPr>
              <w:spacing w:after="0" w:line="240" w:lineRule="auto"/>
            </w:pPr>
            <w:r>
              <w:rPr>
                <w:rFonts w:ascii="Aptos" w:hAnsi="Aptos"/>
                <w:sz w:val="16"/>
              </w:rPr>
              <w:t>Profile, footer, legal notice</w:t>
            </w:r>
          </w:p>
        </w:tc>
      </w:tr>
      <w:tr w14:paraId="15E9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D8920BB">
            <w:pPr>
              <w:spacing w:after="0" w:line="240" w:lineRule="auto"/>
            </w:pPr>
            <w:r>
              <w:rPr>
                <w:rFonts w:ascii="Aptos" w:hAnsi="Aptos"/>
                <w:sz w:val="16"/>
              </w:rPr>
              <w:t>I-017</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9C80B35">
            <w:pPr>
              <w:spacing w:after="0" w:line="240" w:lineRule="auto"/>
            </w:pPr>
            <w:r>
              <w:rPr>
                <w:rFonts w:ascii="Aptos" w:hAnsi="Aptos"/>
                <w:sz w:val="16"/>
              </w:rPr>
              <w:t>Kedudukan Kota Tangerang, Banten; alamat jalan lengkap</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412B9EE">
            <w:pPr>
              <w:spacing w:after="0" w:line="240" w:lineRule="auto"/>
            </w:pPr>
            <w:r>
              <w:rPr>
                <w:rFonts w:ascii="Aptos" w:hAnsi="Aptos"/>
                <w:sz w:val="16"/>
              </w:rPr>
              <w:t>TERSEDIA SEBAGIAN</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A932E1B">
            <w:pPr>
              <w:spacing w:after="0" w:line="240" w:lineRule="auto"/>
            </w:pPr>
            <w:r>
              <w:rPr>
                <w:rFonts w:ascii="Aptos" w:hAnsi="Aptos"/>
                <w:sz w:val="16"/>
              </w:rPr>
              <w:t>Contact, footer</w:t>
            </w:r>
          </w:p>
        </w:tc>
      </w:tr>
      <w:tr w14:paraId="3E4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2B80912">
            <w:pPr>
              <w:spacing w:after="0" w:line="240" w:lineRule="auto"/>
            </w:pPr>
            <w:r>
              <w:rPr>
                <w:rFonts w:ascii="Aptos" w:hAnsi="Aptos"/>
                <w:sz w:val="16"/>
              </w:rPr>
              <w:t>I-018</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36C9BEB0">
            <w:pPr>
              <w:spacing w:after="0" w:line="240" w:lineRule="auto"/>
            </w:pPr>
            <w:r>
              <w:rPr>
                <w:rFonts w:ascii="Aptos" w:hAnsi="Aptos"/>
                <w:sz w:val="16"/>
              </w:rPr>
              <w:t>Kontak publik final Galdino &amp; Partner</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A7345BD">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922BF23">
            <w:pPr>
              <w:spacing w:after="0" w:line="240" w:lineRule="auto"/>
            </w:pPr>
            <w:r>
              <w:rPr>
                <w:rFonts w:ascii="Aptos" w:hAnsi="Aptos"/>
                <w:sz w:val="16"/>
              </w:rPr>
              <w:t>Contact, header/footer</w:t>
            </w:r>
          </w:p>
        </w:tc>
      </w:tr>
      <w:tr w14:paraId="482E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C939F94">
            <w:pPr>
              <w:spacing w:after="0" w:line="240" w:lineRule="auto"/>
            </w:pPr>
            <w:r>
              <w:rPr>
                <w:rFonts w:ascii="Aptos" w:hAnsi="Aptos"/>
                <w:sz w:val="16"/>
              </w:rPr>
              <w:t>I-019</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ABBAA05">
            <w:pPr>
              <w:spacing w:after="0" w:line="240" w:lineRule="auto"/>
            </w:pPr>
            <w:r>
              <w:rPr>
                <w:rFonts w:ascii="Aptos" w:hAnsi="Aptos"/>
                <w:sz w:val="16"/>
              </w:rPr>
              <w:t>Descriptor Galdino &amp; Partner by Kultivate</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016AE4D">
            <w:pPr>
              <w:spacing w:after="0" w:line="240" w:lineRule="auto"/>
            </w:pPr>
            <w:r>
              <w:rPr>
                <w:rFonts w:ascii="Aptos" w:hAnsi="Aptos"/>
                <w:sz w:val="16"/>
              </w:rPr>
              <w:t>DIKONFIRMASI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CB45637">
            <w:pPr>
              <w:spacing w:after="0" w:line="240" w:lineRule="auto"/>
            </w:pPr>
            <w:r>
              <w:rPr>
                <w:rFonts w:ascii="Aptos" w:hAnsi="Aptos"/>
                <w:sz w:val="16"/>
              </w:rPr>
              <w:t>Profile/footer</w:t>
            </w:r>
          </w:p>
        </w:tc>
      </w:tr>
      <w:tr w14:paraId="43F5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BC2F7AD">
            <w:pPr>
              <w:spacing w:after="0" w:line="240" w:lineRule="auto"/>
            </w:pPr>
            <w:r>
              <w:rPr>
                <w:rFonts w:ascii="Aptos" w:hAnsi="Aptos"/>
                <w:sz w:val="16"/>
              </w:rPr>
              <w:t>I-021</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A9E3D8C">
            <w:pPr>
              <w:spacing w:after="0" w:line="240" w:lineRule="auto"/>
            </w:pPr>
            <w:r>
              <w:rPr>
                <w:rFonts w:ascii="Aptos" w:hAnsi="Aptos"/>
                <w:sz w:val="16"/>
              </w:rPr>
              <w:t>Domain galdinopartner.co.id</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47903AD">
            <w:pPr>
              <w:spacing w:after="0" w:line="240" w:lineRule="auto"/>
            </w:pPr>
            <w:r>
              <w:rPr>
                <w:rFonts w:ascii="Aptos" w:hAnsi="Aptos"/>
                <w:sz w:val="16"/>
              </w:rPr>
              <w:t>TARGET DISETUJUI - BELUM DIBELI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67F0C9EE">
            <w:pPr>
              <w:spacing w:after="0" w:line="240" w:lineRule="auto"/>
            </w:pPr>
            <w:r>
              <w:rPr>
                <w:rFonts w:ascii="Aptos" w:hAnsi="Aptos"/>
                <w:sz w:val="16"/>
              </w:rPr>
              <w:t>Technical/metadata</w:t>
            </w:r>
          </w:p>
        </w:tc>
      </w:tr>
      <w:tr w14:paraId="1093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8797FCD">
            <w:pPr>
              <w:spacing w:after="0" w:line="240" w:lineRule="auto"/>
            </w:pPr>
            <w:r>
              <w:rPr>
                <w:rFonts w:ascii="Aptos" w:hAnsi="Aptos"/>
                <w:sz w:val="16"/>
              </w:rPr>
              <w:t>I-022</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0BB8300C">
            <w:pPr>
              <w:spacing w:after="0" w:line="240" w:lineRule="auto"/>
            </w:pPr>
            <w:r>
              <w:rPr>
                <w:rFonts w:ascii="Aptos" w:hAnsi="Aptos"/>
                <w:sz w:val="16"/>
              </w:rPr>
              <w:t>Nomor registrasi PT Karya Usaha Sukses</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1858428">
            <w:pPr>
              <w:spacing w:after="0" w:line="240" w:lineRule="auto"/>
            </w:pPr>
            <w:r>
              <w:rPr>
                <w:rFonts w:ascii="Aptos" w:hAnsi="Aptos"/>
                <w:sz w:val="16"/>
              </w:rPr>
              <w:t>MENUNGGU VERIFIKASI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31726A6">
            <w:pPr>
              <w:spacing w:after="0" w:line="240" w:lineRule="auto"/>
            </w:pPr>
            <w:r>
              <w:rPr>
                <w:rFonts w:ascii="Aptos" w:hAnsi="Aptos"/>
                <w:sz w:val="16"/>
              </w:rPr>
              <w:t>Profile/legal</w:t>
            </w:r>
          </w:p>
        </w:tc>
      </w:tr>
      <w:tr w14:paraId="2E4B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EF3F0DF">
            <w:pPr>
              <w:spacing w:after="0" w:line="240" w:lineRule="auto"/>
            </w:pPr>
            <w:r>
              <w:rPr>
                <w:rFonts w:ascii="Aptos" w:hAnsi="Aptos"/>
                <w:sz w:val="16"/>
              </w:rPr>
              <w:t>I-044</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A825AFD">
            <w:pPr>
              <w:spacing w:after="0" w:line="240" w:lineRule="auto"/>
            </w:pPr>
            <w:r>
              <w:rPr>
                <w:rFonts w:ascii="Aptos" w:hAnsi="Aptos"/>
                <w:sz w:val="16"/>
              </w:rPr>
              <w:t>Empat service detail pages</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8D0229E">
            <w:pPr>
              <w:spacing w:after="0" w:line="240" w:lineRule="auto"/>
            </w:pPr>
            <w:r>
              <w:rPr>
                <w:rFonts w:ascii="Aptos" w:hAnsi="Aptos"/>
                <w:sz w:val="16"/>
              </w:rPr>
              <w:t>BACKLOG</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7101EE2">
            <w:pPr>
              <w:spacing w:after="0" w:line="240" w:lineRule="auto"/>
            </w:pPr>
            <w:r>
              <w:rPr>
                <w:rFonts w:ascii="Aptos" w:hAnsi="Aptos"/>
                <w:sz w:val="16"/>
              </w:rPr>
              <w:t>Services</w:t>
            </w:r>
          </w:p>
        </w:tc>
      </w:tr>
      <w:tr w14:paraId="3D09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F5BCE4F">
            <w:pPr>
              <w:spacing w:after="0" w:line="240" w:lineRule="auto"/>
            </w:pPr>
            <w:r>
              <w:rPr>
                <w:rFonts w:ascii="Aptos" w:hAnsi="Aptos"/>
                <w:sz w:val="16"/>
              </w:rPr>
              <w:t>I-045</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E3B1D35">
            <w:pPr>
              <w:spacing w:after="0" w:line="240" w:lineRule="auto"/>
            </w:pPr>
            <w:r>
              <w:rPr>
                <w:rFonts w:ascii="Aptos" w:hAnsi="Aptos"/>
                <w:sz w:val="16"/>
              </w:rPr>
              <w:t>15 item Home catalog</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09AEB6A">
            <w:pPr>
              <w:spacing w:after="0" w:line="240" w:lineRule="auto"/>
            </w:pPr>
            <w:r>
              <w:rPr>
                <w:rFonts w:ascii="Aptos" w:hAnsi="Aptos"/>
                <w:sz w:val="16"/>
              </w:rPr>
              <w:t>PLACEHOLDER INTERNAL</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6735CAF9">
            <w:pPr>
              <w:spacing w:after="0" w:line="240" w:lineRule="auto"/>
            </w:pPr>
            <w:r>
              <w:rPr>
                <w:rFonts w:ascii="Aptos" w:hAnsi="Aptos"/>
                <w:sz w:val="16"/>
              </w:rPr>
              <w:t>Home</w:t>
            </w:r>
          </w:p>
        </w:tc>
      </w:tr>
      <w:tr w14:paraId="63D5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07777D9">
            <w:pPr>
              <w:spacing w:after="0" w:line="240" w:lineRule="auto"/>
            </w:pPr>
            <w:r>
              <w:rPr>
                <w:rFonts w:ascii="Aptos" w:hAnsi="Aptos"/>
                <w:sz w:val="16"/>
              </w:rPr>
              <w:t>I-047</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030DA495">
            <w:pPr>
              <w:spacing w:after="0" w:line="240" w:lineRule="auto"/>
            </w:pPr>
            <w:r>
              <w:rPr>
                <w:rFonts w:ascii="Aptos" w:hAnsi="Aptos"/>
                <w:sz w:val="16"/>
              </w:rPr>
              <w:t>Harga, timeline, dependencies</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294112A">
            <w:pPr>
              <w:spacing w:after="0" w:line="240" w:lineRule="auto"/>
            </w:pPr>
            <w:r>
              <w:rPr>
                <w:rFonts w:ascii="Aptos" w:hAnsi="Aptos"/>
                <w:sz w:val="16"/>
              </w:rPr>
              <w:t>MENUNGGU VERIFIKASI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F255F45">
            <w:pPr>
              <w:spacing w:after="0" w:line="240" w:lineRule="auto"/>
            </w:pPr>
            <w:r>
              <w:rPr>
                <w:rFonts w:ascii="Aptos" w:hAnsi="Aptos"/>
                <w:sz w:val="16"/>
              </w:rPr>
              <w:t>Services</w:t>
            </w:r>
          </w:p>
        </w:tc>
      </w:tr>
      <w:tr w14:paraId="2629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4CA907D">
            <w:pPr>
              <w:spacing w:after="0" w:line="240" w:lineRule="auto"/>
            </w:pPr>
            <w:r>
              <w:rPr>
                <w:rFonts w:ascii="Aptos" w:hAnsi="Aptos"/>
                <w:sz w:val="16"/>
              </w:rPr>
              <w:t>I-051</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5B6266A">
            <w:pPr>
              <w:spacing w:after="0" w:line="240" w:lineRule="auto"/>
            </w:pPr>
            <w:r>
              <w:rPr>
                <w:rFonts w:ascii="Aptos" w:hAnsi="Aptos"/>
                <w:sz w:val="16"/>
              </w:rPr>
              <w:t>Privacy Policy dan Terms</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72D6FE8">
            <w:pPr>
              <w:spacing w:after="0" w:line="240" w:lineRule="auto"/>
            </w:pPr>
            <w:r>
              <w:rPr>
                <w:rFonts w:ascii="Aptos" w:hAnsi="Aptos"/>
                <w:sz w:val="16"/>
              </w:rPr>
              <w:t>BELUM TERSEDIA</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53E804C">
            <w:pPr>
              <w:spacing w:after="0" w:line="240" w:lineRule="auto"/>
            </w:pPr>
            <w:r>
              <w:rPr>
                <w:rFonts w:ascii="Aptos" w:hAnsi="Aptos"/>
                <w:sz w:val="16"/>
              </w:rPr>
              <w:t>Launch governance</w:t>
            </w:r>
          </w:p>
        </w:tc>
      </w:tr>
      <w:tr w14:paraId="7142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C02F7EF">
            <w:pPr>
              <w:spacing w:after="0" w:line="240" w:lineRule="auto"/>
            </w:pPr>
            <w:r>
              <w:rPr>
                <w:rFonts w:ascii="Aptos" w:hAnsi="Aptos"/>
                <w:sz w:val="16"/>
              </w:rPr>
              <w:t>I-053</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B84F27E">
            <w:pPr>
              <w:spacing w:after="0" w:line="240" w:lineRule="auto"/>
            </w:pPr>
            <w:r>
              <w:rPr>
                <w:rFonts w:ascii="Aptos" w:hAnsi="Aptos"/>
                <w:sz w:val="16"/>
              </w:rPr>
              <w:t>Pop-up/modal Thank You</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098401C">
            <w:pPr>
              <w:spacing w:after="0" w:line="240" w:lineRule="auto"/>
            </w:pPr>
            <w:r>
              <w:rPr>
                <w:rFonts w:ascii="Aptos" w:hAnsi="Aptos"/>
                <w:sz w:val="16"/>
              </w:rPr>
              <w:t>DISETUJUI - BELUM DITERAPKAN</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10ED20E">
            <w:pPr>
              <w:spacing w:after="0" w:line="240" w:lineRule="auto"/>
            </w:pPr>
            <w:r>
              <w:rPr>
                <w:rFonts w:ascii="Aptos" w:hAnsi="Aptos"/>
                <w:sz w:val="16"/>
              </w:rPr>
              <w:t>Contact form</w:t>
            </w:r>
          </w:p>
        </w:tc>
      </w:tr>
      <w:tr w14:paraId="181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D16CCD5">
            <w:pPr>
              <w:spacing w:after="0" w:line="240" w:lineRule="auto"/>
            </w:pPr>
            <w:r>
              <w:rPr>
                <w:rFonts w:ascii="Aptos" w:hAnsi="Aptos"/>
                <w:sz w:val="16"/>
              </w:rPr>
              <w:t>I-055</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1F029670">
            <w:pPr>
              <w:spacing w:after="0" w:line="240" w:lineRule="auto"/>
            </w:pPr>
            <w:r>
              <w:rPr>
                <w:rFonts w:ascii="Aptos" w:hAnsi="Aptos"/>
                <w:sz w:val="16"/>
              </w:rPr>
              <w:t>Tahun berdiri operator 2015</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37727B4">
            <w:pPr>
              <w:spacing w:after="0" w:line="240" w:lineRule="auto"/>
            </w:pPr>
            <w:r>
              <w:rPr>
                <w:rFonts w:ascii="Aptos" w:hAnsi="Aptos"/>
                <w:sz w:val="16"/>
              </w:rPr>
              <w:t>DIKONFIRMASI</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72AA808A">
            <w:pPr>
              <w:spacing w:after="0" w:line="240" w:lineRule="auto"/>
            </w:pPr>
            <w:r>
              <w:rPr>
                <w:rFonts w:ascii="Aptos" w:hAnsi="Aptos"/>
                <w:sz w:val="16"/>
              </w:rPr>
              <w:t>Profile</w:t>
            </w:r>
          </w:p>
        </w:tc>
      </w:tr>
      <w:tr w14:paraId="1D14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CFC6FEB">
            <w:pPr>
              <w:spacing w:after="0" w:line="240" w:lineRule="auto"/>
            </w:pPr>
            <w:r>
              <w:rPr>
                <w:rFonts w:ascii="Aptos" w:hAnsi="Aptos"/>
                <w:sz w:val="16"/>
              </w:rPr>
              <w:t>I-056</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4A739E23">
            <w:pPr>
              <w:spacing w:after="0" w:line="240" w:lineRule="auto"/>
            </w:pPr>
            <w:r>
              <w:rPr>
                <w:rFonts w:ascii="Aptos" w:hAnsi="Aptos"/>
                <w:sz w:val="16"/>
              </w:rPr>
              <w:t>Statistik 280/120/10</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2876A815">
            <w:pPr>
              <w:spacing w:after="0" w:line="240" w:lineRule="auto"/>
            </w:pPr>
            <w:r>
              <w:rPr>
                <w:rFonts w:ascii="Aptos" w:hAnsi="Aptos"/>
                <w:sz w:val="16"/>
              </w:rPr>
              <w:t>TIDAK BOLEH TAYANG</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A70BE43">
            <w:pPr>
              <w:spacing w:after="0" w:line="240" w:lineRule="auto"/>
            </w:pPr>
            <w:r>
              <w:rPr>
                <w:rFonts w:ascii="Aptos" w:hAnsi="Aptos"/>
                <w:sz w:val="16"/>
              </w:rPr>
              <w:t>Home, Projects</w:t>
            </w:r>
          </w:p>
        </w:tc>
      </w:tr>
      <w:tr w14:paraId="0C5C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426A174F">
            <w:pPr>
              <w:spacing w:after="0" w:line="240" w:lineRule="auto"/>
            </w:pPr>
            <w:r>
              <w:rPr>
                <w:rFonts w:ascii="Aptos" w:hAnsi="Aptos"/>
                <w:sz w:val="16"/>
              </w:rPr>
              <w:t>I-057</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2D112BDB">
            <w:pPr>
              <w:spacing w:after="0" w:line="240" w:lineRule="auto"/>
            </w:pPr>
            <w:r>
              <w:rPr>
                <w:rFonts w:ascii="Aptos" w:hAnsi="Aptos"/>
                <w:sz w:val="16"/>
              </w:rPr>
              <w:t>Tiga profil website</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323E82DF">
            <w:pPr>
              <w:spacing w:after="0" w:line="240" w:lineRule="auto"/>
            </w:pPr>
            <w:r>
              <w:rPr>
                <w:rFonts w:ascii="Aptos" w:hAnsi="Aptos"/>
                <w:sz w:val="16"/>
              </w:rPr>
              <w:t>DATA DUMMY</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3F4F6"/>
            <w:vAlign w:val="top"/>
          </w:tcPr>
          <w:p w14:paraId="55076A0A">
            <w:pPr>
              <w:spacing w:after="0" w:line="240" w:lineRule="auto"/>
            </w:pPr>
            <w:r>
              <w:rPr>
                <w:rFonts w:ascii="Aptos" w:hAnsi="Aptos"/>
                <w:sz w:val="16"/>
              </w:rPr>
              <w:t>Profile detail</w:t>
            </w:r>
          </w:p>
        </w:tc>
      </w:tr>
      <w:tr w14:paraId="2447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7460C538">
            <w:pPr>
              <w:spacing w:after="0" w:line="240" w:lineRule="auto"/>
            </w:pPr>
            <w:r>
              <w:rPr>
                <w:rFonts w:ascii="Aptos" w:hAnsi="Aptos"/>
                <w:sz w:val="16"/>
              </w:rPr>
              <w:t>I-059</w:t>
            </w:r>
          </w:p>
        </w:tc>
        <w:tc>
          <w:tcPr>
            <w:tcW w:w="432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D19DE10">
            <w:pPr>
              <w:spacing w:after="0" w:line="240" w:lineRule="auto"/>
            </w:pPr>
            <w:r>
              <w:rPr>
                <w:rFonts w:ascii="Aptos" w:hAnsi="Aptos"/>
                <w:sz w:val="16"/>
              </w:rPr>
              <w:t>Artikel legal-reviewed</w:t>
            </w:r>
          </w:p>
        </w:tc>
        <w:tc>
          <w:tcPr>
            <w:tcW w:w="216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58EF7128">
            <w:pPr>
              <w:spacing w:after="0" w:line="240" w:lineRule="auto"/>
            </w:pPr>
            <w:r>
              <w:rPr>
                <w:rFonts w:ascii="Aptos" w:hAnsi="Aptos"/>
                <w:sz w:val="16"/>
              </w:rPr>
              <w:t>PREVIEW ONLY / TIDAK BOLEH LAUNCH</w:t>
            </w:r>
          </w:p>
        </w:tc>
        <w:tc>
          <w:tcPr>
            <w:tcW w:w="2880" w:type="dxa"/>
            <w:tcBorders>
              <w:top w:val="single" w:color="D1D5DB" w:sz="8" w:space="0"/>
              <w:left w:val="single" w:color="D1D5DB" w:sz="8" w:space="0"/>
              <w:bottom w:val="single" w:color="D1D5DB" w:sz="8" w:space="0"/>
              <w:right w:val="single" w:color="D1D5DB" w:sz="8" w:space="0"/>
              <w:insideH w:val="single" w:sz="8" w:space="0"/>
              <w:insideV w:val="single" w:sz="8" w:space="0"/>
            </w:tcBorders>
            <w:shd w:val="clear" w:color="auto" w:fill="FFFFFF"/>
            <w:vAlign w:val="top"/>
          </w:tcPr>
          <w:p w14:paraId="10BA7384">
            <w:pPr>
              <w:spacing w:after="0" w:line="240" w:lineRule="auto"/>
            </w:pPr>
            <w:r>
              <w:rPr>
                <w:rFonts w:ascii="Aptos" w:hAnsi="Aptos"/>
                <w:sz w:val="16"/>
              </w:rPr>
              <w:t>Blog</w:t>
            </w:r>
          </w:p>
        </w:tc>
      </w:tr>
    </w:tbl>
    <w:p w14:paraId="0D36FE7D">
      <w:pPr>
        <w:spacing w:after="80"/>
      </w:pPr>
    </w:p>
    <w:p w14:paraId="0D0C8A2D">
      <w:pPr>
        <w:pStyle w:val="2"/>
        <w:spacing w:before="160" w:after="80"/>
      </w:pPr>
      <w:r>
        <w:t>15. Keputusan Blueprint</w:t>
      </w:r>
    </w:p>
    <w:p w14:paraId="6E74C9BC">
      <w:pPr>
        <w:pStyle w:val="23"/>
        <w:spacing w:after="80"/>
      </w:pPr>
      <w:r>
        <w:rPr>
          <w:sz w:val="19"/>
        </w:rPr>
        <w:t>Website harus memimpin dengan permit handling dan business operations, bukan</w:t>
      </w:r>
      <w:r>
        <w:rPr>
          <w:rFonts w:hint="default"/>
          <w:sz w:val="19"/>
          <w:lang w:val="en-US"/>
        </w:rPr>
        <w:t xml:space="preserve"> hanya</w:t>
      </w:r>
      <w:bookmarkStart w:id="0" w:name="_GoBack"/>
      <w:bookmarkEnd w:id="0"/>
      <w:r>
        <w:rPr>
          <w:sz w:val="19"/>
        </w:rPr>
        <w:t xml:space="preserve"> konsultasi hukum generik.</w:t>
      </w:r>
    </w:p>
    <w:p w14:paraId="056031BD">
      <w:pPr>
        <w:pStyle w:val="23"/>
        <w:spacing w:after="80"/>
      </w:pPr>
      <w:r>
        <w:rPr>
          <w:sz w:val="19"/>
        </w:rPr>
        <w:t>Empat service categories dari Discovery menjadi basis halaman layanan final.</w:t>
      </w:r>
    </w:p>
    <w:p w14:paraId="561D0A55">
      <w:pPr>
        <w:pStyle w:val="23"/>
        <w:spacing w:after="80"/>
      </w:pPr>
      <w:r>
        <w:rPr>
          <w:sz w:val="19"/>
        </w:rPr>
        <w:t>Kredibilitas harus dibangun dari proses, bukti terverifikasi, governance, dan batasan klaim.</w:t>
      </w:r>
    </w:p>
    <w:p w14:paraId="2C3F94E6">
      <w:pPr>
        <w:pStyle w:val="23"/>
        <w:spacing w:after="80"/>
      </w:pPr>
      <w:r>
        <w:rPr>
          <w:sz w:val="19"/>
        </w:rPr>
        <w:t>Semua copy public-facing yang menyebut identitas legal, angka pengalaman, klien, timeline, harga, dan hasil proyek wajib menunggu validasi.</w:t>
      </w:r>
    </w:p>
    <w:p w14:paraId="4767ECB7">
      <w:pPr>
        <w:pStyle w:val="23"/>
        <w:spacing w:after="80"/>
      </w:pPr>
      <w:r>
        <w:rPr>
          <w:sz w:val="19"/>
        </w:rPr>
        <w:t>CTA utama diarahkan ke pemilihan layanan, assessment kebutuhan, atau kontak/WhatsApp dengan konteks yang jelas.</w:t>
      </w:r>
    </w:p>
    <w:tbl>
      <w:tblPr>
        <w:tblStyle w:val="12"/>
        <w:tblW w:w="0" w:type="auto"/>
        <w:jc w:val="center"/>
        <w:tblLayout w:type="autofit"/>
        <w:tblCellMar>
          <w:top w:w="0" w:type="dxa"/>
          <w:left w:w="108" w:type="dxa"/>
          <w:bottom w:w="0" w:type="dxa"/>
          <w:right w:w="108" w:type="dxa"/>
        </w:tblCellMar>
      </w:tblPr>
      <w:tblGrid>
        <w:gridCol w:w="10037"/>
      </w:tblGrid>
      <w:tr w14:paraId="0C2DC767">
        <w:tblPrEx>
          <w:tblCellMar>
            <w:top w:w="0" w:type="dxa"/>
            <w:left w:w="108" w:type="dxa"/>
            <w:bottom w:w="0" w:type="dxa"/>
            <w:right w:w="108" w:type="dxa"/>
          </w:tblCellMar>
        </w:tblPrEx>
        <w:trPr>
          <w:jc w:val="center"/>
        </w:trPr>
        <w:tc>
          <w:tcPr>
            <w:tcW w:w="10037" w:type="dxa"/>
            <w:tcBorders>
              <w:top w:val="single" w:color="720D1C" w:sz="4" w:space="0"/>
              <w:left w:val="single" w:color="720D1C" w:sz="4" w:space="0"/>
              <w:bottom w:val="single" w:color="720D1C" w:sz="4" w:space="0"/>
              <w:right w:val="single" w:color="720D1C" w:sz="4" w:space="0"/>
              <w:insideH w:val="single" w:sz="4" w:space="0"/>
              <w:insideV w:val="single" w:sz="4" w:space="0"/>
            </w:tcBorders>
            <w:shd w:val="clear" w:color="auto" w:fill="720D1C"/>
          </w:tcPr>
          <w:p w14:paraId="73F5E17F">
            <w:pPr>
              <w:jc w:val="center"/>
            </w:pPr>
            <w:r>
              <w:rPr>
                <w:b/>
                <w:color w:val="FFFFFF"/>
                <w:sz w:val="20"/>
              </w:rPr>
              <w:t>Next step: maintain CURRENT vs BACKLOG separation, replace prototype data before launch, and complete production blockers without inventing legal content.</w:t>
            </w:r>
          </w:p>
        </w:tc>
      </w:tr>
    </w:tbl>
    <w:p w14:paraId="795F25DB"/>
    <w:p>
      <w:r>
        <w:br w:type="page"/>
      </w:r>
    </w:p>
    <w:p>
      <w:pPr>
        <w:pStyle w:val="2"/>
        <w:keepNext/>
      </w:pPr>
      <w:r>
        <w:t>12. Approved Alignment Decisions</w:t>
      </w:r>
    </w:p>
    <w:p>
      <w:pPr>
        <w:spacing w:after="140" w:line="276" w:lineRule="auto"/>
      </w:pPr>
      <w:r>
        <w:rPr>
          <w:rFonts w:ascii="Aptos" w:hAnsi="Aptos"/>
          <w:b w:val="0"/>
          <w:color w:val="0B0B0C"/>
          <w:sz w:val="19"/>
        </w:rPr>
        <w:t>Keputusan berikut disetujui pengguna pada 5 Agustus 2026 dan menjadi kontrol untuk architecture, inventory, grouping, CTA, routing, serta governance register.</w:t>
      </w:r>
    </w:p>
    <w:tbl>
      <w:tblPr>
        <w:tblStyle w:val="35"/>
        <w:tblW w:type="auto" w:w="0"/>
        <w:jc w:val="left"/>
        <w:tblLayout w:type="fixed"/>
        <w:tblLook w:firstColumn="1" w:firstRow="1" w:lastColumn="0" w:lastRow="0" w:noHBand="0" w:noVBand="1" w:val="04A0"/>
      </w:tblPr>
      <w:tblGrid>
        <w:gridCol w:w="3346"/>
        <w:gridCol w:w="3346"/>
        <w:gridCol w:w="3346"/>
      </w:tblGrid>
      <w:tr>
        <w:trPr>
          <w:tblHeader w:val="true"/>
        </w:trPr>
        <w:tc>
          <w:tcPr>
            <w:tcW w:type="dxa" w:w="624"/>
            <w:vAlign w:val="center"/>
            <w:tcMar>
              <w:top w:w="90" w:type="dxa"/>
              <w:start w:w="110" w:type="dxa"/>
              <w:bottom w:w="90" w:type="dxa"/>
              <w:end w:w="110" w:type="dxa"/>
            </w:tcMar>
            <w:shd w:fill="0B0B0C"/>
          </w:tcPr>
          <w:p>
            <w:pPr>
              <w:spacing w:before="0" w:after="40" w:line="252" w:lineRule="auto"/>
            </w:pPr>
            <w:r>
              <w:rPr>
                <w:rFonts w:ascii="Aptos" w:hAnsi="Aptos"/>
                <w:b/>
                <w:color w:val="FFFFFF"/>
                <w:sz w:val="16"/>
              </w:rPr>
              <w:t>No.</w:t>
            </w:r>
          </w:p>
        </w:tc>
        <w:tc>
          <w:tcPr>
            <w:tcW w:type="dxa" w:w="4592"/>
            <w:vAlign w:val="center"/>
            <w:tcMar>
              <w:top w:w="90" w:type="dxa"/>
              <w:start w:w="110" w:type="dxa"/>
              <w:bottom w:w="90" w:type="dxa"/>
              <w:end w:w="110" w:type="dxa"/>
            </w:tcMar>
            <w:shd w:fill="0B0B0C"/>
          </w:tcPr>
          <w:p>
            <w:pPr>
              <w:spacing w:before="0" w:after="40" w:line="252" w:lineRule="auto"/>
            </w:pPr>
            <w:r>
              <w:rPr>
                <w:rFonts w:ascii="Aptos" w:hAnsi="Aptos"/>
                <w:b/>
                <w:color w:val="FFFFFF"/>
                <w:sz w:val="16"/>
              </w:rPr>
              <w:t>Keputusan</w:t>
            </w:r>
          </w:p>
        </w:tc>
        <w:tc>
          <w:tcPr>
            <w:tcW w:type="dxa" w:w="4252"/>
            <w:vAlign w:val="center"/>
            <w:tcMar>
              <w:top w:w="90" w:type="dxa"/>
              <w:start w:w="110" w:type="dxa"/>
              <w:bottom w:w="90" w:type="dxa"/>
              <w:end w:w="110" w:type="dxa"/>
            </w:tcMar>
            <w:shd w:fill="0B0B0C"/>
          </w:tcPr>
          <w:p>
            <w:pPr>
              <w:spacing w:before="0" w:after="40" w:line="252" w:lineRule="auto"/>
            </w:pPr>
            <w:r>
              <w:rPr>
                <w:rFonts w:ascii="Aptos" w:hAnsi="Aptos"/>
                <w:b/>
                <w:color w:val="FFFFFF"/>
                <w:sz w:val="16"/>
              </w:rPr>
              <w:t>Dampak</w:t>
            </w:r>
          </w:p>
        </w:tc>
      </w:tr>
      <w:tr>
        <w:tc>
          <w:tcPr>
            <w:tcW w:type="dxa" w:w="624"/>
            <w:vAlign w:val="center"/>
            <w:tcMar>
              <w:top w:w="90" w:type="dxa"/>
              <w:start w:w="110" w:type="dxa"/>
              <w:bottom w:w="90" w:type="dxa"/>
              <w:end w:w="110" w:type="dxa"/>
            </w:tcMar>
          </w:tcPr>
          <w:p>
            <w:pPr>
              <w:spacing w:before="0" w:after="40" w:line="252" w:lineRule="auto"/>
            </w:pPr>
            <w:r>
              <w:rPr>
                <w:rFonts w:ascii="Aptos" w:hAnsi="Aptos"/>
                <w:b w:val="0"/>
                <w:color w:val="0B0B0C"/>
                <w:sz w:val="16"/>
              </w:rPr>
              <w:t>1</w:t>
            </w:r>
          </w:p>
        </w:tc>
        <w:tc>
          <w:tcPr>
            <w:tcW w:type="dxa" w:w="4592"/>
            <w:vAlign w:val="center"/>
            <w:tcMar>
              <w:top w:w="90" w:type="dxa"/>
              <w:start w:w="110" w:type="dxa"/>
              <w:bottom w:w="90" w:type="dxa"/>
              <w:end w:w="110" w:type="dxa"/>
            </w:tcMar>
          </w:tcPr>
          <w:p>
            <w:pPr>
              <w:spacing w:before="0" w:after="40" w:line="252" w:lineRule="auto"/>
            </w:pPr>
            <w:r>
              <w:rPr>
                <w:rFonts w:ascii="Aptos" w:hAnsi="Aptos"/>
                <w:b w:val="0"/>
                <w:color w:val="0B0B0C"/>
                <w:sz w:val="16"/>
              </w:rPr>
              <w:t>Website aktual menjadi CURRENT; halaman Fase 2 yang belum dibangun tetap backlog.</w:t>
            </w:r>
          </w:p>
        </w:tc>
        <w:tc>
          <w:tcPr>
            <w:tcW w:type="dxa" w:w="4252"/>
            <w:vAlign w:val="center"/>
            <w:tcMar>
              <w:top w:w="90" w:type="dxa"/>
              <w:start w:w="110" w:type="dxa"/>
              <w:bottom w:w="90" w:type="dxa"/>
              <w:end w:w="110" w:type="dxa"/>
            </w:tcMar>
          </w:tcPr>
          <w:p>
            <w:pPr>
              <w:spacing w:before="0" w:after="40" w:line="252" w:lineRule="auto"/>
            </w:pPr>
            <w:r>
              <w:rPr>
                <w:rFonts w:ascii="Aptos" w:hAnsi="Aptos"/>
                <w:b w:val="0"/>
                <w:color w:val="0B0B0C"/>
                <w:sz w:val="16"/>
              </w:rPr>
              <w:t>Dokumen memakai dua lapis: implemented dan pending/backlog.</w:t>
            </w:r>
          </w:p>
        </w:tc>
      </w:tr>
      <w:tr>
        <w:tc>
          <w:tcPr>
            <w:tcW w:type="dxa" w:w="624"/>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2</w:t>
            </w:r>
          </w:p>
        </w:tc>
        <w:tc>
          <w:tcPr>
            <w:tcW w:type="dxa" w:w="459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Kontak saat ini adalah kontak proyek/Kultivate.</w:t>
            </w:r>
          </w:p>
        </w:tc>
        <w:tc>
          <w:tcPr>
            <w:tcW w:type="dxa" w:w="425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Tidak diklaim sebagai kontak publik final GP.</w:t>
            </w:r>
          </w:p>
        </w:tc>
      </w:tr>
      <w:tr>
        <w:tc>
          <w:tcPr>
            <w:tcW w:type="dxa" w:w="624"/>
            <w:vAlign w:val="center"/>
            <w:tcMar>
              <w:top w:w="90" w:type="dxa"/>
              <w:start w:w="110" w:type="dxa"/>
              <w:bottom w:w="90" w:type="dxa"/>
              <w:end w:w="110" w:type="dxa"/>
            </w:tcMar>
          </w:tcPr>
          <w:p>
            <w:pPr>
              <w:spacing w:before="0" w:after="40" w:line="252" w:lineRule="auto"/>
            </w:pPr>
            <w:r>
              <w:rPr>
                <w:rFonts w:ascii="Aptos" w:hAnsi="Aptos"/>
                <w:b w:val="0"/>
                <w:color w:val="0B0B0C"/>
                <w:sz w:val="16"/>
              </w:rPr>
              <w:t>3</w:t>
            </w:r>
          </w:p>
        </w:tc>
        <w:tc>
          <w:tcPr>
            <w:tcW w:type="dxa" w:w="4592"/>
            <w:vAlign w:val="center"/>
            <w:tcMar>
              <w:top w:w="90" w:type="dxa"/>
              <w:start w:w="110" w:type="dxa"/>
              <w:bottom w:w="90" w:type="dxa"/>
              <w:end w:w="110" w:type="dxa"/>
            </w:tcMar>
          </w:tcPr>
          <w:p>
            <w:pPr>
              <w:spacing w:before="0" w:after="40" w:line="252" w:lineRule="auto"/>
            </w:pPr>
            <w:r>
              <w:rPr>
                <w:rFonts w:ascii="Aptos" w:hAnsi="Aptos"/>
                <w:b w:val="0"/>
                <w:color w:val="0B0B0C"/>
                <w:sz w:val="16"/>
              </w:rPr>
              <w:t>Operator legal PT Karya Usaha Sukses; berdiri 2015; Kota Tangerang, Banten.</w:t>
            </w:r>
          </w:p>
        </w:tc>
        <w:tc>
          <w:tcPr>
            <w:tcW w:type="dxa" w:w="4252"/>
            <w:vAlign w:val="center"/>
            <w:tcMar>
              <w:top w:w="90" w:type="dxa"/>
              <w:start w:w="110" w:type="dxa"/>
              <w:bottom w:w="90" w:type="dxa"/>
              <w:end w:w="110" w:type="dxa"/>
            </w:tcMar>
          </w:tcPr>
          <w:p>
            <w:pPr>
              <w:spacing w:before="0" w:after="40" w:line="252" w:lineRule="auto"/>
            </w:pPr>
            <w:r>
              <w:rPr>
                <w:rFonts w:ascii="Aptos" w:hAnsi="Aptos"/>
                <w:b w:val="0"/>
                <w:color w:val="0B0B0C"/>
                <w:sz w:val="16"/>
              </w:rPr>
              <w:t>Legal profile diperbarui; nomor registrasi tetap pending.</w:t>
            </w:r>
          </w:p>
        </w:tc>
      </w:tr>
      <w:tr>
        <w:tc>
          <w:tcPr>
            <w:tcW w:type="dxa" w:w="624"/>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4</w:t>
            </w:r>
          </w:p>
        </w:tc>
        <w:tc>
          <w:tcPr>
            <w:tcW w:type="dxa" w:w="459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Tiga profil tim adalah dummy high-fidelity.</w:t>
            </w:r>
          </w:p>
        </w:tc>
        <w:tc>
          <w:tcPr>
            <w:tcW w:type="dxa" w:w="425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Noindex dipertahankan; dilarang saat launch.</w:t>
            </w:r>
          </w:p>
        </w:tc>
      </w:tr>
      <w:tr>
        <w:tc>
          <w:tcPr>
            <w:tcW w:type="dxa" w:w="624"/>
            <w:vAlign w:val="center"/>
            <w:tcMar>
              <w:top w:w="90" w:type="dxa"/>
              <w:start w:w="110" w:type="dxa"/>
              <w:bottom w:w="90" w:type="dxa"/>
              <w:end w:w="110" w:type="dxa"/>
            </w:tcMar>
          </w:tcPr>
          <w:p>
            <w:pPr>
              <w:spacing w:before="0" w:after="40" w:line="252" w:lineRule="auto"/>
            </w:pPr>
            <w:r>
              <w:rPr>
                <w:rFonts w:ascii="Aptos" w:hAnsi="Aptos"/>
                <w:b w:val="0"/>
                <w:color w:val="0B0B0C"/>
                <w:sz w:val="16"/>
              </w:rPr>
              <w:t>5</w:t>
            </w:r>
          </w:p>
        </w:tc>
        <w:tc>
          <w:tcPr>
            <w:tcW w:type="dxa" w:w="4592"/>
            <w:vAlign w:val="center"/>
            <w:tcMar>
              <w:top w:w="90" w:type="dxa"/>
              <w:start w:w="110" w:type="dxa"/>
              <w:bottom w:w="90" w:type="dxa"/>
              <w:end w:w="110" w:type="dxa"/>
            </w:tcMar>
          </w:tcPr>
          <w:p>
            <w:pPr>
              <w:spacing w:before="0" w:after="40" w:line="252" w:lineRule="auto"/>
            </w:pPr>
            <w:r>
              <w:rPr>
                <w:rFonts w:ascii="Aptos" w:hAnsi="Aptos"/>
                <w:b w:val="0"/>
                <w:color w:val="0B0B0C"/>
                <w:sz w:val="16"/>
              </w:rPr>
              <w:t>15 layanan Home adalah prototype di bawah empat kategori utama.</w:t>
            </w:r>
          </w:p>
        </w:tc>
        <w:tc>
          <w:tcPr>
            <w:tcW w:type="dxa" w:w="4252"/>
            <w:vAlign w:val="center"/>
            <w:tcMar>
              <w:top w:w="90" w:type="dxa"/>
              <w:start w:w="110" w:type="dxa"/>
              <w:bottom w:w="90" w:type="dxa"/>
              <w:end w:w="110" w:type="dxa"/>
            </w:tcMar>
          </w:tcPr>
          <w:p>
            <w:pPr>
              <w:spacing w:before="0" w:after="40" w:line="252" w:lineRule="auto"/>
            </w:pPr>
            <w:r>
              <w:rPr>
                <w:rFonts w:ascii="Aptos" w:hAnsi="Aptos"/>
                <w:b w:val="0"/>
                <w:color w:val="0B0B0C"/>
                <w:sz w:val="16"/>
              </w:rPr>
              <w:t>Empat kategori dipertahankan; item katalog tidak menjadi scope final.</w:t>
            </w:r>
          </w:p>
        </w:tc>
      </w:tr>
      <w:tr>
        <w:tc>
          <w:tcPr>
            <w:tcW w:type="dxa" w:w="624"/>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6</w:t>
            </w:r>
          </w:p>
        </w:tc>
        <w:tc>
          <w:tcPr>
            <w:tcW w:type="dxa" w:w="459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Enam artikel adalah preview-only.</w:t>
            </w:r>
          </w:p>
        </w:tc>
        <w:tc>
          <w:tcPr>
            <w:tcW w:type="dxa" w:w="425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Boleh tampil di staging; tidak ikut launch sebelum review.</w:t>
            </w:r>
          </w:p>
        </w:tc>
      </w:tr>
      <w:tr>
        <w:tc>
          <w:tcPr>
            <w:tcW w:type="dxa" w:w="624"/>
            <w:vAlign w:val="center"/>
            <w:tcMar>
              <w:top w:w="90" w:type="dxa"/>
              <w:start w:w="110" w:type="dxa"/>
              <w:bottom w:w="90" w:type="dxa"/>
              <w:end w:w="110" w:type="dxa"/>
            </w:tcMar>
          </w:tcPr>
          <w:p>
            <w:pPr>
              <w:spacing w:before="0" w:after="40" w:line="252" w:lineRule="auto"/>
            </w:pPr>
            <w:r>
              <w:rPr>
                <w:rFonts w:ascii="Aptos" w:hAnsi="Aptos"/>
                <w:b w:val="0"/>
                <w:color w:val="0B0B0C"/>
                <w:sz w:val="16"/>
              </w:rPr>
              <w:t>7</w:t>
            </w:r>
          </w:p>
        </w:tc>
        <w:tc>
          <w:tcPr>
            <w:tcW w:type="dxa" w:w="4592"/>
            <w:vAlign w:val="center"/>
            <w:tcMar>
              <w:top w:w="90" w:type="dxa"/>
              <w:start w:w="110" w:type="dxa"/>
              <w:bottom w:w="90" w:type="dxa"/>
              <w:end w:w="110" w:type="dxa"/>
            </w:tcMar>
          </w:tcPr>
          <w:p>
            <w:pPr>
              <w:spacing w:before="0" w:after="40" w:line="252" w:lineRule="auto"/>
            </w:pPr>
            <w:r>
              <w:rPr>
                <w:rFonts w:ascii="Aptos" w:hAnsi="Aptos"/>
                <w:b w:val="0"/>
                <w:color w:val="0B0B0C"/>
                <w:sz w:val="16"/>
              </w:rPr>
              <w:t>Target domain galdinopartner.co.id belum dibeli.</w:t>
            </w:r>
          </w:p>
        </w:tc>
        <w:tc>
          <w:tcPr>
            <w:tcW w:type="dxa" w:w="4252"/>
            <w:vAlign w:val="center"/>
            <w:tcMar>
              <w:top w:w="90" w:type="dxa"/>
              <w:start w:w="110" w:type="dxa"/>
              <w:bottom w:w="90" w:type="dxa"/>
              <w:end w:w="110" w:type="dxa"/>
            </w:tcMar>
          </w:tcPr>
          <w:p>
            <w:pPr>
              <w:spacing w:before="0" w:after="40" w:line="252" w:lineRule="auto"/>
            </w:pPr>
            <w:r>
              <w:rPr>
                <w:rFonts w:ascii="Aptos" w:hAnsi="Aptos"/>
                <w:b w:val="0"/>
                <w:color w:val="0B0B0C"/>
                <w:sz w:val="16"/>
              </w:rPr>
              <w:t>Canonical/domain saat ini tetap placeholder dan menjadi blocker.</w:t>
            </w:r>
          </w:p>
        </w:tc>
      </w:tr>
      <w:tr>
        <w:tc>
          <w:tcPr>
            <w:tcW w:type="dxa" w:w="624"/>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8</w:t>
            </w:r>
          </w:p>
        </w:tc>
        <w:tc>
          <w:tcPr>
            <w:tcW w:type="dxa" w:w="459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Thank You menjadi pop-up/modal setelah submit.</w:t>
            </w:r>
          </w:p>
        </w:tc>
        <w:tc>
          <w:tcPr>
            <w:tcW w:type="dxa" w:w="425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Halaman Thank You terpisah dihapus dengan alasan.</w:t>
            </w:r>
          </w:p>
        </w:tc>
      </w:tr>
      <w:tr>
        <w:tc>
          <w:tcPr>
            <w:tcW w:type="dxa" w:w="624"/>
            <w:vAlign w:val="center"/>
            <w:tcMar>
              <w:top w:w="90" w:type="dxa"/>
              <w:start w:w="110" w:type="dxa"/>
              <w:bottom w:w="90" w:type="dxa"/>
              <w:end w:w="110" w:type="dxa"/>
            </w:tcMar>
          </w:tcPr>
          <w:p>
            <w:pPr>
              <w:spacing w:before="0" w:after="40" w:line="252" w:lineRule="auto"/>
            </w:pPr>
            <w:r>
              <w:rPr>
                <w:rFonts w:ascii="Aptos" w:hAnsi="Aptos"/>
                <w:b w:val="0"/>
                <w:color w:val="0B0B0C"/>
                <w:sz w:val="16"/>
              </w:rPr>
              <w:t>9</w:t>
            </w:r>
          </w:p>
        </w:tc>
        <w:tc>
          <w:tcPr>
            <w:tcW w:type="dxa" w:w="4592"/>
            <w:vAlign w:val="center"/>
            <w:tcMar>
              <w:top w:w="90" w:type="dxa"/>
              <w:start w:w="110" w:type="dxa"/>
              <w:bottom w:w="90" w:type="dxa"/>
              <w:end w:w="110" w:type="dxa"/>
            </w:tcMar>
          </w:tcPr>
          <w:p>
            <w:pPr>
              <w:spacing w:before="0" w:after="40" w:line="252" w:lineRule="auto"/>
            </w:pPr>
            <w:r>
              <w:rPr>
                <w:rFonts w:ascii="Aptos" w:hAnsi="Aptos"/>
                <w:b w:val="0"/>
                <w:color w:val="0B0B0C"/>
                <w:sz w:val="16"/>
              </w:rPr>
              <w:t>Privacy/Terms belum tersedia; gunakan kondisi website saat ini.</w:t>
            </w:r>
          </w:p>
        </w:tc>
        <w:tc>
          <w:tcPr>
            <w:tcW w:type="dxa" w:w="4252"/>
            <w:vAlign w:val="center"/>
            <w:tcMar>
              <w:top w:w="90" w:type="dxa"/>
              <w:start w:w="110" w:type="dxa"/>
              <w:bottom w:w="90" w:type="dxa"/>
              <w:end w:w="110" w:type="dxa"/>
            </w:tcMar>
          </w:tcPr>
          <w:p>
            <w:pPr>
              <w:spacing w:before="0" w:after="40" w:line="252" w:lineRule="auto"/>
            </w:pPr>
            <w:r>
              <w:rPr>
                <w:rFonts w:ascii="Aptos" w:hAnsi="Aptos"/>
                <w:b w:val="0"/>
                <w:color w:val="0B0B0C"/>
                <w:sz w:val="16"/>
              </w:rPr>
              <w:t>Tidak membuat teks legal fiktif; tetap launch blocker.</w:t>
            </w:r>
          </w:p>
        </w:tc>
      </w:tr>
      <w:tr>
        <w:tc>
          <w:tcPr>
            <w:tcW w:type="dxa" w:w="624"/>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10</w:t>
            </w:r>
          </w:p>
        </w:tc>
        <w:tc>
          <w:tcPr>
            <w:tcW w:type="dxa" w:w="459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Descriptor publik: Galdino &amp; Partner by Kultivate.</w:t>
            </w:r>
          </w:p>
        </w:tc>
        <w:tc>
          <w:tcPr>
            <w:tcW w:type="dxa" w:w="4252"/>
            <w:vAlign w:val="center"/>
            <w:tcMar>
              <w:top w:w="90" w:type="dxa"/>
              <w:start w:w="110" w:type="dxa"/>
              <w:bottom w:w="90" w:type="dxa"/>
              <w:end w:w="110" w:type="dxa"/>
            </w:tcMar>
            <w:shd w:fill="F4F3F1"/>
          </w:tcPr>
          <w:p>
            <w:pPr>
              <w:spacing w:before="0" w:after="40" w:line="252" w:lineRule="auto"/>
            </w:pPr>
            <w:r>
              <w:rPr>
                <w:rFonts w:ascii="Aptos" w:hAnsi="Aptos"/>
                <w:b w:val="0"/>
                <w:color w:val="0B0B0C"/>
                <w:sz w:val="16"/>
              </w:rPr>
              <w:t>Brand relationship boleh ditampilkan tanpa mengubah operator legal.</w:t>
            </w:r>
          </w:p>
        </w:tc>
      </w:tr>
      <w:tr>
        <w:tc>
          <w:tcPr>
            <w:tcW w:type="dxa" w:w="624"/>
            <w:vAlign w:val="center"/>
            <w:tcMar>
              <w:top w:w="90" w:type="dxa"/>
              <w:start w:w="110" w:type="dxa"/>
              <w:bottom w:w="90" w:type="dxa"/>
              <w:end w:w="110" w:type="dxa"/>
            </w:tcMar>
          </w:tcPr>
          <w:p>
            <w:pPr>
              <w:spacing w:before="0" w:after="40" w:line="252" w:lineRule="auto"/>
            </w:pPr>
            <w:r>
              <w:rPr>
                <w:rFonts w:ascii="Aptos" w:hAnsi="Aptos"/>
                <w:b w:val="0"/>
                <w:color w:val="0B0B0C"/>
                <w:sz w:val="16"/>
              </w:rPr>
              <w:t>11</w:t>
            </w:r>
          </w:p>
        </w:tc>
        <w:tc>
          <w:tcPr>
            <w:tcW w:type="dxa" w:w="4592"/>
            <w:vAlign w:val="center"/>
            <w:tcMar>
              <w:top w:w="90" w:type="dxa"/>
              <w:start w:w="110" w:type="dxa"/>
              <w:bottom w:w="90" w:type="dxa"/>
              <w:end w:w="110" w:type="dxa"/>
            </w:tcMar>
          </w:tcPr>
          <w:p>
            <w:pPr>
              <w:spacing w:before="0" w:after="40" w:line="252" w:lineRule="auto"/>
            </w:pPr>
            <w:r>
              <w:rPr>
                <w:rFonts w:ascii="Aptos" w:hAnsi="Aptos"/>
                <w:b w:val="0"/>
                <w:color w:val="0B0B0C"/>
                <w:sz w:val="16"/>
              </w:rPr>
              <w:t>Inquiry menggunakan Resend saja untuk versi awal.</w:t>
            </w:r>
          </w:p>
        </w:tc>
        <w:tc>
          <w:tcPr>
            <w:tcW w:type="dxa" w:w="4252"/>
            <w:vAlign w:val="center"/>
            <w:tcMar>
              <w:top w:w="90" w:type="dxa"/>
              <w:start w:w="110" w:type="dxa"/>
              <w:bottom w:w="90" w:type="dxa"/>
              <w:end w:w="110" w:type="dxa"/>
            </w:tcMar>
          </w:tcPr>
          <w:p>
            <w:pPr>
              <w:spacing w:before="0" w:after="40" w:line="252" w:lineRule="auto"/>
            </w:pPr>
            <w:r>
              <w:rPr>
                <w:rFonts w:ascii="Aptos" w:hAnsi="Aptos"/>
                <w:b w:val="0"/>
                <w:color w:val="0B0B0C"/>
                <w:sz w:val="16"/>
              </w:rPr>
              <w:t>Google Sheets/CRM dipindahkan ke backlog.</w:t>
            </w:r>
          </w:p>
        </w:tc>
      </w:tr>
    </w:tbl>
    <w:p>
      <w:pPr>
        <w:spacing w:after="0"/>
      </w:pPr>
    </w:p>
    <w:tbl>
      <w:tblPr>
        <w:tblW w:type="auto" w:w="0"/>
        <w:tblLayout w:type="fixed"/>
        <w:tblLook w:firstColumn="1" w:firstRow="1" w:lastColumn="0" w:lastRow="0" w:noHBand="0" w:noVBand="1" w:val="04A0"/>
      </w:tblPr>
      <w:tblGrid>
        <w:gridCol w:w="1814"/>
        <w:gridCol w:w="7597"/>
      </w:tblGrid>
      <w:tr>
        <w:tc>
          <w:tcPr>
            <w:tcW w:type="dxa" w:w="5018"/>
            <w:shd w:fill="FFF4CC"/>
            <w:tcMar>
              <w:top w:w="130" w:type="dxa"/>
              <w:start w:w="140" w:type="dxa"/>
              <w:bottom w:w="130" w:type="dxa"/>
              <w:end w:w="140" w:type="dxa"/>
            </w:tcMar>
            <w:vAlign w:val="center"/>
          </w:tcPr>
          <w:p>
            <w:r>
              <w:rPr>
                <w:rFonts w:ascii="Aptos" w:hAnsi="Aptos"/>
                <w:b/>
                <w:color w:val="720D1C"/>
                <w:sz w:val="18"/>
              </w:rPr>
              <w:t>LAUNCH GATE</w:t>
            </w:r>
          </w:p>
        </w:tc>
        <w:tc>
          <w:tcPr>
            <w:tcW w:type="dxa" w:w="5018"/>
            <w:shd w:fill="FFF4CC"/>
            <w:tcMar>
              <w:top w:w="130" w:type="dxa"/>
              <w:start w:w="140" w:type="dxa"/>
              <w:bottom w:w="130" w:type="dxa"/>
              <w:end w:w="140" w:type="dxa"/>
            </w:tcMar>
            <w:vAlign w:val="center"/>
          </w:tcPr>
          <w:p>
            <w:r>
              <w:rPr>
                <w:rFonts w:ascii="Aptos" w:hAnsi="Aptos"/>
                <w:b w:val="0"/>
                <w:color w:val="0B0B0C"/>
                <w:sz w:val="18"/>
              </w:rPr>
              <w:t>Prototype boleh menampilkan dummy/preview content. Sebelum production launch, kontak publik, registrasi, domain, policies, tim nyata, layanan final, artikel reviewed, pengalaman, statistik, harga, dan structured data harus ditinjau kembali.</w:t>
            </w:r>
          </w:p>
        </w:tc>
      </w:tr>
    </w:tbl>
    <w:p>
      <w:pPr>
        <w:spacing w:after="0"/>
      </w:pPr>
    </w:p>
    <w:sectPr>
      <w:headerReference r:id="rId5" w:type="default"/>
      <w:footerReference r:id="rId6" w:type="default"/>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B4DCE">
    <w:pPr>
      <w:pStyle w:val="18"/>
    </w:pPr>
    <w:r>
      <w:rPr>
        <w:color w:val="4B5563"/>
        <w:sz w:val="16"/>
      </w:rPr>
      <w:t>Prepared for Tim Kultivate — Status: PENDING APPROVAL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AC9C4">
    <w:pPr>
      <w:pStyle w:val="19"/>
    </w:pPr>
    <w:r>
      <w:rPr>
        <w:color w:val="4B5563"/>
        <w:sz w:val="16"/>
      </w:rPr>
      <w:t>GALDINO &amp; PARTNER / WEBSITE BRAND BLUEPRINT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141E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color w:val="0F0F0F"/>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720D1C"/>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B0B0C"/>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C4142A"/>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0B0C"/>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1591</Words>
  <Characters>10843</Characters>
  <Lines>0</Lines>
  <Paragraphs>0</Paragraphs>
  <TotalTime>13</TotalTime>
  <ScaleCrop>false</ScaleCrop>
  <LinksUpToDate>false</LinksUpToDate>
  <CharactersWithSpaces>12118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Aligned 2026-08-05; source retained separately.</dc:description>
  <cp:lastModifiedBy>josh</cp:lastModifiedBy>
  <dcterms:modified xsi:type="dcterms:W3CDTF">2026-08-04T07:47:18Z</dcterms:modified>
  <cp:revision>1</cp:revision>
  <dc:title>Galdino &amp; Partner Website Brand Blueprint - Aligned</dc:title>
  <dc:subject>Website-aligned Fase 2 blueprint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eyJoZGlkIjoiZmUyMzIwYTdkNzk2MGNhYWVhZjNiYTZjOTIwNWQ3YjAiLCJ1c2VySWQiOiI4ODEzMzg1MTcxMjMzIn0=</vt:lpwstr>
  </property>
  <property fmtid="{D5CDD505-2E9C-101B-9397-08002B2CF9AE}" pid="3" name="KSOProductBuildVer">
    <vt:lpwstr>1033-12.1.0.28032</vt:lpwstr>
  </property>
  <property fmtid="{D5CDD505-2E9C-101B-9397-08002B2CF9AE}" pid="4" name="ICV">
    <vt:lpwstr>0B5A666D9CB34579BD184F248B384AC2_12</vt:lpwstr>
  </property>
</Properties>
</file>