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360" w:after="80" w:line="240" w:lineRule="auto"/>
      </w:pPr>
      <w:r>
        <w:rPr>
          <w:rFonts w:ascii="Calibri" w:hAnsi="Calibri"/>
          <w:b/>
          <w:color w:val="B4862B"/>
          <w:sz w:val="20"/>
        </w:rPr>
        <w:t>DOKUMEN STRATEGI WEBSITE</w:t>
      </w:r>
    </w:p>
    <w:p>
      <w:pPr>
        <w:keepNext w:val="0"/>
        <w:spacing w:before="0" w:after="100" w:line="240" w:lineRule="auto"/>
      </w:pPr>
      <w:r>
        <w:rPr>
          <w:rFonts w:ascii="Calibri" w:hAnsi="Calibri"/>
          <w:b/>
          <w:color w:val="173F3B"/>
          <w:sz w:val="54"/>
        </w:rPr>
        <w:t>Galdino and Partner</w:t>
      </w:r>
    </w:p>
    <w:p>
      <w:pPr>
        <w:keepNext w:val="0"/>
        <w:spacing w:before="0" w:after="320" w:line="288" w:lineRule="auto"/>
      </w:pPr>
      <w:r>
        <w:rPr>
          <w:rFonts w:ascii="Calibri" w:hAnsi="Calibri"/>
          <w:color w:val="5D6866"/>
          <w:sz w:val="26"/>
        </w:rPr>
        <w:t>Rekomendasi arsitektur, fitur, dan UI/UX untuk company profile law firm dan konsultan perizinan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1E4"/>
          </w:tcPr>
          <w:p>
            <w:pPr>
              <w:keepNext w:val="0"/>
              <w:spacing w:before="40" w:after="40" w:line="264" w:lineRule="auto"/>
            </w:pPr>
            <w:r>
              <w:rPr>
                <w:rFonts w:ascii="Calibri" w:hAnsi="Calibri"/>
                <w:b/>
                <w:color w:val="173F3B"/>
                <w:sz w:val="21"/>
              </w:rPr>
              <w:t xml:space="preserve">Arah yang dikunci. </w:t>
            </w:r>
            <w:r>
              <w:rPr>
                <w:rFonts w:ascii="Calibri" w:hAnsi="Calibri"/>
                <w:color w:val="1D2524"/>
                <w:sz w:val="21"/>
              </w:rPr>
              <w:t>Korporasi Indonesia sebagai segmen primer; layanan hukum dan konsultasi perizinan tampil setara; authority dan konsultasi menjadi tujuan bersama; versi awal tetap sederhana serta ringan.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0" w:after="120" w:line="264" w:lineRule="auto"/>
      </w:pPr>
      <w:r>
        <w:rPr>
          <w:rFonts w:ascii="Calibri" w:hAnsi="Calibri"/>
          <w:i w:val="0"/>
          <w:color w:val="1D2524"/>
          <w:sz w:val="22"/>
        </w:rPr>
        <w:t>Dasar penyusunan</w:t>
      </w:r>
    </w:p>
    <w:p>
      <w:pPr>
        <w:pStyle w:val="ListBullet"/>
        <w:keepNext w:val="0"/>
        <w:spacing w:before="0" w:after="80" w:line="280" w:lineRule="auto"/>
        <w:ind w:left="720" w:hanging="360"/>
      </w:pPr>
      <w:r>
        <w:rPr>
          <w:rFonts w:ascii="Calibri" w:hAnsi="Calibri"/>
          <w:color w:val="1D2524"/>
          <w:sz w:val="22"/>
        </w:rPr>
        <w:t>Teks analisis “FiturYangBisaDiadopsi.txt”.</w:t>
      </w:r>
    </w:p>
    <w:p>
      <w:pPr>
        <w:pStyle w:val="ListBullet"/>
        <w:keepNext w:val="0"/>
        <w:spacing w:before="0" w:after="80" w:line="280" w:lineRule="auto"/>
        <w:ind w:left="720" w:hanging="360"/>
      </w:pPr>
      <w:r>
        <w:rPr>
          <w:rFonts w:ascii="Calibri" w:hAnsi="Calibri"/>
          <w:color w:val="1D2524"/>
          <w:sz w:val="22"/>
        </w:rPr>
        <w:t>Screenshot #1: komposisi gelap-teal, kartu layanan, profil, dan peta visual.</w:t>
      </w:r>
    </w:p>
    <w:p>
      <w:pPr>
        <w:pStyle w:val="ListBullet"/>
        <w:keepNext w:val="0"/>
        <w:spacing w:before="0" w:after="80" w:line="280" w:lineRule="auto"/>
        <w:ind w:left="720" w:hanging="360"/>
      </w:pPr>
      <w:r>
        <w:rPr>
          <w:rFonts w:ascii="Calibri" w:hAnsi="Calibri"/>
          <w:color w:val="1D2524"/>
          <w:sz w:val="22"/>
        </w:rPr>
        <w:t>Screenshot #2: komposisi krem-editorial, metrik, daftar layanan, dan tim.</w:t>
      </w:r>
    </w:p>
    <w:p>
      <w:pPr>
        <w:pStyle w:val="ListBullet"/>
        <w:keepNext w:val="0"/>
        <w:spacing w:before="0" w:after="80" w:line="280" w:lineRule="auto"/>
        <w:ind w:left="720" w:hanging="360"/>
      </w:pPr>
      <w:r>
        <w:rPr>
          <w:rFonts w:ascii="Calibri" w:hAnsi="Calibri"/>
          <w:color w:val="1D2524"/>
          <w:sz w:val="22"/>
        </w:rPr>
        <w:t>Screenshot #3: komposisi putih-minimal-humanis, visual kerja nyata, layanan, pengalaman, dan CTA.</w:t>
      </w:r>
    </w:p>
    <w:p>
      <w:pPr>
        <w:keepNext w:val="0"/>
        <w:spacing w:before="40" w:after="100" w:line="252" w:lineRule="auto"/>
      </w:pPr>
      <w:r>
        <w:rPr>
          <w:rFonts w:ascii="Calibri" w:hAnsi="Calibri"/>
          <w:b/>
          <w:color w:val="5D6866"/>
          <w:sz w:val="17"/>
        </w:rPr>
        <w:t xml:space="preserve">Rujukan materi: </w:t>
      </w:r>
      <w:r>
        <w:rPr>
          <w:rFonts w:ascii="Calibri" w:hAnsi="Calibri"/>
          <w:i/>
          <w:color w:val="5D6866"/>
          <w:sz w:val="17"/>
        </w:rPr>
        <w:t>Hanya empat materi di atas. Tidak ada riset atau klaim tambahan dari sumber eksternal.</w:t>
      </w:r>
    </w:p>
    <w:p>
      <w:pPr>
        <w:pStyle w:val="Heading1"/>
        <w:keepNext/>
        <w:spacing w:before="0" w:after="120" w:line="264" w:lineRule="auto"/>
      </w:pPr>
      <w:r>
        <w:rPr>
          <w:rFonts w:ascii="Calibri" w:hAnsi="Calibri"/>
          <w:i w:val="0"/>
          <w:color w:val="1D2524"/>
          <w:sz w:val="22"/>
        </w:rPr>
        <w:t>1. Ringkasan Insight Materi</w:t>
      </w:r>
    </w:p>
    <w:p>
      <w:pPr>
        <w:pStyle w:val="Heading2"/>
        <w:keepNext/>
        <w:spacing w:before="0" w:after="120" w:line="264" w:lineRule="auto"/>
      </w:pPr>
      <w:r>
        <w:rPr>
          <w:rFonts w:ascii="Calibri" w:hAnsi="Calibri"/>
          <w:i w:val="0"/>
          <w:color w:val="1D2524"/>
          <w:sz w:val="22"/>
        </w:rPr>
        <w:t>Pola yang paling konsisten</w:t>
      </w:r>
    </w:p>
    <w:p>
      <w:pPr>
        <w:pStyle w:val="ListBullet"/>
        <w:keepNext w:val="0"/>
        <w:spacing w:before="0" w:after="80" w:line="280" w:lineRule="auto"/>
        <w:ind w:left="720" w:hanging="360"/>
      </w:pPr>
      <w:r>
        <w:rPr>
          <w:rFonts w:ascii="Calibri" w:hAnsi="Calibri"/>
          <w:color w:val="1D2524"/>
          <w:sz w:val="22"/>
        </w:rPr>
        <w:t>Hero singkat yang memadukan pesan nilai, visual profesional nyata, dan satu CTA konsultasi.</w:t>
      </w:r>
    </w:p>
    <w:p>
      <w:pPr>
        <w:pStyle w:val="ListBullet"/>
        <w:keepNext w:val="0"/>
        <w:spacing w:before="0" w:after="80" w:line="280" w:lineRule="auto"/>
        <w:ind w:left="720" w:hanging="360"/>
      </w:pPr>
      <w:r>
        <w:rPr>
          <w:rFonts w:ascii="Calibri" w:hAnsi="Calibri"/>
          <w:color w:val="1D2524"/>
          <w:sz w:val="22"/>
        </w:rPr>
        <w:t>Bukti kepercayaan tampil dekat dengan awal perjalanan: pengalaman, pengakuan yang dapat dibuktikan, atau profil profesional.</w:t>
      </w:r>
    </w:p>
    <w:p>
      <w:pPr>
        <w:pStyle w:val="ListBullet"/>
        <w:keepNext w:val="0"/>
        <w:spacing w:before="0" w:after="80" w:line="280" w:lineRule="auto"/>
        <w:ind w:left="720" w:hanging="360"/>
      </w:pPr>
      <w:r>
        <w:rPr>
          <w:rFonts w:ascii="Calibri" w:hAnsi="Calibri"/>
          <w:color w:val="1D2524"/>
          <w:sz w:val="22"/>
        </w:rPr>
        <w:t>Layanan dikelompokkan secara jelas agar pengunjung segera mengenali kebutuhan hukum atau perizinannya.</w:t>
      </w:r>
    </w:p>
    <w:p>
      <w:pPr>
        <w:pStyle w:val="ListBullet"/>
        <w:keepNext w:val="0"/>
        <w:spacing w:before="0" w:after="80" w:line="280" w:lineRule="auto"/>
        <w:ind w:left="720" w:hanging="360"/>
      </w:pPr>
      <w:r>
        <w:rPr>
          <w:rFonts w:ascii="Calibri" w:hAnsi="Calibri"/>
          <w:color w:val="1D2524"/>
          <w:sz w:val="22"/>
        </w:rPr>
        <w:t>Konten insight terbaru menjaga firma terlihat aktif, tetapi bukan sebagai pengganti jalur konsultasi.</w:t>
      </w:r>
    </w:p>
    <w:p>
      <w:pPr>
        <w:pStyle w:val="ListBullet"/>
        <w:keepNext w:val="0"/>
        <w:spacing w:before="0" w:after="80" w:line="280" w:lineRule="auto"/>
        <w:ind w:left="720" w:hanging="360"/>
      </w:pPr>
      <w:r>
        <w:rPr>
          <w:rFonts w:ascii="Calibri" w:hAnsi="Calibri"/>
          <w:color w:val="1D2524"/>
          <w:sz w:val="22"/>
        </w:rPr>
        <w:t>Kontak mudah ditemukan melalui header, CTA halaman, dan footer.</w:t>
      </w:r>
    </w:p>
    <w:p>
      <w:pPr>
        <w:pStyle w:val="Heading2"/>
        <w:keepNext/>
        <w:spacing w:before="0" w:after="120" w:line="264" w:lineRule="auto"/>
      </w:pPr>
      <w:r>
        <w:rPr>
          <w:rFonts w:ascii="Calibri" w:hAnsi="Calibri"/>
          <w:i w:val="0"/>
          <w:color w:val="1D2524"/>
          <w:sz w:val="22"/>
        </w:rPr>
        <w:t>Insight untuk Galdino and Partner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1EF"/>
          </w:tcPr>
          <w:p>
            <w:pPr>
              <w:keepNext w:val="0"/>
              <w:spacing w:before="40" w:after="40" w:line="264" w:lineRule="auto"/>
            </w:pPr>
            <w:r>
              <w:rPr>
                <w:rFonts w:ascii="Calibri" w:hAnsi="Calibri"/>
                <w:b/>
                <w:color w:val="173F3B"/>
                <w:sz w:val="21"/>
              </w:rPr>
              <w:t xml:space="preserve">Keputusan desain. </w:t>
            </w:r>
            <w:r>
              <w:rPr>
                <w:rFonts w:ascii="Calibri" w:hAnsi="Calibri"/>
                <w:color w:val="1D2524"/>
                <w:sz w:val="21"/>
              </w:rPr>
              <w:t>Gunakan pola visual putih-minimal-humanis dari Screenshot #3 sebagai dasar agar layanan terasa jelas dan mudah didekati. Ambil kontras kartu secara terbatas dari Screenshot #1 dan aksen editorial hangat dari Screenshot #2.</w:t>
            </w:r>
          </w:p>
        </w:tc>
      </w:tr>
    </w:tbl>
    <w:p>
      <w:pPr>
        <w:spacing w:after="40"/>
      </w:pPr>
    </w:p>
    <w:p>
      <w:pPr>
        <w:keepNext w:val="0"/>
        <w:spacing w:before="40" w:after="100" w:line="252" w:lineRule="auto"/>
      </w:pPr>
      <w:r>
        <w:rPr>
          <w:rFonts w:ascii="Calibri" w:hAnsi="Calibri"/>
          <w:b/>
          <w:color w:val="5D6866"/>
          <w:sz w:val="17"/>
        </w:rPr>
        <w:t xml:space="preserve">Rujukan materi: </w:t>
      </w:r>
      <w:r>
        <w:rPr>
          <w:rFonts w:ascii="Calibri" w:hAnsi="Calibri"/>
          <w:i/>
          <w:color w:val="5D6866"/>
          <w:sz w:val="17"/>
        </w:rPr>
        <w:t>Screenshot #1, #2, dan #3; FiturYangBisaDiadopsi.txt (hero, kontak, layanan, profil, case studies, legal updates).</w:t>
      </w:r>
    </w:p>
    <w:p>
      <w:pPr>
        <w:pStyle w:val="Heading1"/>
        <w:keepNext/>
        <w:spacing w:before="0" w:after="120" w:line="264" w:lineRule="auto"/>
      </w:pPr>
      <w:r>
        <w:rPr>
          <w:rFonts w:ascii="Calibri" w:hAnsi="Calibri"/>
          <w:i w:val="0"/>
          <w:color w:val="1D2524"/>
          <w:sz w:val="22"/>
        </w:rPr>
        <w:t>2. Fitur dan Prioritas Implementasi</w:t>
      </w:r>
    </w:p>
    <w:p>
      <w:pPr>
        <w:pStyle w:val="Heading2"/>
        <w:keepNext/>
        <w:spacing w:before="0" w:after="120" w:line="264" w:lineRule="auto"/>
      </w:pPr>
      <w:r>
        <w:rPr>
          <w:rFonts w:ascii="Calibri" w:hAnsi="Calibri"/>
          <w:i w:val="0"/>
          <w:color w:val="1D2524"/>
          <w:sz w:val="22"/>
        </w:rPr>
        <w:t>Fitur versi awal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2300"/>
        <w:gridCol w:w="3200"/>
        <w:gridCol w:w="20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F3B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Fitur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F3B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Fungsi &amp; halaman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F3B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Rujukan materi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F3B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Dampak / prioritas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Hero otoritatif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Home: pesan nilai singkat, visual kerja nyata, CTA “Konsultasikan Kebutuhan Anda”.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Teks: hero/CTA; Screenshot #3.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Menjelaskan nilai dan memulai konversi. V1.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Bukti pengalaman aman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Home &amp; Experience: ringkasan mandat/proyek tanpa identitas klien rahasia.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Teks: case/deal highlights; Screenshot #3.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Membangun trust tanpa membuka kerahasiaan. V1.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Profil partner utama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Profile &amp; Home: foto, peran, keahlian, dan ringkasan pengalaman yang disetujui.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Teks: profiles; Screenshot #1/#2.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Memberi wajah dan otoritas firma. V1.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Kategori layanan setara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Home &amp; Services: pilar Legal Services dan Konsultasi Perizinan, lalu layanan rinci.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Teks: expertise/practice areas; Screenshot #1/#3.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Memudahkan self-selection calon klien. V1.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Blog / legal insight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Blog &amp; Home: artikel regulasi, panduan, dan berita firma; ritme 3 mingguan.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Teks: updates/knowledge center; Screenshot #1.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Menjaga authority dan jalur edukasi. V1.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Form + WhatsApp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Home, Services, Contact: inquiry formal dan respons cepat.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Teks: kontak/WhatsApp; Screenshot #3.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Mengurangi friksi kontak. V1.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Footer legal lengkap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Semua halaman: alamat, kontak, navigasi, privasi, disclaimer.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Teks: footer/privacy/disclaimer.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Transparansi dan kelengkapan informasi. V1.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0" w:after="120" w:line="264" w:lineRule="auto"/>
      </w:pPr>
      <w:r>
        <w:rPr>
          <w:rFonts w:ascii="Calibri" w:hAnsi="Calibri"/>
          <w:i w:val="0"/>
          <w:color w:val="1D2524"/>
          <w:sz w:val="22"/>
        </w:rPr>
        <w:t>Fitur tahap lanjut dan fitur yang tidak dipakai pada awal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2000"/>
        <w:gridCol w:w="3560"/>
        <w:gridCol w:w="200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F3B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Kelompok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F3B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Keputusan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F3B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Alasan / risiko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F3B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Kapan digunakan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Tahap lanjut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Direktori tim, bilingual, search, newsletter, resource/download, video/podcast, filter insight, peta, karier.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Berharga saat konten, tim, atau volume artikel sudah cukup; menambah beban pengelolaan jika dipaksakan awal.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Setelah konten dan operasional siap.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Hindari pada V1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Carousel otomatis, mega menu kompleks, fitur interaktif berat.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Mengganggu fokus, menambah kompleksitas, dan tidak sejalan dengan arahan simple &amp; ringan.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Hanya bila ada kebutuhan konten yang tervalidasi.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Hindari sampai terbukti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Angka pencapaian, penghargaan, logo klien, dan klaim cakupan tanpa bukti.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Berisiko terhadap kredibilitas dan ketepatan informasi.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Setelah bukti serta izin publikasi tersedia.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Hindari sebagai basis visual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Gambar stok legal generik atau dekorasi berlebihan.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Mengurangi rasa autentik dan membuat pesan sulit dipindai.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Tidak direkomendasikan; prioritaskan foto nyata yang disetujui.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0" w:after="120" w:line="264" w:lineRule="auto"/>
      </w:pPr>
      <w:r>
        <w:rPr>
          <w:rFonts w:ascii="Calibri" w:hAnsi="Calibri"/>
          <w:i w:val="0"/>
          <w:color w:val="1D2524"/>
          <w:sz w:val="22"/>
        </w:rPr>
        <w:t>3. Arsitektur Website dan Alur Pengguna</w:t>
      </w:r>
    </w:p>
    <w:p>
      <w:pPr>
        <w:pStyle w:val="Heading2"/>
        <w:keepNext/>
        <w:spacing w:before="0" w:after="120" w:line="264" w:lineRule="auto"/>
      </w:pPr>
      <w:r>
        <w:rPr>
          <w:rFonts w:ascii="Calibri" w:hAnsi="Calibri"/>
          <w:i w:val="0"/>
          <w:color w:val="1D2524"/>
          <w:sz w:val="22"/>
        </w:rPr>
        <w:t>Sitemap versi awal</w:t>
      </w:r>
    </w:p>
    <w:p>
      <w:pPr>
        <w:pStyle w:val="ListNumber"/>
        <w:keepNext w:val="0"/>
        <w:spacing w:before="0" w:after="80" w:line="280" w:lineRule="auto"/>
        <w:ind w:left="720" w:hanging="360"/>
      </w:pPr>
      <w:r>
        <w:rPr>
          <w:rFonts w:ascii="Calibri" w:hAnsi="Calibri"/>
          <w:color w:val="1D2524"/>
          <w:sz w:val="22"/>
        </w:rPr>
        <w:t>Home</w:t>
      </w:r>
    </w:p>
    <w:p>
      <w:pPr>
        <w:pStyle w:val="ListNumber"/>
        <w:keepNext w:val="0"/>
        <w:spacing w:before="0" w:after="80" w:line="280" w:lineRule="auto"/>
        <w:ind w:left="720" w:hanging="360"/>
      </w:pPr>
      <w:r>
        <w:rPr>
          <w:rFonts w:ascii="Calibri" w:hAnsi="Calibri"/>
          <w:color w:val="1D2524"/>
          <w:sz w:val="22"/>
        </w:rPr>
        <w:t>Profile / About Us - pengenalan, visi, nilai, partner utama, dan CTA</w:t>
      </w:r>
    </w:p>
    <w:p>
      <w:pPr>
        <w:pStyle w:val="ListNumber"/>
        <w:keepNext w:val="0"/>
        <w:spacing w:before="0" w:after="80" w:line="280" w:lineRule="auto"/>
        <w:ind w:left="720" w:hanging="360"/>
      </w:pPr>
      <w:r>
        <w:rPr>
          <w:rFonts w:ascii="Calibri" w:hAnsi="Calibri"/>
          <w:color w:val="1D2524"/>
          <w:sz w:val="22"/>
        </w:rPr>
        <w:t>Services - Legal Services dan Konsultasi Perizinan</w:t>
      </w:r>
    </w:p>
    <w:p>
      <w:pPr>
        <w:pStyle w:val="ListNumber"/>
        <w:keepNext w:val="0"/>
        <w:spacing w:before="0" w:after="80" w:line="280" w:lineRule="auto"/>
        <w:ind w:left="720" w:hanging="360"/>
      </w:pPr>
      <w:r>
        <w:rPr>
          <w:rFonts w:ascii="Calibri" w:hAnsi="Calibri"/>
          <w:color w:val="1D2524"/>
          <w:sz w:val="22"/>
        </w:rPr>
        <w:t>Projects / Experience - pengalaman anonim dan studi kasus aman</w:t>
      </w:r>
    </w:p>
    <w:p>
      <w:pPr>
        <w:pStyle w:val="ListNumber"/>
        <w:keepNext w:val="0"/>
        <w:spacing w:before="0" w:after="80" w:line="280" w:lineRule="auto"/>
        <w:ind w:left="720" w:hanging="360"/>
      </w:pPr>
      <w:r>
        <w:rPr>
          <w:rFonts w:ascii="Calibri" w:hAnsi="Calibri"/>
          <w:color w:val="1D2524"/>
          <w:sz w:val="22"/>
        </w:rPr>
        <w:t>Blog - daftar artikel dan detail artikel</w:t>
      </w:r>
    </w:p>
    <w:p>
      <w:pPr>
        <w:pStyle w:val="ListNumber"/>
        <w:keepNext w:val="0"/>
        <w:spacing w:before="0" w:after="80" w:line="280" w:lineRule="auto"/>
        <w:ind w:left="720" w:hanging="360"/>
      </w:pPr>
      <w:r>
        <w:rPr>
          <w:rFonts w:ascii="Calibri" w:hAnsi="Calibri"/>
          <w:color w:val="1D2524"/>
          <w:sz w:val="22"/>
        </w:rPr>
        <w:t>Contact - form inquiry, WhatsApp, email, telepon, dan alamat</w:t>
      </w:r>
    </w:p>
    <w:p>
      <w:pPr>
        <w:pStyle w:val="Heading2"/>
        <w:keepNext/>
        <w:spacing w:before="0" w:after="120" w:line="264" w:lineRule="auto"/>
      </w:pPr>
      <w:r>
        <w:rPr>
          <w:rFonts w:ascii="Calibri" w:hAnsi="Calibri"/>
          <w:i w:val="0"/>
          <w:color w:val="1D2524"/>
          <w:sz w:val="22"/>
        </w:rPr>
        <w:t>Navigasi</w:t>
      </w:r>
    </w:p>
    <w:p>
      <w:pPr>
        <w:pStyle w:val="ListBullet"/>
        <w:keepNext w:val="0"/>
        <w:spacing w:before="0" w:after="80" w:line="280" w:lineRule="auto"/>
        <w:ind w:left="720" w:hanging="360"/>
      </w:pPr>
      <w:r>
        <w:rPr>
          <w:rFonts w:ascii="Calibri" w:hAnsi="Calibri"/>
          <w:color w:val="1D2524"/>
          <w:sz w:val="22"/>
        </w:rPr>
        <w:t>Header: Logo | Profile | Services | Experience | Blog | Contact | tombol “Konsultasi”.</w:t>
      </w:r>
    </w:p>
    <w:p>
      <w:pPr>
        <w:pStyle w:val="ListBullet"/>
        <w:keepNext w:val="0"/>
        <w:spacing w:before="0" w:after="80" w:line="280" w:lineRule="auto"/>
        <w:ind w:left="720" w:hanging="360"/>
      </w:pPr>
      <w:r>
        <w:rPr>
          <w:rFonts w:ascii="Calibri" w:hAnsi="Calibri"/>
          <w:color w:val="1D2524"/>
          <w:sz w:val="22"/>
        </w:rPr>
        <w:t>Footer: pengenalan singkat, tautan halaman, email/telepon/WhatsApp/alamat, Privacy Policy, Disclaimer, dan ruang untuk Fraud Alert bila kelak diperlukan.</w:t>
      </w:r>
    </w:p>
    <w:p>
      <w:pPr>
        <w:pStyle w:val="Heading2"/>
        <w:keepNext/>
        <w:spacing w:before="0" w:after="120" w:line="264" w:lineRule="auto"/>
      </w:pPr>
      <w:r>
        <w:rPr>
          <w:rFonts w:ascii="Calibri" w:hAnsi="Calibri"/>
          <w:i w:val="0"/>
          <w:color w:val="1D2524"/>
          <w:sz w:val="22"/>
        </w:rPr>
        <w:t>Alur konversi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600"/>
        <w:gridCol w:w="5100"/>
        <w:gridCol w:w="2660"/>
      </w:tblGrid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F3B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Mulai dari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F3B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Urutan yang disarankan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F3B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Tujuan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Home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Hero → bukti pengalaman/partner → layanan → CTA konsultasi.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Mengubah perhatian awal menjadi inquiry.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Services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Pilih kategori → baca lingkup layanan → lihat experience terkait → “Konsultasikan Kebutuhan Anda”.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Membantu calon klien dengan masalah yang sudah terdefinisi.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Blog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Artikel → CTA layanan yang terkait → Contact/WhatsApp.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Mengubah pembaca insight menjadi calon klien.</w:t>
            </w:r>
          </w:p>
        </w:tc>
      </w:tr>
    </w:tbl>
    <w:p>
      <w:pPr>
        <w:spacing w:after="8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1E4"/>
          </w:tcPr>
          <w:p>
            <w:pPr>
              <w:keepNext w:val="0"/>
              <w:spacing w:before="40" w:after="40" w:line="264" w:lineRule="auto"/>
            </w:pPr>
            <w:r>
              <w:rPr>
                <w:rFonts w:ascii="Calibri" w:hAnsi="Calibri"/>
                <w:b/>
                <w:color w:val="173F3B"/>
                <w:sz w:val="21"/>
              </w:rPr>
              <w:t xml:space="preserve">Prinsip navigasi. </w:t>
            </w:r>
            <w:r>
              <w:rPr>
                <w:rFonts w:ascii="Calibri" w:hAnsi="Calibri"/>
                <w:color w:val="1D2524"/>
                <w:sz w:val="21"/>
              </w:rPr>
              <w:t>Jangan menambah “Team”, “Insights”, atau “Careers” sebagai menu mandiri pada V1 karena belum menjadi halaman inti; partner utama tetap dapat tampil di Profile.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0" w:after="120" w:line="264" w:lineRule="auto"/>
      </w:pPr>
      <w:r>
        <w:rPr>
          <w:rFonts w:ascii="Calibri" w:hAnsi="Calibri"/>
          <w:i w:val="0"/>
          <w:color w:val="1D2524"/>
          <w:sz w:val="22"/>
        </w:rPr>
        <w:t>4. Breakdown Halaman Inti</w:t>
      </w:r>
    </w:p>
    <w:p>
      <w:pPr>
        <w:pStyle w:val="Heading2"/>
        <w:keepNext/>
        <w:spacing w:before="0" w:after="120" w:line="264" w:lineRule="auto"/>
      </w:pPr>
      <w:r>
        <w:rPr>
          <w:rFonts w:ascii="Calibri" w:hAnsi="Calibri"/>
          <w:i w:val="0"/>
          <w:color w:val="1D2524"/>
          <w:sz w:val="22"/>
        </w:rPr>
        <w:t>Home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4400"/>
        <w:gridCol w:w="3460"/>
      </w:tblGrid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F3B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Section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F3B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Tujuan &amp; konten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F3B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Layout / rujukan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Header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Akses cepat ke halaman inti dan CTA konsultasi.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Bar horizontal bersih; Screenshot #3.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Hero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Pernyataan nilai, ringkasan dua pilar layanan, CTA; foto aktivitas kerja profesional.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Teks kiri, visual kanan / full-bleed terkontrol; Screenshot #3.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Trust / authority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Pengantar profil partner dan pengalaman yang telah disetujui. Tidak memakai angka kosong.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Band ringkas dengan tautan “Lihat Pengalaman”; teks analisis tentang profiles/case studies.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Company overview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Siapa firma, pendekatan kerja, dan kaitan law firm + perizinan.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Dua kolom teks/visual; Screenshot #3.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Services preview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Dua pilar setara dengan 3-4 layanan contoh dan tautan ke Services.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Grid kartu sederhana; Screenshot #1/#3.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Experience preview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2-3 kartu case highlight anonim: kebutuhan, peran, sektor, hasil proses yang aman.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Kartu editorial; Screenshot #3.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Why choose us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Nilai pembeda berbasis proses: jelas, terukur, dan responsif; hanya yang dikonfirmasi sebelum publikasi.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Tiga kolom teks, bukan klaim berlebihan; Screenshot #2.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Blog preview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3 artikel terbaru dengan kategori dan tanggal; tautan “Lihat Semua Insight”.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Daftar/kartu ringan; teks analisis tentang updates.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CTA contact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Pesan konsultatif, tombol form dan WhatsApp, trust message singkat.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Band kontras lembut; pola CTA pada teks dan Screenshot #3.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Footer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Kontak, alamat, navigasi, legal links.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Footer padat tetapi lapang; teks analisis.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0" w:after="120" w:line="264" w:lineRule="auto"/>
      </w:pPr>
      <w:r>
        <w:rPr>
          <w:rFonts w:ascii="Calibri" w:hAnsi="Calibri"/>
          <w:i w:val="0"/>
          <w:color w:val="1D2524"/>
          <w:sz w:val="22"/>
        </w:rPr>
        <w:t>Profile / About Us</w:t>
      </w:r>
    </w:p>
    <w:p>
      <w:pPr>
        <w:pStyle w:val="ListBullet"/>
        <w:keepNext w:val="0"/>
        <w:spacing w:before="0" w:after="80" w:line="280" w:lineRule="auto"/>
        <w:ind w:left="720" w:hanging="360"/>
      </w:pPr>
      <w:r>
        <w:rPr>
          <w:rFonts w:ascii="Calibri" w:hAnsi="Calibri"/>
          <w:color w:val="1D2524"/>
          <w:sz w:val="22"/>
        </w:rPr>
        <w:t>Company introduction: posisi firma dan dua pilar layanannya.</w:t>
      </w:r>
    </w:p>
    <w:p>
      <w:pPr>
        <w:pStyle w:val="ListBullet"/>
        <w:keepNext w:val="0"/>
        <w:spacing w:before="0" w:after="80" w:line="280" w:lineRule="auto"/>
        <w:ind w:left="720" w:hanging="360"/>
      </w:pPr>
      <w:r>
        <w:rPr>
          <w:rFonts w:ascii="Calibri" w:hAnsi="Calibri"/>
          <w:color w:val="1D2524"/>
          <w:sz w:val="22"/>
        </w:rPr>
        <w:t>Visi, misi, dan nilai: ringkas, spesifik, dan bebas klaim yang belum disetujui.</w:t>
      </w:r>
    </w:p>
    <w:p>
      <w:pPr>
        <w:pStyle w:val="ListBullet"/>
        <w:keepNext w:val="0"/>
        <w:spacing w:before="0" w:after="80" w:line="280" w:lineRule="auto"/>
        <w:ind w:left="720" w:hanging="360"/>
      </w:pPr>
      <w:r>
        <w:rPr>
          <w:rFonts w:ascii="Calibri" w:hAnsi="Calibri"/>
          <w:color w:val="1D2524"/>
          <w:sz w:val="22"/>
        </w:rPr>
        <w:t>Legal expertise &amp; pengalaman: area kemampuan dalam format yang mudah dipindai.</w:t>
      </w:r>
    </w:p>
    <w:p>
      <w:pPr>
        <w:pStyle w:val="ListBullet"/>
        <w:keepNext w:val="0"/>
        <w:spacing w:before="0" w:after="80" w:line="280" w:lineRule="auto"/>
        <w:ind w:left="720" w:hanging="360"/>
      </w:pPr>
      <w:r>
        <w:rPr>
          <w:rFonts w:ascii="Calibri" w:hAnsi="Calibri"/>
          <w:color w:val="1D2524"/>
          <w:sz w:val="22"/>
        </w:rPr>
        <w:t>Partner utama: foto, nama, jabatan, fokus keahlian, ringkasan pengalaman yang telah disetujui.</w:t>
      </w:r>
    </w:p>
    <w:p>
      <w:pPr>
        <w:pStyle w:val="ListBullet"/>
        <w:keepNext w:val="0"/>
        <w:spacing w:before="0" w:after="80" w:line="280" w:lineRule="auto"/>
        <w:ind w:left="720" w:hanging="360"/>
      </w:pPr>
      <w:r>
        <w:rPr>
          <w:rFonts w:ascii="Calibri" w:hAnsi="Calibri"/>
          <w:color w:val="1D2524"/>
          <w:sz w:val="22"/>
        </w:rPr>
        <w:t>Authority content: pendekatan kerja, standar komunikasi, atau insight publik yang benar-benar tersedia.</w:t>
      </w:r>
    </w:p>
    <w:p>
      <w:pPr>
        <w:pStyle w:val="ListBullet"/>
        <w:keepNext w:val="0"/>
        <w:spacing w:before="0" w:after="80" w:line="280" w:lineRule="auto"/>
        <w:ind w:left="720" w:hanging="360"/>
      </w:pPr>
      <w:r>
        <w:rPr>
          <w:rFonts w:ascii="Calibri" w:hAnsi="Calibri"/>
          <w:color w:val="1D2524"/>
          <w:sz w:val="22"/>
        </w:rPr>
        <w:t>CTA: “Diskusikan Kebutuhan Anda” menuju Contact.</w:t>
      </w:r>
    </w:p>
    <w:p>
      <w:pPr>
        <w:pStyle w:val="Heading2"/>
        <w:keepNext/>
        <w:spacing w:before="0" w:after="120" w:line="264" w:lineRule="auto"/>
      </w:pPr>
      <w:r>
        <w:rPr>
          <w:rFonts w:ascii="Calibri" w:hAnsi="Calibri"/>
          <w:i w:val="0"/>
          <w:color w:val="1D2524"/>
          <w:sz w:val="22"/>
        </w:rPr>
        <w:t>Services</w:t>
      </w:r>
    </w:p>
    <w:p>
      <w:pPr>
        <w:pStyle w:val="ListBullet"/>
        <w:keepNext w:val="0"/>
        <w:spacing w:before="0" w:after="80" w:line="280" w:lineRule="auto"/>
        <w:ind w:left="720" w:hanging="360"/>
      </w:pPr>
      <w:r>
        <w:rPr>
          <w:rFonts w:ascii="Calibri" w:hAnsi="Calibri"/>
          <w:color w:val="1D2524"/>
          <w:sz w:val="22"/>
        </w:rPr>
        <w:t>Pembuka yang menjelaskan dua kategori setara: Legal Services dan Konsultasi Perizinan.</w:t>
      </w:r>
    </w:p>
    <w:p>
      <w:pPr>
        <w:pStyle w:val="ListBullet"/>
        <w:keepNext w:val="0"/>
        <w:spacing w:before="0" w:after="80" w:line="280" w:lineRule="auto"/>
        <w:ind w:left="720" w:hanging="360"/>
      </w:pPr>
      <w:r>
        <w:rPr>
          <w:rFonts w:ascii="Calibri" w:hAnsi="Calibri"/>
          <w:color w:val="1D2524"/>
          <w:sz w:val="22"/>
        </w:rPr>
        <w:t>Gunakan kartu atau daftar terstruktur; setiap layanan berisi nama, ringkasan kebutuhan yang dilayani, dan CTA konsultasi.</w:t>
      </w:r>
    </w:p>
    <w:p>
      <w:pPr>
        <w:pStyle w:val="ListBullet"/>
        <w:keepNext w:val="0"/>
        <w:spacing w:before="0" w:after="80" w:line="280" w:lineRule="auto"/>
        <w:ind w:left="720" w:hanging="360"/>
      </w:pPr>
      <w:r>
        <w:rPr>
          <w:rFonts w:ascii="Calibri" w:hAnsi="Calibri"/>
          <w:color w:val="1D2524"/>
          <w:sz w:val="22"/>
        </w:rPr>
        <w:t>Nama layanan detail hanya diisi setelah dikonfirmasi. Materi memberi contoh kategori seperti corporate, compliance, licensing, dispute resolution, investasi, OSS, ketenagakerjaan, dan ekspor-impor; jangan memperlakukannya sebagai daftar layanan Galdino and Partner sebelum validasi.</w:t>
      </w:r>
    </w:p>
    <w:p>
      <w:pPr>
        <w:pStyle w:val="Heading2"/>
        <w:keepNext/>
        <w:spacing w:before="0" w:after="120" w:line="264" w:lineRule="auto"/>
      </w:pPr>
      <w:r>
        <w:rPr>
          <w:rFonts w:ascii="Calibri" w:hAnsi="Calibri"/>
          <w:i w:val="0"/>
          <w:color w:val="1D2524"/>
          <w:sz w:val="22"/>
        </w:rPr>
        <w:t>Projects / Experience</w:t>
      </w:r>
    </w:p>
    <w:p>
      <w:pPr>
        <w:pStyle w:val="ListBullet"/>
        <w:keepNext w:val="0"/>
        <w:spacing w:before="0" w:after="80" w:line="280" w:lineRule="auto"/>
        <w:ind w:left="720" w:hanging="360"/>
      </w:pPr>
      <w:r>
        <w:rPr>
          <w:rFonts w:ascii="Calibri" w:hAnsi="Calibri"/>
          <w:color w:val="1D2524"/>
          <w:sz w:val="22"/>
        </w:rPr>
        <w:t>Tampilkan studi kasus anonim dengan format: konteks sektor (opsional), kebutuhan, peran tim, ruang lingkup yang diizinkan, dan hasil proses yang tidak membuka data rahasia.</w:t>
      </w:r>
    </w:p>
    <w:p>
      <w:pPr>
        <w:pStyle w:val="ListBullet"/>
        <w:keepNext w:val="0"/>
        <w:spacing w:before="0" w:after="80" w:line="280" w:lineRule="auto"/>
        <w:ind w:left="720" w:hanging="360"/>
      </w:pPr>
      <w:r>
        <w:rPr>
          <w:rFonts w:ascii="Calibri" w:hAnsi="Calibri"/>
          <w:color w:val="1D2524"/>
          <w:sz w:val="22"/>
        </w:rPr>
        <w:t>Hindari nama klien, nilai transaksi, dokumen, fakta sengketa, atau hasil yang belum diberi izin tertulis.</w:t>
      </w:r>
    </w:p>
    <w:p>
      <w:pPr>
        <w:pStyle w:val="ListBullet"/>
        <w:keepNext w:val="0"/>
        <w:spacing w:before="0" w:after="80" w:line="280" w:lineRule="auto"/>
        <w:ind w:left="720" w:hanging="360"/>
      </w:pPr>
      <w:r>
        <w:rPr>
          <w:rFonts w:ascii="Calibri" w:hAnsi="Calibri"/>
          <w:color w:val="1D2524"/>
          <w:sz w:val="22"/>
        </w:rPr>
        <w:t>Gunakan label generik seperti “Regulatory Advisory”, “Corporate Matter”, atau “Licensing Support” agar pengunjung cepat memahami konteks.</w:t>
      </w:r>
    </w:p>
    <w:p>
      <w:pPr>
        <w:pStyle w:val="Heading2"/>
        <w:keepNext/>
        <w:spacing w:before="0" w:after="120" w:line="264" w:lineRule="auto"/>
      </w:pPr>
      <w:r>
        <w:rPr>
          <w:rFonts w:ascii="Calibri" w:hAnsi="Calibri"/>
          <w:i w:val="0"/>
          <w:color w:val="1D2524"/>
          <w:sz w:val="22"/>
        </w:rPr>
        <w:t>Contact</w:t>
      </w:r>
    </w:p>
    <w:p>
      <w:pPr>
        <w:pStyle w:val="ListBullet"/>
        <w:keepNext w:val="0"/>
        <w:spacing w:before="0" w:after="80" w:line="280" w:lineRule="auto"/>
        <w:ind w:left="720" w:hanging="360"/>
      </w:pPr>
      <w:r>
        <w:rPr>
          <w:rFonts w:ascii="Calibri" w:hAnsi="Calibri"/>
          <w:color w:val="1D2524"/>
          <w:sz w:val="22"/>
        </w:rPr>
        <w:t>Form minimum: nama, organisasi, email/telepon, layanan yang diminati (opsional), dan pesan. Tambahkan persetujuan privacy sebelum submit.</w:t>
      </w:r>
    </w:p>
    <w:p>
      <w:pPr>
        <w:pStyle w:val="ListBullet"/>
        <w:keepNext w:val="0"/>
        <w:spacing w:before="0" w:after="80" w:line="280" w:lineRule="auto"/>
        <w:ind w:left="720" w:hanging="360"/>
      </w:pPr>
      <w:r>
        <w:rPr>
          <w:rFonts w:ascii="Calibri" w:hAnsi="Calibri"/>
          <w:color w:val="1D2524"/>
          <w:sz w:val="22"/>
        </w:rPr>
        <w:t>Tampilkan email, nomor telepon, WhatsApp, dan alamat kantor yang telah dikonfirmasi; peta ditunda.</w:t>
      </w:r>
    </w:p>
    <w:p>
      <w:pPr>
        <w:pStyle w:val="ListBullet"/>
        <w:keepNext w:val="0"/>
        <w:spacing w:before="0" w:after="80" w:line="280" w:lineRule="auto"/>
        <w:ind w:left="720" w:hanging="360"/>
      </w:pPr>
      <w:r>
        <w:rPr>
          <w:rFonts w:ascii="Calibri" w:hAnsi="Calibri"/>
          <w:color w:val="1D2524"/>
          <w:sz w:val="22"/>
        </w:rPr>
        <w:t>Trust message: “Informasi awal Anda akan ditinjau oleh tim kami. Jangan sertakan dokumen sensitif melalui formulir ini.”</w:t>
      </w:r>
    </w:p>
    <w:p>
      <w:pPr>
        <w:pStyle w:val="Heading2"/>
        <w:keepNext/>
        <w:spacing w:before="0" w:after="120" w:line="264" w:lineRule="auto"/>
      </w:pPr>
      <w:r>
        <w:rPr>
          <w:rFonts w:ascii="Calibri" w:hAnsi="Calibri"/>
          <w:i w:val="0"/>
          <w:color w:val="1D2524"/>
          <w:sz w:val="22"/>
        </w:rPr>
        <w:t>Blog</w:t>
      </w:r>
    </w:p>
    <w:p>
      <w:pPr>
        <w:pStyle w:val="ListBullet"/>
        <w:keepNext w:val="0"/>
        <w:spacing w:before="0" w:after="80" w:line="280" w:lineRule="auto"/>
        <w:ind w:left="720" w:hanging="360"/>
      </w:pPr>
      <w:r>
        <w:rPr>
          <w:rFonts w:ascii="Calibri" w:hAnsi="Calibri"/>
          <w:color w:val="1D2524"/>
          <w:sz w:val="22"/>
        </w:rPr>
        <w:t>Daftar artikel: kategori, judul, ringkasan, tanggal, dan CTA baca. Detail artikel: intro, isi terstruktur, CTA layanan/kontak di akhir.</w:t>
      </w:r>
    </w:p>
    <w:p>
      <w:pPr>
        <w:pStyle w:val="ListBullet"/>
        <w:keepNext w:val="0"/>
        <w:spacing w:before="0" w:after="80" w:line="280" w:lineRule="auto"/>
        <w:ind w:left="720" w:hanging="360"/>
      </w:pPr>
      <w:r>
        <w:rPr>
          <w:rFonts w:ascii="Calibri" w:hAnsi="Calibri"/>
          <w:color w:val="1D2524"/>
          <w:sz w:val="22"/>
        </w:rPr>
        <w:t>Kategori yang relevan dari materi: Legal Update, Regulatory Update, Panduan Perizinan, Insight, dan Berita Firma.</w:t>
      </w:r>
    </w:p>
    <w:p>
      <w:pPr>
        <w:pStyle w:val="ListBullet"/>
        <w:keepNext w:val="0"/>
        <w:spacing w:before="0" w:after="80" w:line="280" w:lineRule="auto"/>
        <w:ind w:left="720" w:hanging="360"/>
      </w:pPr>
      <w:r>
        <w:rPr>
          <w:rFonts w:ascii="Calibri" w:hAnsi="Calibri"/>
          <w:color w:val="1D2524"/>
          <w:sz w:val="22"/>
        </w:rPr>
        <w:t>Ritme: satu artikel setiap tiga minggu. Prioritaskan perubahan regulasi, panduan proses, checklist bisnis, dan penjelasan layanan yang memang telah disetujui.</w:t>
      </w:r>
    </w:p>
    <w:p>
      <w:pPr>
        <w:keepNext w:val="0"/>
        <w:spacing w:before="40" w:after="100" w:line="252" w:lineRule="auto"/>
      </w:pPr>
      <w:r>
        <w:rPr>
          <w:rFonts w:ascii="Calibri" w:hAnsi="Calibri"/>
          <w:b/>
          <w:color w:val="5D6866"/>
          <w:sz w:val="17"/>
        </w:rPr>
        <w:t xml:space="preserve">Rujukan materi: </w:t>
      </w:r>
      <w:r>
        <w:rPr>
          <w:rFonts w:ascii="Calibri" w:hAnsi="Calibri"/>
          <w:i/>
          <w:color w:val="5D6866"/>
          <w:sz w:val="17"/>
        </w:rPr>
        <w:t>Fitur halaman: FiturYangBisaDiadopsi.txt (practice areas, profiles, case studies, contact, knowledge center); Screenshot #1, #2, dan #3.</w:t>
      </w:r>
    </w:p>
    <w:p>
      <w:pPr>
        <w:pStyle w:val="Heading1"/>
        <w:keepNext/>
        <w:spacing w:before="0" w:after="120" w:line="264" w:lineRule="auto"/>
      </w:pPr>
      <w:r>
        <w:rPr>
          <w:rFonts w:ascii="Calibri" w:hAnsi="Calibri"/>
          <w:i w:val="0"/>
          <w:color w:val="1D2524"/>
          <w:sz w:val="22"/>
        </w:rPr>
        <w:t>5. Arah UI/UX dan Sistem Visual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5000"/>
        <w:gridCol w:w="2860"/>
      </w:tblGrid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F3B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Elemen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F3B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Rekomendasi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F3B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Dasar materi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Gaya visual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Putih-minimal-humanis sebagai basis; formal dan modern, bukan dingin atau dekoratif.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Screenshot #3.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Palet awal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Putih/off-white sebagai dasar; hijau tua untuk authority; teal sebagai aksen CTA; emas hangat secukupnya sebagai aksen editorial. Validasi saat logo dibuat.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Sintesis Screenshot #1 (teal), #2 (hangat), #3 (putih).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Tipografi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Sans-serif modern untuk navigasi/body; serif terukur hanya untuk heading/editorial bila tetap mudah dibaca.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Keterbacaan dan pendekatan editorial Screenshot #2/#3.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Layout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Container lapang, hierarki vertikal jelas, grid kartu sederhana, ruang putih cukup, satu CTA dominan per section.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Screenshot #1/#3.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Visual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Foto asli partner, aktivitas kerja, atau lingkungan kantor yang disetujui; hindari stok legal generik.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Teks analisis visual nyata; Screenshot #2/#3.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Micro-interaction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Hover halus, transisi sederhana, focus state jelas; tidak ada animasi berat atau autoplay carousel.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Arahan simple &amp; ringan; teks analisis mengenai animasi/slider.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Copywriting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Profesional, ringkas, konkret, dan mudah dipahami. Gunakan kata kerja konsultatif: “Pahami”, “Diskusikan”, “Konsultasikan”.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color w:val="1D2524"/>
                <w:sz w:val="17"/>
              </w:rPr>
              <w:t>Teks analisis tentang teks singkat dan CTA.</w:t>
            </w:r>
          </w:p>
        </w:tc>
      </w:tr>
    </w:tbl>
    <w:p>
      <w:pPr>
        <w:spacing w:after="8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1E4"/>
          </w:tcPr>
          <w:p>
            <w:pPr>
              <w:keepNext w:val="0"/>
              <w:spacing w:before="40" w:after="40" w:line="264" w:lineRule="auto"/>
            </w:pPr>
            <w:r>
              <w:rPr>
                <w:rFonts w:ascii="Calibri" w:hAnsi="Calibri"/>
                <w:b/>
                <w:color w:val="173F3B"/>
                <w:sz w:val="21"/>
              </w:rPr>
              <w:t xml:space="preserve">Komponen yang dihindari. </w:t>
            </w:r>
            <w:r>
              <w:rPr>
                <w:rFonts w:ascii="Calibri" w:hAnsi="Calibri"/>
                <w:color w:val="1D2524"/>
                <w:sz w:val="21"/>
              </w:rPr>
              <w:t>Mega menu, carousel otomatis, banyak CTA bersaing, kartu berisi paragraf panjang, angka/penghargaan tanpa verifikasi, dan ornamen yang mengalahkan konten.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0" w:after="120" w:line="264" w:lineRule="auto"/>
      </w:pPr>
      <w:r>
        <w:rPr>
          <w:rFonts w:ascii="Calibri" w:hAnsi="Calibri"/>
          <w:i w:val="0"/>
          <w:color w:val="1D2524"/>
          <w:sz w:val="22"/>
        </w:rPr>
        <w:t>6. Rancangan Final Halaman Home</w:t>
      </w:r>
    </w:p>
    <w:p>
      <w:pPr>
        <w:pStyle w:val="Heading2"/>
        <w:keepNext/>
        <w:spacing w:before="0" w:after="120" w:line="264" w:lineRule="auto"/>
      </w:pPr>
      <w:r>
        <w:rPr>
          <w:rFonts w:ascii="Calibri" w:hAnsi="Calibri"/>
          <w:i w:val="0"/>
          <w:color w:val="1D2524"/>
          <w:sz w:val="22"/>
        </w:rPr>
        <w:t>Urutan pengalaman pengguna</w:t>
      </w:r>
    </w:p>
    <w:p>
      <w:pPr>
        <w:pStyle w:val="Heading3"/>
        <w:keepNext/>
        <w:spacing w:before="0" w:after="120" w:line="264" w:lineRule="auto"/>
      </w:pPr>
      <w:r>
        <w:rPr>
          <w:rFonts w:ascii="Calibri" w:hAnsi="Calibri"/>
          <w:i w:val="0"/>
          <w:color w:val="1D2524"/>
          <w:sz w:val="22"/>
        </w:rPr>
        <w:t>1. Header</w:t>
      </w:r>
    </w:p>
    <w:p>
      <w:pPr>
        <w:keepNext w:val="0"/>
        <w:spacing w:before="0" w:after="100" w:line="264" w:lineRule="auto"/>
      </w:pPr>
      <w:r>
        <w:rPr>
          <w:rFonts w:ascii="Calibri" w:hAnsi="Calibri"/>
          <w:i w:val="0"/>
          <w:color w:val="1D2524"/>
          <w:sz w:val="22"/>
        </w:rPr>
        <w:t>Tujuan: memudahkan navigasi dan membuka jalur konsultasi. Isi: logo, enam menu inti, CTA. Layout: putih, sticky ringan setelah scroll. Rujukan: Screenshot #3 dan pola header ringkas dalam teks.</w:t>
      </w:r>
    </w:p>
    <w:p>
      <w:pPr>
        <w:pStyle w:val="Heading3"/>
        <w:keepNext/>
        <w:spacing w:before="0" w:after="120" w:line="264" w:lineRule="auto"/>
      </w:pPr>
      <w:r>
        <w:rPr>
          <w:rFonts w:ascii="Calibri" w:hAnsi="Calibri"/>
          <w:i w:val="0"/>
          <w:color w:val="1D2524"/>
          <w:sz w:val="22"/>
        </w:rPr>
        <w:t>2. Hero</w:t>
      </w:r>
    </w:p>
    <w:p>
      <w:pPr>
        <w:keepNext w:val="0"/>
        <w:spacing w:before="0" w:after="100" w:line="264" w:lineRule="auto"/>
      </w:pPr>
      <w:r>
        <w:rPr>
          <w:rFonts w:ascii="Calibri" w:hAnsi="Calibri"/>
          <w:i w:val="0"/>
          <w:color w:val="1D2524"/>
          <w:sz w:val="22"/>
        </w:rPr>
        <w:t>Tujuan: menjawab “siapa dan untuk siapa” dalam beberapa detik. Isi: judul nilai, deskripsi dua pilar layanan, CTA, foto nyata. Contoh copy: “Pendampingan hukum dan perizinan yang jelas untuk kebutuhan bisnis Anda.” Rujukan: Screenshot #3.</w:t>
      </w:r>
    </w:p>
    <w:p>
      <w:pPr>
        <w:pStyle w:val="Heading3"/>
        <w:keepNext/>
        <w:spacing w:before="0" w:after="120" w:line="264" w:lineRule="auto"/>
      </w:pPr>
      <w:r>
        <w:rPr>
          <w:rFonts w:ascii="Calibri" w:hAnsi="Calibri"/>
          <w:i w:val="0"/>
          <w:color w:val="1D2524"/>
          <w:sz w:val="22"/>
        </w:rPr>
        <w:t>3. Trust / Authority</w:t>
      </w:r>
    </w:p>
    <w:p>
      <w:pPr>
        <w:keepNext w:val="0"/>
        <w:spacing w:before="0" w:after="100" w:line="264" w:lineRule="auto"/>
      </w:pPr>
      <w:r>
        <w:rPr>
          <w:rFonts w:ascii="Calibri" w:hAnsi="Calibri"/>
          <w:i w:val="0"/>
          <w:color w:val="1D2524"/>
          <w:sz w:val="22"/>
        </w:rPr>
        <w:t>Tujuan: memberi alasan percaya sebelum pengunjung membaca panjang. Isi: pengantar partner utama dan/atau bukti pengalaman yang sudah disetujui. Layout: band ringkas. Rujukan: teks profiles/case highlights; Screenshot #1/#2.</w:t>
      </w:r>
    </w:p>
    <w:p>
      <w:pPr>
        <w:pStyle w:val="Heading3"/>
        <w:keepNext/>
        <w:spacing w:before="0" w:after="120" w:line="264" w:lineRule="auto"/>
      </w:pPr>
      <w:r>
        <w:rPr>
          <w:rFonts w:ascii="Calibri" w:hAnsi="Calibri"/>
          <w:i w:val="0"/>
          <w:color w:val="1D2524"/>
          <w:sz w:val="22"/>
        </w:rPr>
        <w:t>4. Company Overview</w:t>
      </w:r>
    </w:p>
    <w:p>
      <w:pPr>
        <w:keepNext w:val="0"/>
        <w:spacing w:before="0" w:after="100" w:line="264" w:lineRule="auto"/>
      </w:pPr>
      <w:r>
        <w:rPr>
          <w:rFonts w:ascii="Calibri" w:hAnsi="Calibri"/>
          <w:i w:val="0"/>
          <w:color w:val="1D2524"/>
          <w:sz w:val="22"/>
        </w:rPr>
        <w:t>Tujuan: menjelaskan pendekatan firma. Isi: ringkasan 2-3 kalimat, tautan Profile, visual autentik. Layout: dua kolom. Rujukan: Screenshot #3.</w:t>
      </w:r>
    </w:p>
    <w:p>
      <w:pPr>
        <w:pStyle w:val="Heading3"/>
        <w:keepNext/>
        <w:spacing w:before="0" w:after="120" w:line="264" w:lineRule="auto"/>
      </w:pPr>
      <w:r>
        <w:rPr>
          <w:rFonts w:ascii="Calibri" w:hAnsi="Calibri"/>
          <w:i w:val="0"/>
          <w:color w:val="1D2524"/>
          <w:sz w:val="22"/>
        </w:rPr>
        <w:t>5. Services Preview</w:t>
      </w:r>
    </w:p>
    <w:p>
      <w:pPr>
        <w:keepNext w:val="0"/>
        <w:spacing w:before="0" w:after="100" w:line="264" w:lineRule="auto"/>
      </w:pPr>
      <w:r>
        <w:rPr>
          <w:rFonts w:ascii="Calibri" w:hAnsi="Calibri"/>
          <w:i w:val="0"/>
          <w:color w:val="1D2524"/>
          <w:sz w:val="22"/>
        </w:rPr>
        <w:t>Tujuan: membantu pengunjung menemukan jenis kebutuhan. Isi: dua pilar setara, 3-4 kartu contoh per pilar setelah validasi, tautan semua layanan. Layout: grid. Rujukan: Screenshot #1/#3; teks expertise.</w:t>
      </w:r>
    </w:p>
    <w:p>
      <w:pPr>
        <w:pStyle w:val="Heading3"/>
        <w:keepNext/>
        <w:spacing w:before="0" w:after="120" w:line="264" w:lineRule="auto"/>
      </w:pPr>
      <w:r>
        <w:rPr>
          <w:rFonts w:ascii="Calibri" w:hAnsi="Calibri"/>
          <w:i w:val="0"/>
          <w:color w:val="1D2524"/>
          <w:sz w:val="22"/>
        </w:rPr>
        <w:t>6. Experience / Projects Preview</w:t>
      </w:r>
    </w:p>
    <w:p>
      <w:pPr>
        <w:keepNext w:val="0"/>
        <w:spacing w:before="0" w:after="100" w:line="264" w:lineRule="auto"/>
      </w:pPr>
      <w:r>
        <w:rPr>
          <w:rFonts w:ascii="Calibri" w:hAnsi="Calibri"/>
          <w:i w:val="0"/>
          <w:color w:val="1D2524"/>
          <w:sz w:val="22"/>
        </w:rPr>
        <w:t>Tujuan: menunjukkan penerapan keahlian tanpa membuka rahasia. Isi: 2-3 kasus anonim, label, kebutuhan, peran, dan tautan Experience. Layout: kartu editorial. Rujukan: Screenshot #3; teks case studies.</w:t>
      </w:r>
    </w:p>
    <w:p>
      <w:pPr>
        <w:pStyle w:val="Heading3"/>
        <w:keepNext/>
        <w:spacing w:before="0" w:after="120" w:line="264" w:lineRule="auto"/>
      </w:pPr>
      <w:r>
        <w:rPr>
          <w:rFonts w:ascii="Calibri" w:hAnsi="Calibri"/>
          <w:i w:val="0"/>
          <w:color w:val="1D2524"/>
          <w:sz w:val="22"/>
        </w:rPr>
        <w:t>7. Why Choose Us</w:t>
      </w:r>
    </w:p>
    <w:p>
      <w:pPr>
        <w:keepNext w:val="0"/>
        <w:spacing w:before="0" w:after="100" w:line="264" w:lineRule="auto"/>
      </w:pPr>
      <w:r>
        <w:rPr>
          <w:rFonts w:ascii="Calibri" w:hAnsi="Calibri"/>
          <w:i w:val="0"/>
          <w:color w:val="1D2524"/>
          <w:sz w:val="22"/>
        </w:rPr>
        <w:t>Tujuan: membedakan pendekatan kerja. Isi: 3 nilai terverifikasi, misalnya komunikasi jelas, pendekatan terstruktur, dan pendampingan sesuai kebutuhan. Layout: tiga kolom tanpa angka spekulatif. Rujukan: Screenshot #2.</w:t>
      </w:r>
    </w:p>
    <w:p>
      <w:pPr>
        <w:pStyle w:val="Heading3"/>
        <w:keepNext/>
        <w:spacing w:before="0" w:after="120" w:line="264" w:lineRule="auto"/>
      </w:pPr>
      <w:r>
        <w:rPr>
          <w:rFonts w:ascii="Calibri" w:hAnsi="Calibri"/>
          <w:i w:val="0"/>
          <w:color w:val="1D2524"/>
          <w:sz w:val="22"/>
        </w:rPr>
        <w:t>8. Blog Preview</w:t>
      </w:r>
    </w:p>
    <w:p>
      <w:pPr>
        <w:keepNext w:val="0"/>
        <w:spacing w:before="0" w:after="100" w:line="264" w:lineRule="auto"/>
      </w:pPr>
      <w:r>
        <w:rPr>
          <w:rFonts w:ascii="Calibri" w:hAnsi="Calibri"/>
          <w:i w:val="0"/>
          <w:color w:val="1D2524"/>
          <w:sz w:val="22"/>
        </w:rPr>
        <w:t>Tujuan: memperlihatkan firma aktif dan memberi jalur edukasi. Isi: tiga artikel terbaru, kategori, tanggal, tautan Blog. Layout: daftar/kartu ringan. Rujukan: teks legal updates; Screenshot #1.</w:t>
      </w:r>
    </w:p>
    <w:p>
      <w:pPr>
        <w:pStyle w:val="Heading3"/>
        <w:keepNext/>
        <w:spacing w:before="0" w:after="120" w:line="264" w:lineRule="auto"/>
      </w:pPr>
      <w:r>
        <w:rPr>
          <w:rFonts w:ascii="Calibri" w:hAnsi="Calibri"/>
          <w:i w:val="0"/>
          <w:color w:val="1D2524"/>
          <w:sz w:val="22"/>
        </w:rPr>
        <w:t>9. CTA Contact</w:t>
      </w:r>
    </w:p>
    <w:p>
      <w:pPr>
        <w:keepNext w:val="0"/>
        <w:spacing w:before="0" w:after="100" w:line="264" w:lineRule="auto"/>
      </w:pPr>
      <w:r>
        <w:rPr>
          <w:rFonts w:ascii="Calibri" w:hAnsi="Calibri"/>
          <w:i w:val="0"/>
          <w:color w:val="1D2524"/>
          <w:sz w:val="22"/>
        </w:rPr>
        <w:t>Tujuan: mengubah minat menjadi percakapan. Isi: pesan konsultatif, tombol form dan WhatsApp, trust message. Layout: band hijau tua/teal dengan kontras tinggi. Rujukan: teks CTA/WhatsApp; Screenshot #3.</w:t>
      </w:r>
    </w:p>
    <w:p>
      <w:pPr>
        <w:pStyle w:val="Heading3"/>
        <w:keepNext/>
        <w:spacing w:before="0" w:after="120" w:line="264" w:lineRule="auto"/>
      </w:pPr>
      <w:r>
        <w:rPr>
          <w:rFonts w:ascii="Calibri" w:hAnsi="Calibri"/>
          <w:i w:val="0"/>
          <w:color w:val="1D2524"/>
          <w:sz w:val="22"/>
        </w:rPr>
        <w:t>10. Footer</w:t>
      </w:r>
    </w:p>
    <w:p>
      <w:pPr>
        <w:keepNext w:val="0"/>
        <w:spacing w:before="0" w:after="100" w:line="264" w:lineRule="auto"/>
      </w:pPr>
      <w:r>
        <w:rPr>
          <w:rFonts w:ascii="Calibri" w:hAnsi="Calibri"/>
          <w:i w:val="0"/>
          <w:color w:val="1D2524"/>
          <w:sz w:val="22"/>
        </w:rPr>
        <w:t>Tujuan: memberi informasi lengkap dan legal transparency. Isi: kontak, alamat, menu, Privacy Policy, Disclaimer. Rujukan: teks footer/privacy/disclaimer.</w:t>
      </w:r>
    </w:p>
    <w:p>
      <w:pPr>
        <w:pStyle w:val="Heading1"/>
        <w:keepNext/>
        <w:spacing w:before="0" w:after="120" w:line="264" w:lineRule="auto"/>
      </w:pPr>
      <w:r>
        <w:rPr>
          <w:rFonts w:ascii="Calibri" w:hAnsi="Calibri"/>
          <w:i w:val="0"/>
          <w:color w:val="1D2524"/>
          <w:sz w:val="22"/>
        </w:rPr>
        <w:t>7. Checklist Konten Sebelum Desain dan Peluncuran</w:t>
      </w:r>
    </w:p>
    <w:p>
      <w:pPr>
        <w:pStyle w:val="ListBullet"/>
        <w:keepNext w:val="0"/>
        <w:spacing w:before="0" w:after="80" w:line="280" w:lineRule="auto"/>
        <w:ind w:left="720" w:hanging="360"/>
      </w:pPr>
      <w:r>
        <w:rPr>
          <w:rFonts w:ascii="Calibri" w:hAnsi="Calibri"/>
          <w:color w:val="1D2524"/>
          <w:sz w:val="22"/>
        </w:rPr>
        <w:t>Logo, nama legal, alamat, email, telepon, dan nomor WhatsApp yang siap dipublikasikan.</w:t>
      </w:r>
    </w:p>
    <w:p>
      <w:pPr>
        <w:pStyle w:val="ListBullet"/>
        <w:keepNext w:val="0"/>
        <w:spacing w:before="0" w:after="80" w:line="280" w:lineRule="auto"/>
        <w:ind w:left="720" w:hanging="360"/>
      </w:pPr>
      <w:r>
        <w:rPr>
          <w:rFonts w:ascii="Calibri" w:hAnsi="Calibri"/>
          <w:color w:val="1D2524"/>
          <w:sz w:val="22"/>
        </w:rPr>
        <w:t>Daftar layanan final beserta deskripsi ringkas dan batasan informasi yang boleh disampaikan.</w:t>
      </w:r>
    </w:p>
    <w:p>
      <w:pPr>
        <w:pStyle w:val="ListBullet"/>
        <w:keepNext w:val="0"/>
        <w:spacing w:before="0" w:after="80" w:line="280" w:lineRule="auto"/>
        <w:ind w:left="720" w:hanging="360"/>
      </w:pPr>
      <w:r>
        <w:rPr>
          <w:rFonts w:ascii="Calibri" w:hAnsi="Calibri"/>
          <w:color w:val="1D2524"/>
          <w:sz w:val="22"/>
        </w:rPr>
        <w:t>Profil partner utama: foto, jabatan, bio, fokus keahlian, dan persetujuan publikasi.</w:t>
      </w:r>
    </w:p>
    <w:p>
      <w:pPr>
        <w:pStyle w:val="ListBullet"/>
        <w:keepNext w:val="0"/>
        <w:spacing w:before="0" w:after="80" w:line="280" w:lineRule="auto"/>
        <w:ind w:left="720" w:hanging="360"/>
      </w:pPr>
      <w:r>
        <w:rPr>
          <w:rFonts w:ascii="Calibri" w:hAnsi="Calibri"/>
          <w:color w:val="1D2524"/>
          <w:sz w:val="22"/>
        </w:rPr>
        <w:t>Experience/case highlight yang sudah dianonimkan dan disetujui.</w:t>
      </w:r>
    </w:p>
    <w:p>
      <w:pPr>
        <w:pStyle w:val="ListBullet"/>
        <w:keepNext w:val="0"/>
        <w:spacing w:before="0" w:after="80" w:line="280" w:lineRule="auto"/>
        <w:ind w:left="720" w:hanging="360"/>
      </w:pPr>
      <w:r>
        <w:rPr>
          <w:rFonts w:ascii="Calibri" w:hAnsi="Calibri"/>
          <w:color w:val="1D2524"/>
          <w:sz w:val="22"/>
        </w:rPr>
        <w:t>Kebijakan privasi, disclaimer, serta alur penanganan form inquiry.</w:t>
      </w:r>
    </w:p>
    <w:p>
      <w:pPr>
        <w:pStyle w:val="ListBullet"/>
        <w:keepNext w:val="0"/>
        <w:spacing w:before="0" w:after="80" w:line="280" w:lineRule="auto"/>
        <w:ind w:left="720" w:hanging="360"/>
      </w:pPr>
      <w:r>
        <w:rPr>
          <w:rFonts w:ascii="Calibri" w:hAnsi="Calibri"/>
          <w:color w:val="1D2524"/>
          <w:sz w:val="22"/>
        </w:rPr>
        <w:t>Tiga artikel awal dan pemilik proses editorial untuk jadwal tiga mingguan.</w:t>
      </w:r>
    </w:p>
    <w:p>
      <w:pPr>
        <w:pStyle w:val="ListBullet"/>
        <w:keepNext w:val="0"/>
        <w:spacing w:before="0" w:after="80" w:line="280" w:lineRule="auto"/>
        <w:ind w:left="720" w:hanging="360"/>
      </w:pPr>
      <w:r>
        <w:rPr>
          <w:rFonts w:ascii="Calibri" w:hAnsi="Calibri"/>
          <w:color w:val="1D2524"/>
          <w:sz w:val="22"/>
        </w:rPr>
        <w:t>Foto autentik yang memiliki izin penggunaan dan alt text yang deskriptif.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1EF"/>
          </w:tcPr>
          <w:p>
            <w:pPr>
              <w:keepNext w:val="0"/>
              <w:spacing w:before="40" w:after="40" w:line="264" w:lineRule="auto"/>
            </w:pPr>
            <w:r>
              <w:rPr>
                <w:rFonts w:ascii="Calibri" w:hAnsi="Calibri"/>
                <w:b/>
                <w:color w:val="173F3B"/>
                <w:sz w:val="21"/>
              </w:rPr>
              <w:t xml:space="preserve">Catatan implementasi. </w:t>
            </w:r>
            <w:r>
              <w:rPr>
                <w:rFonts w:ascii="Calibri" w:hAnsi="Calibri"/>
                <w:color w:val="1D2524"/>
                <w:sz w:val="21"/>
              </w:rPr>
              <w:t>Struktur konten versi awal harus dibuat siap diterjemahkan ke Inggris kemudian, tetapi publikasi awal tetap dalam Bahasa Indonesia sesuai keputusan yang dikunci.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spacing w:before="0" w:after="160" w:line="264" w:lineRule="auto"/>
      </w:pPr>
      <w:r>
        <w:rPr>
          <w:rFonts w:ascii="Calibri" w:hAnsi="Calibri"/>
          <w:b w:val="0"/>
          <w:i w:val="0"/>
          <w:color w:val="1D2524"/>
          <w:sz w:val="22"/>
        </w:rPr>
        <w:t>Lampiran A. Rujukan Website dari Materi Analisis</w:t>
      </w:r>
    </w:p>
    <w:p>
      <w:pPr>
        <w:keepNext w:val="0"/>
        <w:spacing w:before="0" w:after="200" w:line="264" w:lineRule="auto"/>
      </w:pPr>
      <w:r>
        <w:rPr>
          <w:rFonts w:ascii="Calibri" w:hAnsi="Calibri"/>
          <w:b w:val="0"/>
          <w:i/>
          <w:color w:val="5D6866"/>
          <w:sz w:val="22"/>
        </w:rPr>
        <w:t>Daftar ini menyebutkan nama website law firm yang memang tercantum dalam FiturYangBisaDiadopsi.txt. Ringkasan di bawah hanya merekam pola yang dijelaskan dalam teks tersebut; tidak menambahkan data, tautan, atau penilaian eksternal.</w:t>
      </w:r>
    </w:p>
    <w:p>
      <w:pPr>
        <w:pStyle w:val="Heading2"/>
        <w:keepNext/>
        <w:spacing w:before="200" w:after="80" w:line="264" w:lineRule="auto"/>
      </w:pPr>
      <w:r>
        <w:rPr>
          <w:rFonts w:ascii="Calibri" w:hAnsi="Calibri"/>
          <w:b w:val="0"/>
          <w:i w:val="0"/>
          <w:color w:val="1D2524"/>
          <w:sz w:val="22"/>
        </w:rPr>
        <w:t>Assegaf Hamzah &amp; Partners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D2524"/>
          <w:sz w:val="21"/>
        </w:rPr>
        <w:t>Hero dengan penghargaan atau angka faktual untuk membangun trust.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D2524"/>
          <w:sz w:val="21"/>
        </w:rPr>
        <w:t>Viewpoints/latest updates, pengelompokan expertise, profil profesional, case/deal highlights, publikasi unduhan, CTA, informasi kantor, dan cakupan wilayah.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D2524"/>
          <w:sz w:val="21"/>
        </w:rPr>
        <w:t>Search dicatat sebagai fitur tahap lanjut untuk Galdino and Partner.</w:t>
      </w:r>
    </w:p>
    <w:p>
      <w:pPr>
        <w:pStyle w:val="Heading2"/>
        <w:keepNext/>
        <w:spacing w:before="200" w:after="80" w:line="264" w:lineRule="auto"/>
      </w:pPr>
      <w:r>
        <w:rPr>
          <w:rFonts w:ascii="Calibri" w:hAnsi="Calibri"/>
          <w:b w:val="0"/>
          <w:i w:val="0"/>
          <w:color w:val="1D2524"/>
          <w:sz w:val="22"/>
        </w:rPr>
        <w:t>ABNR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D2524"/>
          <w:sz w:val="21"/>
        </w:rPr>
        <w:t>Hero berita/legal update berbentuk slider, practice areas, profiles, achievements, dan knowledge center.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D2524"/>
          <w:sz w:val="21"/>
        </w:rPr>
        <w:t>Indonesian overview, global reach, careers, dan search dicatat sebagai opsi lanjutan, bukan kebutuhan versi awal.</w:t>
      </w:r>
    </w:p>
    <w:p>
      <w:pPr>
        <w:pStyle w:val="Heading2"/>
        <w:keepNext/>
        <w:spacing w:before="200" w:after="80" w:line="264" w:lineRule="auto"/>
      </w:pPr>
      <w:r>
        <w:rPr>
          <w:rFonts w:ascii="Calibri" w:hAnsi="Calibri"/>
          <w:b w:val="0"/>
          <w:i w:val="0"/>
          <w:color w:val="1D2524"/>
          <w:sz w:val="22"/>
        </w:rPr>
        <w:t>SIP Law Firm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D2524"/>
          <w:sz w:val="21"/>
        </w:rPr>
        <w:t>Kontak yang terlihat di awal, tombol Contact Us, WhatsApp mengambang, dan footer kontak lengkap.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D2524"/>
          <w:sz w:val="21"/>
        </w:rPr>
        <w:t>Visual nyata, recent updates, kartu layanan, case studies, profil tim, resources, bilingual, newsletter, serta scam warning.</w:t>
      </w:r>
    </w:p>
    <w:p>
      <w:pPr>
        <w:pStyle w:val="Heading2"/>
        <w:keepNext/>
        <w:spacing w:before="200" w:after="80" w:line="264" w:lineRule="auto"/>
      </w:pPr>
      <w:r>
        <w:rPr>
          <w:rFonts w:ascii="Calibri" w:hAnsi="Calibri"/>
          <w:b w:val="0"/>
          <w:i w:val="0"/>
          <w:color w:val="1D2524"/>
          <w:sz w:val="22"/>
        </w:rPr>
        <w:t>SSEK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D2524"/>
          <w:sz w:val="21"/>
        </w:rPr>
        <w:t>Pilihan Bahasa Indonesia-English, teks ringkas, navigasi ringkas, legal updates/events/publications, CTA konsultasi, dan footer lengkap.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D2524"/>
          <w:sz w:val="21"/>
        </w:rPr>
        <w:t>Search, newsletter, dan skip-to-content dicatat sebagai pengembangan setelah fondasi konten siap.</w:t>
      </w:r>
    </w:p>
    <w:p>
      <w:pPr>
        <w:pStyle w:val="Heading2"/>
        <w:keepNext/>
        <w:spacing w:before="200" w:after="80" w:line="264" w:lineRule="auto"/>
      </w:pPr>
      <w:r>
        <w:rPr>
          <w:rFonts w:ascii="Calibri" w:hAnsi="Calibri"/>
          <w:b w:val="0"/>
          <w:i w:val="0"/>
          <w:color w:val="1D2524"/>
          <w:sz w:val="22"/>
        </w:rPr>
        <w:t>Dentons HPRP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D2524"/>
          <w:sz w:val="21"/>
        </w:rPr>
        <w:t>Header minimal, pesan hero singkat, kartu featured, layanan berdasarkan kebutuhan bisnis, profil profesional, recognition, dan CTA Contact Us.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D2524"/>
          <w:sz w:val="21"/>
        </w:rPr>
        <w:t>Carousel dengan kontrol dan form newsletter dicatat sebagai inspirasi yang ditunda untuk menjaga V1 ringan.</w:t>
      </w:r>
    </w:p>
    <w:p>
      <w:pPr>
        <w:pStyle w:val="Heading2"/>
        <w:keepNext/>
        <w:spacing w:before="200" w:after="80" w:line="264" w:lineRule="auto"/>
      </w:pPr>
      <w:r>
        <w:rPr>
          <w:rFonts w:ascii="Calibri" w:hAnsi="Calibri"/>
          <w:b w:val="0"/>
          <w:i w:val="0"/>
          <w:color w:val="1D2524"/>
          <w:sz w:val="22"/>
        </w:rPr>
        <w:t>Kirkland &amp; Ellis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D2524"/>
          <w:sz w:val="21"/>
        </w:rPr>
        <w:t>Header minimal, hero split-screen, label kategori konten, quick links layanan, tombol kembali ke atas, footer lokasi, privacy/disclaimer.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D2524"/>
          <w:sz w:val="21"/>
        </w:rPr>
        <w:t>Search dan carousel menjadi opsi lanjutan. Pola visual tidak disalin mentah-mentah.</w:t>
      </w:r>
    </w:p>
    <w:p>
      <w:pPr>
        <w:pStyle w:val="Heading2"/>
        <w:keepNext/>
        <w:spacing w:before="200" w:after="80" w:line="264" w:lineRule="auto"/>
      </w:pPr>
      <w:r>
        <w:rPr>
          <w:rFonts w:ascii="Calibri" w:hAnsi="Calibri"/>
          <w:b w:val="0"/>
          <w:i w:val="0"/>
          <w:color w:val="1D2524"/>
          <w:sz w:val="22"/>
        </w:rPr>
        <w:t>Latham &amp; Watkins LLP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D2524"/>
          <w:sz w:val="21"/>
        </w:rPr>
        <w:t>Header ringkas, label kategori konten, deal highlights anonim, recognition, insight, cerita perusahaan, kontak, privasi, dan scam warning.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D2524"/>
          <w:sz w:val="21"/>
        </w:rPr>
        <w:t>Bilingual, search, carousel, dan subscribe masuk backlog bila kebutuhan konten sudah terbukti.</w:t>
      </w:r>
    </w:p>
    <w:p>
      <w:pPr>
        <w:pStyle w:val="Heading2"/>
        <w:keepNext/>
        <w:spacing w:before="200" w:after="80" w:line="264" w:lineRule="auto"/>
      </w:pPr>
      <w:r>
        <w:rPr>
          <w:rFonts w:ascii="Calibri" w:hAnsi="Calibri"/>
          <w:b w:val="0"/>
          <w:i w:val="0"/>
          <w:color w:val="1D2524"/>
          <w:sz w:val="22"/>
        </w:rPr>
        <w:t>DLA Piper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D2524"/>
          <w:sz w:val="21"/>
        </w:rPr>
        <w:t>Pengelompokan layanan berdasarkan kebutuhan, “View All Services”, featured content, label kategori, CTA untuk calon klien, dan footer lengkap.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D2524"/>
          <w:sz w:val="21"/>
        </w:rPr>
        <w:t>Mega menu, search, direktori ahli, bilingual, dan fraud alert tidak dipakai pada tahap awal kecuali kesiapan konten mendukung.</w:t>
      </w:r>
    </w:p>
    <w:p>
      <w:r>
        <w:br w:type="page"/>
      </w:r>
    </w:p>
    <w:p>
      <w:pPr>
        <w:pStyle w:val="Heading1"/>
        <w:keepNext/>
        <w:spacing w:before="0" w:after="160" w:line="264" w:lineRule="auto"/>
      </w:pPr>
      <w:r>
        <w:rPr>
          <w:rFonts w:ascii="Calibri" w:hAnsi="Calibri"/>
          <w:b w:val="0"/>
          <w:i w:val="0"/>
          <w:color w:val="1D2524"/>
          <w:sz w:val="22"/>
        </w:rPr>
        <w:t>Lampiran B. Referensi Visual yang Diberikan</w:t>
      </w:r>
    </w:p>
    <w:p>
      <w:pPr>
        <w:keepNext w:val="0"/>
        <w:spacing w:before="0" w:after="200" w:line="264" w:lineRule="auto"/>
      </w:pPr>
      <w:r>
        <w:rPr>
          <w:rFonts w:ascii="Calibri" w:hAnsi="Calibri"/>
          <w:b w:val="0"/>
          <w:i/>
          <w:color w:val="5D6866"/>
          <w:sz w:val="22"/>
        </w:rPr>
        <w:t>Screenshot berikut dilampirkan sebagai bahan pembacaan pola visual. Rekomendasi Galdino and Partner mengadaptasi prinsipnya secara etis, bukan menyalin desain.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32120" cy="41080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280a48a0-d136-46b9-b0df-153daa7936f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4108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Calibri" w:hAnsi="Calibri"/>
          <w:b w:val="0"/>
          <w:i/>
          <w:color w:val="5D6866"/>
          <w:sz w:val="18"/>
        </w:rPr>
        <w:t>Screenshot #1 - referensi pola grid gelap-teal, layanan, dan profil.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32120" cy="41156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57a6a1a3-e258-4ee2-ac83-a70ffefcc5a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4115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Calibri" w:hAnsi="Calibri"/>
          <w:b w:val="0"/>
          <w:i/>
          <w:color w:val="5D6866"/>
          <w:sz w:val="18"/>
        </w:rPr>
        <w:t>Screenshot #2 - referensi pola editorial hangat, metrik, dan daftar layanan.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32120" cy="42843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371e3cc7-893b-4638-8eb6-0abd13e2022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42843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Calibri" w:hAnsi="Calibri"/>
          <w:b w:val="0"/>
          <w:i/>
          <w:color w:val="5D6866"/>
          <w:sz w:val="18"/>
        </w:rPr>
        <w:t>Screenshot #3 - referensi utama untuk arah putih-minimal-humanis, visual kerja, dan CTA.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40" w:lineRule="auto"/>
      <w:jc w:val="center"/>
    </w:pPr>
    <w:r>
      <w:rPr>
        <w:rFonts w:ascii="Calibri" w:hAnsi="Calibri"/>
        <w:color w:val="5D6866"/>
        <w:sz w:val="17"/>
      </w:rPr>
      <w:t>Dokumen strategi internal | 14 Juli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40" w:lineRule="auto"/>
      <w:jc w:val="right"/>
    </w:pPr>
    <w:r>
      <w:rPr>
        <w:rFonts w:ascii="Calibri" w:hAnsi="Calibri"/>
        <w:color w:val="5D6866"/>
        <w:sz w:val="17"/>
      </w:rPr>
      <w:t>Galdino and Partner | Strategi Website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D25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73F3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F76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73F3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Strategi Website Galdino and Partner</dc:title>
  <dc:subject>Arsitektur, fitur, UI/UX, dan rancangan Home</dc:subject>
  <dc:creator>Galdino and Partner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