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36BDF">
      <w:pPr>
        <w:keepNext w:val="0"/>
        <w:spacing w:before="360" w:after="80" w:line="240" w:lineRule="auto"/>
      </w:pPr>
      <w:r>
        <w:rPr>
          <w:rFonts w:ascii="Calibri" w:hAnsi="Calibri"/>
          <w:b/>
          <w:color w:val="B4862B"/>
          <w:sz w:val="20"/>
        </w:rPr>
        <w:t>DOKUMEN STRATEGI WEBSITE</w:t>
      </w:r>
    </w:p>
    <w:p w14:paraId="10E7D8CB">
      <w:pPr>
        <w:keepNext w:val="0"/>
        <w:spacing w:before="0" w:after="100" w:line="240" w:lineRule="auto"/>
      </w:pPr>
      <w:r>
        <w:rPr>
          <w:rFonts w:ascii="Calibri" w:hAnsi="Calibri"/>
          <w:b/>
          <w:color w:val="173F3B"/>
          <w:sz w:val="54"/>
        </w:rPr>
        <w:t>Galdino and Partner</w:t>
      </w:r>
    </w:p>
    <w:p w14:paraId="0B3BE919">
      <w:pPr>
        <w:keepNext w:val="0"/>
        <w:spacing w:before="0" w:after="320" w:line="288" w:lineRule="auto"/>
      </w:pPr>
      <w:r>
        <w:rPr>
          <w:rFonts w:ascii="Calibri" w:hAnsi="Calibri"/>
          <w:color w:val="5D6866"/>
          <w:sz w:val="26"/>
        </w:rPr>
        <w:t>Rekomendasi arsitektur, fitur, dan UI/UX untuk company profile law firm dan konsultan perizinan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E95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128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Arah yang dikunci. </w:t>
            </w:r>
            <w:r>
              <w:rPr>
                <w:rFonts w:ascii="Calibri" w:hAnsi="Calibri"/>
                <w:color w:val="1D2524"/>
                <w:sz w:val="21"/>
              </w:rPr>
              <w:t>Korporasi Indonesia sebagai segmen primer; layanan hukum dan konsultasi perizinan tampil setara; authority dan konsultasi menjadi tujuan bersama; versi awal tetap sederhana serta ringan.</w:t>
            </w:r>
          </w:p>
        </w:tc>
      </w:tr>
    </w:tbl>
    <w:p w14:paraId="2B75FF72">
      <w:pPr>
        <w:spacing w:after="40"/>
      </w:pPr>
    </w:p>
    <w:p w14:paraId="4B1EEC32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Dasar penyusunan</w:t>
      </w:r>
    </w:p>
    <w:p w14:paraId="35DFD4D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Teks analisis “FiturYangBisaDiadopsi.txt”.</w:t>
      </w:r>
    </w:p>
    <w:p w14:paraId="15AABFE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#1: komposisi gelap-teal, kartu layanan, profil, dan peta visual.</w:t>
      </w:r>
    </w:p>
    <w:p w14:paraId="41ED8A98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#2: komposisi krem-editorial, metrik, daftar layanan, dan tim.</w:t>
      </w:r>
    </w:p>
    <w:p w14:paraId="5E8ED044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#3: komposisi putih-minimal-humanis, visual kerja nyata, layanan, pengalaman, dan CTA.</w:t>
      </w:r>
    </w:p>
    <w:p w14:paraId="4131A5AD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Hanya empat materi di atas. Tidak ada riset atau klaim tambahan dari sumber eksternal.</w:t>
      </w:r>
    </w:p>
    <w:p w14:paraId="103F7144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Ringkasan Insight Materi</w:t>
      </w:r>
    </w:p>
    <w:p w14:paraId="00CD6D4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Pola yang paling konsisten</w:t>
      </w:r>
    </w:p>
    <w:p w14:paraId="62DFF1A1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Hero singkat yang memadukan pesan nilai, visual profesional nyata, dan satu CTA konsultasi.</w:t>
      </w:r>
    </w:p>
    <w:p w14:paraId="4E8A1ACF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Bukti kepercayaan tampil dekat dengan awal perjalanan: pengalaman, pengakuan yang dapat dibuktikan, atau profil profesional.</w:t>
      </w:r>
    </w:p>
    <w:p w14:paraId="7D32EE8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Layanan dikelompokkan secara jelas agar pengunjung segera mengenali kebutuhan hukum atau perizinannya.</w:t>
      </w:r>
    </w:p>
    <w:p w14:paraId="06AE979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Konten insight terbaru menjaga firma terlihat aktif, tetapi bukan sebagai pengganti jalur konsultasi.</w:t>
      </w:r>
    </w:p>
    <w:p w14:paraId="56A7BD1E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Kontak mudah ditemukan melalui header, CTA halaman, dan footer.</w:t>
      </w:r>
    </w:p>
    <w:p w14:paraId="0FDF37AB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Insight untuk Galdino and Partner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C89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1ABF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Keputusan desain. </w:t>
            </w:r>
            <w:r>
              <w:rPr>
                <w:rFonts w:ascii="Calibri" w:hAnsi="Calibri"/>
                <w:color w:val="1D2524"/>
                <w:sz w:val="21"/>
              </w:rPr>
              <w:t>Gunakan pola visual putih-minimal-humanis dari Screenshot #3 sebagai dasar agar layanan terasa jelas dan mudah didekati. Ambil kontras kartu secara terbatas dari Screenshot #1 dan aksen editorial hangat dari Screenshot #2.</w:t>
            </w:r>
          </w:p>
        </w:tc>
      </w:tr>
    </w:tbl>
    <w:p w14:paraId="54EE5985">
      <w:pPr>
        <w:spacing w:after="40"/>
      </w:pPr>
    </w:p>
    <w:p w14:paraId="5FFE5B96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Screenshot #1, #2, dan #3; FiturYangBisaDiadopsi.txt (hero, kontak, layanan, profil, case studies, legal updates).</w:t>
      </w:r>
    </w:p>
    <w:p w14:paraId="07367AE9">
      <w:pPr>
        <w:spacing w:after="160"/>
      </w:pPr>
      <w:r>
        <w:rPr>
          <w:rFonts w:ascii="Calibri" w:hAnsi="Calibri"/>
          <w:b w:val="0"/>
          <w:color w:val="5D6866"/>
          <w:sz w:val="19"/>
        </w:rPr>
        <w:t>Rujukan langsung pada tabel di bagian ini menggunakan nama website yang disebut di FiturYangBisaDiadopsi.txt. Nama tersebut menunjukkan asal pola yang diadaptasi, bukan klaim kerja sama atau endorsement.</w:t>
      </w:r>
    </w:p>
    <w:p w14:paraId="615057EA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Fitur dan Prioritas Implementasi</w:t>
      </w:r>
    </w:p>
    <w:p w14:paraId="42218F3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versi awal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00"/>
        <w:gridCol w:w="3200"/>
        <w:gridCol w:w="2060"/>
      </w:tblGrid>
      <w:tr w14:paraId="58A6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83A7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w="23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42A8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Fungsi &amp; halaman</w:t>
            </w:r>
          </w:p>
        </w:tc>
        <w:tc>
          <w:tcPr>
            <w:tcW w:w="32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DB86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Rujukan materi</w:t>
            </w:r>
          </w:p>
        </w:tc>
        <w:tc>
          <w:tcPr>
            <w:tcW w:w="20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3F7E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Dampak / prioritas</w:t>
            </w:r>
          </w:p>
        </w:tc>
      </w:tr>
      <w:tr w14:paraId="17C6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7C4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otoritatif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A8C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Home: pesan nilai singkat, visual kerja nyata, CTA “Konsultasikan Kebutuhan Anda”.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4B4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Dentons HPRP; Kirkland &amp; Ellis; Latham &amp; Watkins LLP.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F85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Menjelaskan nilai dan memulai konversi. V1.</w:t>
            </w:r>
          </w:p>
        </w:tc>
      </w:tr>
      <w:tr w14:paraId="1C64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37B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Bukti pengalaman aman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226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Experience: ringkasan mandat/proyek tanpa identitas klien rahasia.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861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SIP Law Firm; Kirkland &amp; Ellis; Latham &amp; Watkins LLP.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E51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Membangun trust tanpa membuka kerahasiaan. V1.</w:t>
            </w:r>
          </w:p>
        </w:tc>
      </w:tr>
      <w:tr w14:paraId="3770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F35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 partner utama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C78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Profile &amp; Home: foto, peran, keahlian, dan ringkasan pengalaman yang disetujui.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B74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SIP Law Firm; SSEK; Dentons HPRP. Pola visual: Screenshot #1/#2.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C1D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Memberi wajah dan otoritas firma. V1.</w:t>
            </w:r>
          </w:p>
        </w:tc>
      </w:tr>
      <w:tr w14:paraId="6A89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2D4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Kategori layanan setara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2C9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Services: pilar Legal Services dan Konsultasi Perizinan, lalu layanan rinci.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7D1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Dentons HPRP; DLA Piper. Pola visual: Screenshot #1/#3.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904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Memudahkan self-selection calon klien. V1.</w:t>
            </w:r>
          </w:p>
        </w:tc>
      </w:tr>
      <w:tr w14:paraId="696C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9C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/ legal insight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F2E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&amp; Home: artikel regulasi, panduan, dan berita firma; ritme 3 mingguan.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BD0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SIP Law Firm; SSEK; DLA Piper. Pola visual: Screenshot #1.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37E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Menjaga authority dan jalur edukasi. V1.</w:t>
            </w:r>
          </w:p>
        </w:tc>
      </w:tr>
      <w:tr w14:paraId="44B7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BBF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Form + WhatsApp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8E5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Home, Services, Contact: inquiry formal dan respons cepat.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FB8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SIP Law Firm; SSEK; Dentons HPRP.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320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friksi kontak. V1.</w:t>
            </w:r>
          </w:p>
        </w:tc>
      </w:tr>
      <w:tr w14:paraId="3699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22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legal lengkap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B95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Semua halaman: alamat, kontak, navigasi, privasi, disclaimer.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47D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SSEK; Kirkland &amp; Ellis; Latham &amp; Watkins LLP; DLA Piper.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3A0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Transparansi dan kelengkapan informasi. V1.</w:t>
            </w:r>
          </w:p>
        </w:tc>
      </w:tr>
    </w:tbl>
    <w:p w14:paraId="247421F1">
      <w:pPr>
        <w:spacing w:after="80"/>
      </w:pPr>
    </w:p>
    <w:p w14:paraId="63641D28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tahap lanjut dan fitur yang tidak dipakai pada awal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00"/>
        <w:gridCol w:w="3560"/>
        <w:gridCol w:w="2000"/>
      </w:tblGrid>
      <w:tr w14:paraId="444E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4CA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Kelompok</w:t>
            </w:r>
          </w:p>
        </w:tc>
        <w:tc>
          <w:tcPr>
            <w:tcW w:w="2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CFD9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Keputusan</w:t>
            </w:r>
          </w:p>
        </w:tc>
        <w:tc>
          <w:tcPr>
            <w:tcW w:w="35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1CA2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Alasan / risiko</w:t>
            </w:r>
          </w:p>
        </w:tc>
        <w:tc>
          <w:tcPr>
            <w:tcW w:w="2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9D6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Kapan digunakan</w:t>
            </w:r>
          </w:p>
        </w:tc>
      </w:tr>
      <w:tr w14:paraId="5205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3A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Tahap lanjut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CCB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Direktori tim, bilingual, search, newsletter, resource/download, video/podcast, filter insight, peta, karier.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DD0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Berharga saat konten, tim, atau volume artikel sudah cukup; menambah beban pengelolaan jika dipaksakan awal.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5DD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konten dan operasional siap.</w:t>
            </w:r>
          </w:p>
        </w:tc>
      </w:tr>
      <w:tr w14:paraId="0CE1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94F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pada V1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DBE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Carousel otomatis, mega menu kompleks, fitur interaktif berat.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6E9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Mengganggu fokus, menambah kompleksitas, dan tidak sejalan dengan arahan simple &amp; ringan.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4AB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Hanya bila ada kebutuhan konten yang tervalidasi.</w:t>
            </w:r>
          </w:p>
        </w:tc>
      </w:tr>
      <w:tr w14:paraId="7321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FA7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sampai terbukti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30F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Angka pencapaian, penghargaan, logo klien, dan klaim cakupan tanpa bukti.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37A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Berisiko terhadap kredibilitas dan ketepatan informasi.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E83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bukti serta izin publikasi tersedia.</w:t>
            </w:r>
          </w:p>
        </w:tc>
      </w:tr>
      <w:tr w14:paraId="21D3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DF5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sebagai basis visual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3A6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Gambar stok legal generik atau dekorasi berlebihan.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63C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rasa autentik dan membuat pesan sulit dipindai.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323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Tidak direkomendasikan; prioritaskan foto nyata yang disetujui.</w:t>
            </w:r>
          </w:p>
        </w:tc>
      </w:tr>
    </w:tbl>
    <w:p w14:paraId="192F2B55">
      <w:pPr>
        <w:spacing w:after="80"/>
      </w:pPr>
    </w:p>
    <w:p w14:paraId="59CBB608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Arsitektur Website dan Alur Pengguna</w:t>
      </w:r>
    </w:p>
    <w:p w14:paraId="7974275B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Sitemap versi awal</w:t>
      </w:r>
    </w:p>
    <w:p w14:paraId="3C58369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Home</w:t>
      </w:r>
    </w:p>
    <w:p w14:paraId="0B8866A7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Profile / About Us - pengenalan, visi, nilai, partner utama, dan CTA</w:t>
      </w:r>
    </w:p>
    <w:p w14:paraId="473D5B69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Services - Legal Services dan Konsultasi Perizinan</w:t>
      </w:r>
    </w:p>
    <w:p w14:paraId="287654A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Projects / Experience - pengalaman anonim dan studi kasus aman</w:t>
      </w:r>
    </w:p>
    <w:p w14:paraId="57EE0B24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Blog - daftar artikel dan detail artikel</w:t>
      </w:r>
    </w:p>
    <w:p w14:paraId="10778FC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Contact - form inquiry, WhatsApp, email, telepon, dan alamat</w:t>
      </w:r>
    </w:p>
    <w:p w14:paraId="7666C6C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Navigasi</w:t>
      </w:r>
    </w:p>
    <w:p w14:paraId="1451A98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Header: Logo | Profile | Services | Experience | Blog | Contact | tombol “Konsultasi”.</w:t>
      </w:r>
    </w:p>
    <w:p w14:paraId="0383163E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Footer: pengenalan singkat, tautan halaman, email/telepon/WhatsApp/alamat, Privacy Policy, Disclaimer, dan ruang untuk Fraud Alert bila kelak diperlukan.</w:t>
      </w:r>
    </w:p>
    <w:p w14:paraId="25CCCB9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Alur konversi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100"/>
        <w:gridCol w:w="2660"/>
      </w:tblGrid>
      <w:tr w14:paraId="173B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AA4A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Mulai dari</w:t>
            </w:r>
          </w:p>
        </w:tc>
        <w:tc>
          <w:tcPr>
            <w:tcW w:w="51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1AB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Urutan yang disarankan</w:t>
            </w:r>
          </w:p>
        </w:tc>
        <w:tc>
          <w:tcPr>
            <w:tcW w:w="26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1741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</w:t>
            </w:r>
          </w:p>
        </w:tc>
      </w:tr>
      <w:tr w14:paraId="7E0F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D70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664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→ bukti pengalaman/partner → layanan → CTA konsultasi.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C2D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perhatian awal menjadi inquiry.</w:t>
            </w:r>
          </w:p>
        </w:tc>
      </w:tr>
      <w:tr w14:paraId="0CC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690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F1E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Pilih kategori → baca lingkup layanan → lihat experience terkait → “Konsultasikan Kebutuhan Anda”.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C91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Membantu calon klien dengan masalah yang sudah terdefinisi.</w:t>
            </w:r>
          </w:p>
        </w:tc>
      </w:tr>
      <w:tr w14:paraId="5817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162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047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Artikel → CTA layanan yang terkait → Contact/WhatsApp.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A01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pembaca insight menjadi calon klien.</w:t>
            </w:r>
          </w:p>
        </w:tc>
      </w:tr>
    </w:tbl>
    <w:p w14:paraId="487B333F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4E5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811C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Prinsip navigasi. </w:t>
            </w:r>
            <w:r>
              <w:rPr>
                <w:rFonts w:ascii="Calibri" w:hAnsi="Calibri"/>
                <w:color w:val="1D2524"/>
                <w:sz w:val="21"/>
              </w:rPr>
              <w:t>Jangan menambah “Team”, “Insights”, atau “Careers” sebagai menu mandiri pada V1 karena belum menjadi halaman inti; partner utama tetap dapat tampil di Profile.</w:t>
            </w:r>
          </w:p>
        </w:tc>
      </w:tr>
    </w:tbl>
    <w:p w14:paraId="07C250C9">
      <w:pPr>
        <w:spacing w:after="40"/>
      </w:pPr>
    </w:p>
    <w:p w14:paraId="37689BFB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Breakdown Halaman Inti</w:t>
      </w:r>
    </w:p>
    <w:p w14:paraId="7DE0058D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Home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400"/>
        <w:gridCol w:w="3460"/>
      </w:tblGrid>
      <w:tr w14:paraId="7940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4942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w="44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950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 &amp; konten</w:t>
            </w:r>
          </w:p>
        </w:tc>
        <w:tc>
          <w:tcPr>
            <w:tcW w:w="34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DADC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Layout / rujukan</w:t>
            </w:r>
          </w:p>
        </w:tc>
      </w:tr>
      <w:tr w14:paraId="4201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BF3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Header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2E4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Akses cepat ke halaman inti dan CTA konsultasi.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E1C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Bar horizontal bersih; Screenshot #3.</w:t>
            </w:r>
          </w:p>
        </w:tc>
      </w:tr>
      <w:tr w14:paraId="6B47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5C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45F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Pernyataan nilai, ringkasan dua pilar layanan, CTA; foto aktivitas kerja profesional.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7F4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kiri, visual kanan / full-bleed terkontrol; Screenshot #3.</w:t>
            </w:r>
          </w:p>
        </w:tc>
      </w:tr>
      <w:tr w14:paraId="5F57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7EF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Trust / authority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ACE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Pengantar profil partner dan pengalaman yang telah disetujui. Tidak memakai angka kosong.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FAB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ringkas dengan tautan “Lihat Pengalaman”; teks analisis tentang profiles/case studies.</w:t>
            </w:r>
          </w:p>
        </w:tc>
      </w:tr>
      <w:tr w14:paraId="36D7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5C7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Company overview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C8D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Siapa firma, pendekatan kerja, dan kaitan law firm + perizinan.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23E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kolom teks/visual; Screenshot #3.</w:t>
            </w:r>
          </w:p>
        </w:tc>
      </w:tr>
      <w:tr w14:paraId="445D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B00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73D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pilar setara dengan 3-4 layanan contoh dan tautan ke Services.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A96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Grid kartu sederhana; Screenshot #1/#3.</w:t>
            </w:r>
          </w:p>
        </w:tc>
      </w:tr>
      <w:tr w14:paraId="0FC4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A41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Experience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08D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2-3 kartu case highlight anonim: kebutuhan, peran, sektor, hasil proses yang aman.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86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Kartu editorial; Screenshot #3.</w:t>
            </w:r>
          </w:p>
        </w:tc>
      </w:tr>
      <w:tr w14:paraId="6DCE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788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Why choose us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B26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Nilai pembeda berbasis proses: jelas, terukur, dan responsif; hanya yang dikonfirmasi sebelum publikasi.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A23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Tiga kolom teks, bukan klaim berlebihan; Screenshot #2.</w:t>
            </w:r>
          </w:p>
        </w:tc>
      </w:tr>
      <w:tr w14:paraId="2996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769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149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3 artikel terbaru dengan kategori dan tanggal; tautan “Lihat Semua Insight”.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260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Daftar/kartu ringan; teks analisis tentang updates.</w:t>
            </w:r>
          </w:p>
        </w:tc>
      </w:tr>
      <w:tr w14:paraId="22BA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B4D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CTA contact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B66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Pesan konsultatif, tombol form dan WhatsApp, trust message singkat.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5E9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kontras lembut; pola CTA pada teks dan Screenshot #3.</w:t>
            </w:r>
          </w:p>
        </w:tc>
      </w:tr>
      <w:tr w14:paraId="6571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80E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263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Kontak, alamat, navigasi, legal links.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357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padat tetapi lapang; teks analisis.</w:t>
            </w:r>
          </w:p>
        </w:tc>
      </w:tr>
    </w:tbl>
    <w:p w14:paraId="1F70CCCB">
      <w:pPr>
        <w:spacing w:after="80"/>
      </w:pPr>
    </w:p>
    <w:p w14:paraId="49C32220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Profile / About Us</w:t>
      </w:r>
    </w:p>
    <w:p w14:paraId="73D00A64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Company introduction: posisi firma dan dua pilar layanannya.</w:t>
      </w:r>
    </w:p>
    <w:p w14:paraId="78D6DD33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Visi, misi, dan nilai: ringkas, spesifik, dan bebas klaim yang belum disetujui.</w:t>
      </w:r>
    </w:p>
    <w:p w14:paraId="49D72F72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Legal expertise &amp; pengalaman: area kemampuan dalam format yang mudah dipindai.</w:t>
      </w:r>
    </w:p>
    <w:p w14:paraId="1A8706C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Partner utama: foto, nama, jabatan, fokus keahlian, ringkasan pengalaman yang telah disetujui.</w:t>
      </w:r>
    </w:p>
    <w:p w14:paraId="567215E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Authority content: pendekatan kerja, standar komunikasi, atau insight publik yang benar-benar tersedia.</w:t>
      </w:r>
    </w:p>
    <w:p w14:paraId="398D511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CTA: “Diskusikan Kebutuhan Anda” menuju Contact.</w:t>
      </w:r>
    </w:p>
    <w:p w14:paraId="3FDF45D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Services</w:t>
      </w:r>
    </w:p>
    <w:p w14:paraId="7E6FD5B3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Pembuka yang menjelaskan dua kategori setara: Legal Services dan Konsultasi Perizinan.</w:t>
      </w:r>
    </w:p>
    <w:p w14:paraId="69813B2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kartu atau daftar terstruktur; setiap layanan berisi nama, ringkasan kebutuhan yang dilayani, dan CTA konsultasi.</w:t>
      </w:r>
    </w:p>
    <w:p w14:paraId="5C8EB352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Nama layanan detail hanya diisi setelah dikonfirmasi. Materi memberi contoh kategori seperti corporate, compliance, licensing, dispute resolution, investasi, OSS, ketenagakerjaan, dan ekspor-impor; jangan memperlakukannya sebagai daftar layanan Galdino and Partner sebelum validasi.</w:t>
      </w:r>
    </w:p>
    <w:p w14:paraId="2E007D1C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Projects / Experience</w:t>
      </w:r>
    </w:p>
    <w:p w14:paraId="4FF3A030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studi kasus anonim dengan format: konteks sektor (opsional), kebutuhan, peran tim, ruang lingkup yang diizinkan, dan hasil proses yang tidak membuka data rahasia.</w:t>
      </w:r>
    </w:p>
    <w:p w14:paraId="6EF12751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Hindari nama klien, nilai transaksi, dokumen, fakta sengketa, atau hasil yang belum diberi izin tertulis.</w:t>
      </w:r>
    </w:p>
    <w:p w14:paraId="4878817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label generik seperti “Regulatory Advisory”, “Corporate Matter”, atau “Licensing Support” agar pengunjung cepat memahami konteks.</w:t>
      </w:r>
    </w:p>
    <w:p w14:paraId="445A79A7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Contact</w:t>
      </w:r>
    </w:p>
    <w:p w14:paraId="03DD5C2F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Form minimum: nama, organisasi, email/telepon, layanan yang diminati (opsional), dan pesan. Tambahkan persetujuan privacy sebelum submit.</w:t>
      </w:r>
    </w:p>
    <w:p w14:paraId="000D15A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email, nomor telepon, WhatsApp, dan alamat kantor yang telah dikonfirmasi; peta ditunda.</w:t>
      </w:r>
    </w:p>
    <w:p w14:paraId="2B0DDDD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Trust message: “Informasi awal Anda akan ditinjau oleh tim kami. Jangan sertakan dokumen sensitif melalui formulir ini.”</w:t>
      </w:r>
    </w:p>
    <w:p w14:paraId="72F6E29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Blog</w:t>
      </w:r>
    </w:p>
    <w:p w14:paraId="6585174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artikel: kategori, judul, ringkasan, tanggal, dan CTA baca. Detail artikel: intro, isi terstruktur, CTA layanan/kontak di akhir.</w:t>
      </w:r>
    </w:p>
    <w:p w14:paraId="4B35414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Kategori yang relevan dari materi: Legal Update, Regulatory Update, Panduan Perizinan, Insight, dan Berita Firma.</w:t>
      </w:r>
    </w:p>
    <w:p w14:paraId="63DF3AA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Ritme: satu artikel setiap tiga minggu. Prioritaskan perubahan regulasi, panduan proses, checklist bisnis, dan penjelasan layanan yang memang telah disetujui.</w:t>
      </w:r>
    </w:p>
    <w:p w14:paraId="5F42A877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Fitur halaman: FiturYangBisaDiadopsi.txt (practice areas, profiles, case studies, contact, knowledge center); Screenshot #1, #2, dan #3.</w:t>
      </w:r>
    </w:p>
    <w:p w14:paraId="7E944162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Arah UI/UX dan Sistem Visual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000"/>
        <w:gridCol w:w="2860"/>
      </w:tblGrid>
      <w:tr w14:paraId="32D02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F22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Elemen</w:t>
            </w:r>
          </w:p>
        </w:tc>
        <w:tc>
          <w:tcPr>
            <w:tcW w:w="5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D42D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Rekomendasi</w:t>
            </w:r>
          </w:p>
        </w:tc>
        <w:tc>
          <w:tcPr>
            <w:tcW w:w="28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81CB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Dasar materi</w:t>
            </w:r>
          </w:p>
        </w:tc>
      </w:tr>
      <w:tr w14:paraId="5554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9F4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Gaya visual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2A1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Putih-minimal-humanis sebagai basis; formal dan modern, bukan dingin atau dekoratif.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0E2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#3.</w:t>
            </w:r>
          </w:p>
        </w:tc>
      </w:tr>
      <w:tr w14:paraId="6E60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A70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Palet awal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542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Putih/off-white sebagai dasar; hijau tua untuk authority; teal sebagai aksen CTA; emas hangat secukupnya sebagai aksen editorial. Validasi saat logo dibuat.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0C3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Sintesis Screenshot #1 (teal), #2 (hangat), #3 (putih).</w:t>
            </w:r>
          </w:p>
        </w:tc>
      </w:tr>
      <w:tr w14:paraId="6E59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1D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Tipografi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344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Sans-serif modern untuk navigasi/body; serif terukur hanya untuk heading/editorial bila tetap mudah dibaca.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82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Keterbacaan dan pendekatan editorial Screenshot #2/#3.</w:t>
            </w:r>
          </w:p>
        </w:tc>
      </w:tr>
      <w:tr w14:paraId="46D6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9EE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Layout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BAF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Container lapang, hierarki vertikal jelas, grid kartu sederhana, ruang putih cukup, satu CTA dominan per section.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9B4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#1/#3.</w:t>
            </w:r>
          </w:p>
        </w:tc>
      </w:tr>
      <w:tr w14:paraId="77B5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B35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Visual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E9A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Foto asli partner, aktivitas kerja, atau lingkungan kantor yang disetujui; hindari stok legal generik.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D08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visual nyata; Screenshot #2/#3.</w:t>
            </w:r>
          </w:p>
        </w:tc>
      </w:tr>
      <w:tr w14:paraId="7076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D87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Micro-interaction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348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Hover halus, transisi sederhana, focus state jelas; tidak ada animasi berat atau autoplay carousel.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41E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Arahan simple &amp; ringan; teks analisis mengenai animasi/slider.</w:t>
            </w:r>
          </w:p>
        </w:tc>
      </w:tr>
      <w:tr w14:paraId="2CE3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CDA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Copywriting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491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Profesional, ringkas, konkret, dan mudah dipahami. Gunakan kata kerja konsultatif: “Pahami”, “Diskusikan”, “Konsultasikan”.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689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tentang teks singkat dan CTA.</w:t>
            </w:r>
          </w:p>
        </w:tc>
      </w:tr>
    </w:tbl>
    <w:p w14:paraId="4B67EC85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AD4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D031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Komponen yang dihindari. </w:t>
            </w:r>
            <w:r>
              <w:rPr>
                <w:rFonts w:ascii="Calibri" w:hAnsi="Calibri"/>
                <w:color w:val="1D2524"/>
                <w:sz w:val="21"/>
              </w:rPr>
              <w:t>Mega menu, carousel otomatis, banyak CTA bersaing, kartu berisi paragraf panjang, angka/penghargaan tanpa verifikasi, dan ornamen yang mengalahkan konten.</w:t>
            </w:r>
          </w:p>
        </w:tc>
      </w:tr>
    </w:tbl>
    <w:p w14:paraId="03AF509D">
      <w:pPr>
        <w:spacing w:after="40"/>
      </w:pPr>
    </w:p>
    <w:p w14:paraId="58736A19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Rancangan Final Halaman Home</w:t>
      </w:r>
    </w:p>
    <w:p w14:paraId="220D33C6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Urutan pengalaman pengguna</w:t>
      </w:r>
    </w:p>
    <w:p w14:paraId="0E35EA7B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Header</w:t>
      </w:r>
    </w:p>
    <w:p w14:paraId="6190046B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memudahkan navigasi dan membuka jalur konsultasi. Isi: logo, enam menu inti, CTA. Layout: putih, sticky ringan setelah scroll. Rujukan: Screenshot #3 dan pola header ringkas dalam teks.</w:t>
      </w:r>
    </w:p>
    <w:p w14:paraId="47DDD23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Hero</w:t>
      </w:r>
    </w:p>
    <w:p w14:paraId="52D42EB7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menjawab “siapa dan untuk siapa” dalam beberapa detik. Isi: judul nilai, deskripsi dua pilar layanan, CTA, foto nyata. Contoh copy: “Pendampingan hukum dan perizinan yang jelas untuk kebutuhan bisnis Anda.” Rujukan: Screenshot #3.</w:t>
      </w:r>
    </w:p>
    <w:p w14:paraId="11214A9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Trust / Authority</w:t>
      </w:r>
    </w:p>
    <w:p w14:paraId="79A22063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alasan percaya sebelum pengunjung membaca panjang. Isi: pengantar partner utama dan/atau bukti pengalaman yang sudah disetujui. Layout: band ringkas. Rujukan: teks profiles/case highlights; Screenshot #1/#2.</w:t>
      </w:r>
    </w:p>
    <w:p w14:paraId="36AFD9FC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Company Overview</w:t>
      </w:r>
    </w:p>
    <w:p w14:paraId="5E1392AD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menjelaskan pendekatan firma. Isi: ringkasan 2-3 kalimat, tautan Profile, visual autentik. Layout: dua kolom. Rujukan: Screenshot #3.</w:t>
      </w:r>
    </w:p>
    <w:p w14:paraId="09777877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Services Preview</w:t>
      </w:r>
    </w:p>
    <w:p w14:paraId="5EC87FF0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membantu pengunjung menemukan jenis kebutuhan. Isi: dua pilar setara, 3-4 kartu contoh per pilar setelah validasi, tautan semua layanan. Layout: grid. Rujukan: Screenshot #1/#3; teks expertise.</w:t>
      </w:r>
    </w:p>
    <w:p w14:paraId="5462C8C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Experience / Projects Preview</w:t>
      </w:r>
    </w:p>
    <w:p w14:paraId="5A1D4CC8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menunjukkan penerapan keahlian tanpa membuka rahasia. Isi: 2-3 kasus anonim, label, kebutuhan, peran, dan tautan Experience. Layout: kartu editorial. Rujukan: Screenshot #3; teks case studies.</w:t>
      </w:r>
    </w:p>
    <w:p w14:paraId="2108A842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Why Choose Us</w:t>
      </w:r>
    </w:p>
    <w:p w14:paraId="1EB11BA2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membedakan pendekatan kerja. Isi: 3 nilai terverifikasi, misalnya komunikasi jelas, pendekatan terstruktur, dan pendampingan sesuai kebutuhan. Layout: tiga kolom tanpa angka spekulatif. Rujukan: Screenshot #2.</w:t>
      </w:r>
    </w:p>
    <w:p w14:paraId="5614F06C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8. Blog Preview</w:t>
      </w:r>
    </w:p>
    <w:p w14:paraId="217BCA27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memperlihatkan firma aktif dan memberi jalur edukasi. Isi: tiga artikel terbaru, kategori, tanggal, tautan Blog. Layout: daftar/kartu ringan. Rujukan: teks legal updates; Screenshot #1.</w:t>
      </w:r>
    </w:p>
    <w:p w14:paraId="267F056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9. CTA Contact</w:t>
      </w:r>
    </w:p>
    <w:p w14:paraId="393C841C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mengubah minat menjadi percakapan. Isi: pesan konsultatif, tombol form dan WhatsApp, trust message. Layout: band hijau tua/teal dengan kontras tinggi. Rujukan: teks CTA/WhatsApp; Screenshot #3.</w:t>
      </w:r>
    </w:p>
    <w:p w14:paraId="59944854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10. Footer</w:t>
      </w:r>
    </w:p>
    <w:p w14:paraId="1081654D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informasi lengkap dan legal transparency. Isi: kontak, alamat, menu, Privacy Policy, Disclaimer. Rujukan: teks footer/privacy/disclaimer.</w:t>
      </w:r>
    </w:p>
    <w:p w14:paraId="10CDF46E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Checklist Konten Sebelum Desain dan Peluncuran</w:t>
      </w:r>
    </w:p>
    <w:p w14:paraId="2423E276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Logo, nama legal, alamat, email, telepon, dan nomor WhatsApp yang siap dipublikasikan.</w:t>
      </w:r>
    </w:p>
    <w:p w14:paraId="31B3EB30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layanan final beserta deskripsi ringkas dan batasan informasi yang boleh disampaikan.</w:t>
      </w:r>
    </w:p>
    <w:p w14:paraId="784318B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 partner utama: foto, jabatan, bio, fokus keahlian, dan persetujuan publikasi.</w:t>
      </w:r>
    </w:p>
    <w:p w14:paraId="1DA7F12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Experience/case highlight yang sudah dianonimkan dan disetujui.</w:t>
      </w:r>
    </w:p>
    <w:p w14:paraId="000D2507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Kebijakan privasi, disclaimer, serta alur penanganan form inquiry.</w:t>
      </w:r>
    </w:p>
    <w:p w14:paraId="3876623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Tiga artikel awal dan pemilik proses editorial untuk jadwal tiga mingguan.</w:t>
      </w:r>
    </w:p>
    <w:p w14:paraId="120EEE6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Foto autentik yang memiliki izin penggunaan dan alt text yang deskriptif.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A43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4B14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Catatan implementasi. </w:t>
            </w:r>
            <w:r>
              <w:rPr>
                <w:rFonts w:ascii="Calibri" w:hAnsi="Calibri"/>
                <w:color w:val="1D2524"/>
                <w:sz w:val="21"/>
              </w:rPr>
              <w:t>Struktur konten versi awal harus dibuat siap diterjemahkan ke Inggris kemudian, tetapi publikasi awal tetap dalam Bahasa Indonesia sesuai keputusan yang dikunci.</w:t>
            </w:r>
          </w:p>
        </w:tc>
      </w:tr>
    </w:tbl>
    <w:p w14:paraId="3F5BF7CF">
      <w:pPr>
        <w:spacing w:after="40"/>
      </w:pPr>
    </w:p>
    <w:p w14:paraId="2DD3B362">
      <w:r>
        <w:br w:type="page"/>
      </w:r>
    </w:p>
    <w:p w14:paraId="231C6539">
      <w:pPr>
        <w:pStyle w:val="2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A. Rujukan Website dari Materi Analisis</w:t>
      </w:r>
    </w:p>
    <w:p w14:paraId="70DB6C9E"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Daftar ini menyebutkan nama website law firm yang memang tercantum dalam FiturYangBisaDiadopsi.txt. Ringkasan di bawah hanya merekam pola yang dijelaskan dalam teks tersebut; tidak menambahkan data, tautan, atau penilaian eksternal.</w:t>
      </w:r>
    </w:p>
    <w:p w14:paraId="7D8650DC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Assegaf Hamzah &amp; Partners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"https://www.ahp.id/"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https://www.ahp.id/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0E99A1EE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dengan penghargaan atau angka faktual untuk membangun trust.</w:t>
      </w:r>
    </w:p>
    <w:p w14:paraId="2B837CDC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Viewpoints/latest updates, pengelompokan expertise, profil profesional, case/deal highlights, publikasi unduhan, CTA, informasi kantor, dan cakupan wilayah.</w:t>
      </w:r>
    </w:p>
    <w:p w14:paraId="5139A3DD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dicatat sebagai fitur tahap lanjut untuk Galdino and Partner.</w:t>
      </w:r>
    </w:p>
    <w:p w14:paraId="60340174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ABNR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"https://www.abnrlaw.com/"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https://www.abnrlaw.com/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0357A12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berita/legal update berbentuk slider, practice areas, profiles, achievements, dan knowledge center.</w:t>
      </w:r>
    </w:p>
    <w:p w14:paraId="6A69950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Indonesian overview, global reach, careers, dan search dicatat sebagai opsi lanjutan, bukan kebutuhan versi awal.</w:t>
      </w:r>
    </w:p>
    <w:p w14:paraId="604DD356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SIP Law Firm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"https://siplawfirm.id/"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https://siplawfirm.id/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580628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Kontak yang terlihat di awal, tombol Contact Us, WhatsApp mengambang, dan footer kontak lengkap.</w:t>
      </w:r>
    </w:p>
    <w:p w14:paraId="0E07798E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Visual nyata, recent updates, kartu layanan, case studies, profil tim, resources, bilingual, newsletter, serta scam warning.</w:t>
      </w:r>
    </w:p>
    <w:p w14:paraId="4F030633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SSEK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"https://ssek.com/"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https://ssek.com/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17CF14A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Pilihan Bahasa Indonesia-English, teks ringkas, navigasi ringkas, legal updates/events/publications, CTA konsultasi, dan footer lengkap.</w:t>
      </w:r>
    </w:p>
    <w:p w14:paraId="572FDF8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Search, newsletter, dan skip-to-content dicatat sebagai pengembangan setelah fondasi konten siap.</w:t>
      </w:r>
    </w:p>
    <w:p w14:paraId="705302E8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Dentons HPRP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"https://dentons.hprplawyers.com/"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https://dentons.hprplawyers.com/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0C47567A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pesan hero singkat, kartu featured, layanan berdasarkan kebutuhan bisnis, profil profesional, recognition, dan CTA Contact Us.</w:t>
      </w:r>
    </w:p>
    <w:p w14:paraId="2FF33575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Carousel dengan kontrol dan form newsletter dicatat sebagai inspirasi yang ditunda untuk menjaga V1 ringan.</w:t>
      </w:r>
    </w:p>
    <w:p w14:paraId="4717BC51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Kirkland &amp; Ellis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"https://www.kirkland.com/"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https://www.kirkland.com/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2194D7A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hero split-screen, label kategori konten, quick links layanan, tombol kembali ke atas, footer lokasi, privacy/disclaimer.</w:t>
      </w:r>
    </w:p>
    <w:p w14:paraId="2F37773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dan carousel menjadi opsi lanjutan. Pola visual tidak disalin mentah-mentah.</w:t>
      </w:r>
    </w:p>
    <w:p w14:paraId="0A819E07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Latham &amp; Watkins LLP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"https://www.lw.com/"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https://www.lw.com/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A6826C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ringkas, label kategori konten, deal highlights anonim, recognition, insight, cerita perusahaan, kontak, privasi, dan scam warning.</w:t>
      </w:r>
    </w:p>
    <w:p w14:paraId="7897EC83">
      <w:pPr>
        <w:pStyle w:val="24"/>
        <w:spacing w:after="80" w:line="280" w:lineRule="auto"/>
        <w:ind w:left="720" w:hanging="360"/>
      </w:pPr>
      <w:bookmarkStart w:id="0" w:name="_GoBack"/>
      <w:r>
        <w:rPr>
          <w:rFonts w:ascii="Calibri" w:hAnsi="Calibri"/>
          <w:b w:val="0"/>
          <w:i w:val="0"/>
          <w:color w:val="1D2524"/>
          <w:sz w:val="21"/>
        </w:rPr>
        <w:t>Bilingual, search, carousel, dan subscribe masuk backlog bila kebutuhan konten sudah terbukti.</w:t>
      </w:r>
    </w:p>
    <w:bookmarkEnd w:id="0"/>
    <w:p w14:paraId="31254EEC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DLA Piper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"https://www.dlapiper.com/en"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https://www.dlapiper.com/en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49065FFF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Pengelompokan layanan berdasarkan kebutuhan, “View All Services”, featured content, label kategori, CTA untuk calon klien, dan footer lengkap.</w:t>
      </w:r>
    </w:p>
    <w:p w14:paraId="1CF0C552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Mega menu, search, direktori ahli, bilingual, dan fraud alert tidak dipakai pada tahap awal kecuali kesiapan konten mendukung.</w:t>
      </w:r>
    </w:p>
    <w:p w14:paraId="064895E8">
      <w:r>
        <w:br w:type="page"/>
      </w:r>
    </w:p>
    <w:p w14:paraId="578D0477">
      <w:pPr>
        <w:pStyle w:val="2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B. Referensi Visual yang Diberikan</w:t>
      </w:r>
    </w:p>
    <w:p w14:paraId="0D4E2351"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Screenshot berikut dilampirkan sebagai bahan pembacaan pola visual. Rekomendasi Galdino and Partner mengadaptasi prinsipnya secara etis, bukan menyalin desain.</w:t>
      </w:r>
    </w:p>
    <w:p w14:paraId="15D53429">
      <w:pPr>
        <w:spacing w:before="80" w:after="80"/>
        <w:jc w:val="center"/>
      </w:pPr>
      <w:r>
        <w:drawing>
          <wp:inline distT="0" distB="0" distL="114300" distR="114300">
            <wp:extent cx="5532120" cy="410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F0D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#1 - referensi pola grid gelap-teal, layanan, dan profil.</w:t>
      </w:r>
    </w:p>
    <w:p w14:paraId="7CE4240D">
      <w:pPr>
        <w:spacing w:before="80" w:after="80"/>
        <w:jc w:val="center"/>
      </w:pPr>
      <w:r>
        <w:drawing>
          <wp:inline distT="0" distB="0" distL="114300" distR="114300">
            <wp:extent cx="5532120" cy="4115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A3F7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#2 - referensi pola editorial hangat, metrik, dan daftar layanan.</w:t>
      </w:r>
    </w:p>
    <w:p w14:paraId="647AB8E3">
      <w:pPr>
        <w:spacing w:before="80" w:after="80"/>
        <w:jc w:val="center"/>
      </w:pPr>
      <w:r>
        <w:drawing>
          <wp:inline distT="0" distB="0" distL="114300" distR="114300">
            <wp:extent cx="5532120" cy="4284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DFD1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#3 - referensi utama untuk arah putih-minimal-humanis, visual kerja, dan CTA.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18D8D">
    <w:pPr>
      <w:pStyle w:val="18"/>
      <w:keepNext w:val="0"/>
      <w:spacing w:before="0" w:after="0" w:line="240" w:lineRule="auto"/>
      <w:jc w:val="center"/>
    </w:pPr>
    <w:r>
      <w:rPr>
        <w:rFonts w:ascii="Calibri" w:hAnsi="Calibri"/>
        <w:color w:val="5D6866"/>
        <w:sz w:val="17"/>
      </w:rPr>
      <w:t>Dokumen strategi internal | 14 Juli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A47A9">
    <w:pPr>
      <w:pStyle w:val="19"/>
      <w:keepNext w:val="0"/>
      <w:spacing w:before="0" w:after="0" w:line="240" w:lineRule="auto"/>
      <w:jc w:val="right"/>
    </w:pPr>
    <w:r>
      <w:rPr>
        <w:rFonts w:ascii="Calibri" w:hAnsi="Calibri"/>
        <w:color w:val="5D6866"/>
        <w:sz w:val="17"/>
      </w:rPr>
      <w:t>Galdino and Partner | Strategi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A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D2524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73F3B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F3B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2252</Words>
  <Characters>14717</Characters>
  <Lines>0</Lines>
  <Paragraphs>0</Paragraphs>
  <TotalTime>11</TotalTime>
  <ScaleCrop>false</ScaleCrop>
  <LinksUpToDate>false</LinksUpToDate>
  <CharactersWithSpaces>16728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Galdino and Partner</dc:creator>
  <dc:description>generated by python-docx</dc:description>
  <cp:lastModifiedBy>josh</cp:lastModifiedBy>
  <dcterms:modified xsi:type="dcterms:W3CDTF">2026-07-14T10:27:07Z</dcterms:modified>
  <dc:subject>Arsitektur, fitur, UI/UX, dan rancangan Home</dc:subject>
  <dc:title>Strategi Website Galdino and Partner - Revisi Rujukan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eyJoZGlkIjoiZmUyMzIwYTdkNzk2MGNhYWVhZjNiYTZjOTIwNWQ3YjAiLCJ1c2VySWQiOiI4ODEzMzg1MTcxMjMzIn0=</vt:lpwstr>
  </property>
  <property fmtid="{D5CDD505-2E9C-101B-9397-08002B2CF9AE}" pid="3" name="KSOProductBuildVer">
    <vt:lpwstr>1033-12.1.0.26880</vt:lpwstr>
  </property>
  <property fmtid="{D5CDD505-2E9C-101B-9397-08002B2CF9AE}" pid="4" name="ICV">
    <vt:lpwstr>B655AD5B707C4994B27CC150E11492EF_12</vt:lpwstr>
  </property>
</Properties>
</file>