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color w:val="000000"/>
          <w:sz w:val="16"/>
        </w:rPr>
        <w:t>KULTIVATE LEARN   /   C01L01   /   SAMPLE UNTUK PERSETUJUAN   /   14 SEPTEMBER 2026</w:t>
      </w:r>
    </w:p>
    <w:p>
      <w:pPr>
        <w:pStyle w:val="Title"/>
      </w:pPr>
      <w:r>
        <w:t>Menghubungkan pencarian dengan peluang bisnis</w:t>
      </w:r>
    </w:p>
    <w:p>
      <w:r>
        <w:rPr>
          <w:rFonts w:ascii="Arial" w:hAnsi="Arial"/>
          <w:color w:val="000000"/>
          <w:sz w:val="24"/>
        </w:rPr>
        <w:t>How Search Creates Business Opportunities</w:t>
      </w:r>
    </w:p>
    <w:p>
      <w:r>
        <w:rPr>
          <w:rFonts w:ascii="Arial" w:hAnsi="Arial"/>
          <w:color w:val="000000"/>
        </w:rPr>
        <w:t>Modul ini membantu kita menilai peran pencarian sebelum calon pelanggan menghubungi bisnis. Sesudah mempelajarinya, kita dapat menjelaskan kebutuhan yang dilayani oleh sebuah pencarian, dukungan informasi yang diperlukan, dan bukti yang masih perlu diperiksa sebelum menyebutnya peluang bisnis.</w:t>
      </w:r>
    </w:p>
    <w:p>
      <w:r>
        <w:rPr>
          <w:rFonts w:ascii="Arial" w:hAnsi="Arial"/>
          <w:b/>
          <w:color w:val="000000"/>
        </w:rPr>
        <w:t>Course:</w:t>
      </w:r>
      <w:r>
        <w:rPr>
          <w:rFonts w:ascii="Arial" w:hAnsi="Arial"/>
          <w:color w:val="000000"/>
        </w:rPr>
        <w:t xml:space="preserve"> 01 — SEO for Business Growth: From Search to Sales</w:t>
      </w:r>
    </w:p>
    <w:p>
      <w:r>
        <w:rPr>
          <w:rFonts w:ascii="Arial" w:hAnsi="Arial"/>
          <w:b/>
          <w:color w:val="000000"/>
        </w:rPr>
        <w:t>Lesson:</w:t>
      </w:r>
      <w:r>
        <w:rPr>
          <w:rFonts w:ascii="Arial" w:hAnsi="Arial"/>
          <w:color w:val="000000"/>
        </w:rPr>
        <w:t xml:space="preserve"> 01 dari 06 dalam Course 01. Satu lesson memiliki satu video utama dengan sasaran durasi 6–12 menit.</w:t>
      </w:r>
    </w:p>
    <w:p>
      <w:r>
        <w:rPr>
          <w:rFonts w:ascii="Arial" w:hAnsi="Arial"/>
          <w:b/>
          <w:color w:val="000000"/>
        </w:rPr>
        <w:t>Audience:</w:t>
      </w:r>
      <w:r>
        <w:rPr>
          <w:rFonts w:ascii="Arial" w:hAnsi="Arial"/>
          <w:color w:val="000000"/>
        </w:rPr>
        <w:t xml:space="preserve"> Owner atau Founder, Marketing Lead, dan SEO Lead. Materi dapat diikuti tanpa pengetahuan SEO sebelumnya.</w:t>
      </w:r>
    </w:p>
    <w:p>
      <w:r>
        <w:rPr>
          <w:rFonts w:ascii="Arial" w:hAnsi="Arial"/>
          <w:b/>
          <w:color w:val="000000"/>
        </w:rPr>
        <w:t>Core decision atau mental model:</w:t>
      </w:r>
      <w:r>
        <w:rPr>
          <w:rFonts w:ascii="Arial" w:hAnsi="Arial"/>
          <w:color w:val="000000"/>
        </w:rPr>
        <w:t xml:space="preserve"> Nilai peran search berdasarkan keputusan calon pembeli yang dibantunya dan bukti lanjutannya, sebelum menyimpulkan bahwa visibility menjadi peluang bisnis.</w:t>
      </w:r>
    </w:p>
    <w:p>
      <w:r>
        <w:rPr>
          <w:rFonts w:ascii="Arial" w:hAnsi="Arial"/>
          <w:b/>
          <w:color w:val="000000"/>
        </w:rPr>
        <w:t>Learning objective:</w:t>
      </w:r>
      <w:r>
        <w:rPr>
          <w:rFonts w:ascii="Arial" w:hAnsi="Arial"/>
          <w:color w:val="000000"/>
        </w:rPr>
        <w:t xml:space="preserve"> Memahami bagaimana discovery, evaluasi, dan keputusan terjadi sebelum inquiry, serta menghubungkan search visibility dengan kebutuhan calon pembeli yang sesuai tanpa menganggap traffic sebagai revenue.</w:t>
      </w:r>
    </w:p>
    <w:p>
      <w:r>
        <w:rPr>
          <w:rFonts w:ascii="Arial" w:hAnsi="Arial"/>
          <w:b/>
          <w:color w:val="000000"/>
        </w:rPr>
        <w:t>Expected learner outcome:</w:t>
      </w:r>
      <w:r>
        <w:rPr>
          <w:rFonts w:ascii="Arial" w:hAnsi="Arial"/>
          <w:color w:val="000000"/>
        </w:rPr>
        <w:t xml:space="preserve"> Satu peta awal untuk satu layanan, berisi empat momen pencarian, informasi atau bukti yang diperlukan calon pembeli, satu gap yang perlu diperiksa, dan satu tindakan untuk mencari bukti.</w:t>
      </w:r>
    </w:p>
    <w:p>
      <w:r>
        <w:rPr>
          <w:rFonts w:ascii="Arial" w:hAnsi="Arial"/>
          <w:b/>
          <w:color w:val="000000"/>
        </w:rPr>
        <w:t>Pengajar:</w:t>
      </w:r>
      <w:r>
        <w:rPr>
          <w:rFonts w:ascii="Arial" w:hAnsi="Arial"/>
          <w:color w:val="000000"/>
        </w:rPr>
        <w:t xml:space="preserve"> Hans Galdino. Modul dipelajari sebagai bahan ajar; slide mendukung penjelasan dengan bahasa pengajar sendiri.</w:t>
      </w:r>
    </w:p>
    <w:p>
      <w:pPr>
        <w:pStyle w:val="Heading1"/>
      </w:pPr>
      <w:r>
        <w:t>Posisi kita di Kultivate Learn</w:t>
      </w:r>
    </w:p>
    <w:p>
      <w:r>
        <w:rPr>
          <w:rFonts w:ascii="Arial" w:hAnsi="Arial"/>
          <w:color w:val="000000"/>
        </w:rPr>
        <w:t>Kultivate Learn terdiri dari 6 Courses. Setiap Course memiliki 6 Lessons, sehingga totalnya 36 Lessons dengan 1 video utama per lesson. Setiap course mengelompokkan masalah bisnis yang saling berhubungan. Kita dapat memilih course sesuai masalah yang sedang dihadapi, lalu mengikuti urutan lesson di dalamnya agar fondasinya terbentuk sebelum masuk ke keputusan berikutnya.</w:t>
      </w:r>
    </w:p>
    <w:p>
      <w:r>
        <w:rPr>
          <w:rFonts w:ascii="Arial" w:hAnsi="Arial"/>
          <w:color w:val="000000"/>
        </w:rPr>
        <w:t>Satu lesson sengaja berfokus pada satu keputusan atau mental model, yaitu cara memahami sebuah masalah. Dengan begitu, kita tidak perlu mempelajari terlalu banyak konsep sekaligus dan dapat menerapkannya satu per satu. Posisi Course dan Lesson membantu kita mengetahui apa yang sudah dipelajari dan apa langkah berikutnya. Angka enam merupakan pilihan desain kurikulum Kultivate, bukan angka yang diklaim paling optimal secara ilmiah.</w:t>
      </w:r>
    </w:p>
    <w:p>
      <w:pPr>
        <w:pStyle w:val="Heading1"/>
      </w:pPr>
      <w:r>
        <w:t>1 Pencarian berawal dari kebutuhan</w:t>
      </w:r>
    </w:p>
    <w:p>
      <w:r>
        <w:rPr>
          <w:rFonts w:ascii="Arial" w:hAnsi="Arial"/>
          <w:color w:val="000000"/>
        </w:rPr>
        <w:t>Bayangkan kita menerima laporan bahwa website semakin sering muncul di hasil pencarian dan jumlah kunjungannya meningkat. Itu kabar yang berguna. Tapi untuk menilai manfaatnya bagi bisnis, kita masih perlu memahami siapa yang datang, apa yang sedang mereka cari, dan apakah website membantu mereka mengambil keputusan yang berkaitan dengan layanan kita. Laporan traffic saja belum menjawab pertanyaan tersebut.</w:t>
      </w:r>
    </w:p>
    <w:p>
      <w:r>
        <w:rPr>
          <w:rFonts w:ascii="Arial" w:hAnsi="Arial"/>
          <w:color w:val="000000"/>
        </w:rPr>
        <w:t>Demand adalah kebutuhan atau keinginan terhadap suatu solusi. Search demand merupakan bagian kebutuhan itu yang terlihat melalui pencarian. Traffic berarti kunjungan ke website. Keduanya berhubungan, tetapi mengukur hal yang berbeda: kebutuhan ada pada calon pembeli, sedangkan traffic adalah aktivitas yang terjadi di website. Sebuah kebutuhan juga dapat ada tanpa diungkapkan melalui search, misalnya ketika pembeli langsung bertanya kepada rekan kerja.</w:t>
      </w:r>
    </w:p>
    <w:p>
      <w:r>
        <w:rPr>
          <w:rFonts w:ascii="Arial" w:hAnsi="Arial"/>
          <w:color w:val="000000"/>
        </w:rPr>
        <w:t>Perbedaan ini penting karena topik yang berhubungan dengan bidang usaha kita belum tentu berasal dari orang yang membutuhkan layanan kita. Artikel tentang cara membersihkan AC sendiri, misalnya, mungkin berguna bagi pemilik rumah. Bila bisnis kita khusus melayani kontrak perawatan AC kantor, kunjungan tersebut belum menunjukkan kebutuhan yang cocok. Sebaliknya, orang yang sedang belajar tentang perawatan AC kantor belum tentu siap membeli sekarang, tetapi pertanyaannya masih dapat menjadi bagian dari keputusan pembelian di kemudian hari.</w:t>
      </w:r>
    </w:p>
    <w:p>
      <w:r>
        <w:rPr>
          <w:rFonts w:ascii="Arial" w:hAnsi="Arial"/>
          <w:color w:val="000000"/>
        </w:rPr>
        <w:t>SEO, singkatan dari search engine optimization, membantu mesin pencari memahami konten dan membantu orang menemukan website serta menilai apakah mereka perlu mengunjunginya. Google menjelaskan fungsi dasar ini dalam SEO Starter Guide. [S1] Dalam konteks lesson ini, kita menggunakan search visibility untuk menyebut kehadiran atau kemunculan bisnis di hasil pencarian. Kita membatasi pembahasan pada peran pencarian organik, yaitu hasil pencarian yang bukan iklan, dalam perjalanan menuju inquiry.</w:t>
      </w:r>
    </w:p>
    <w:p>
      <w:r>
        <w:rPr>
          <w:rFonts w:ascii="Arial" w:hAnsi="Arial"/>
          <w:color w:val="000000"/>
        </w:rPr>
        <w:t>Commercial intent berarti tujuan pencarian yang berkaitan dengan mempertimbangkan atau membeli solusi. Pencarian tentang penyedia jasa, cakupan layanan, atau perbandingan penawaran bisa memberi petunjuk ke arah itu. Namun, kata pencarian tidak membuktikan bahwa seseorang mempunyai kebutuhan yang sesuai, wewenang membeli, atau kesiapan untuk melanjutkan. Kita tetap perlu memeriksa konteksnya.</w:t>
      </w:r>
    </w:p>
    <w:p>
      <w:r>
        <w:rPr>
          <w:rFonts w:ascii="Arial" w:hAnsi="Arial"/>
          <w:color w:val="000000"/>
        </w:rPr>
        <w:t>Jadi, nilai awal sebuah pencarian terletak pada hubungannya dengan kebutuhan yang dapat kita layani. Ini belum menjadi penilaian besarnya pasar atau urutan keyword yang harus dikerjakan. Untuk C01L01, cukup pahami hubungan tersebut sebelum mengejar jumlah kunjungan.</w:t>
      </w:r>
    </w:p>
    <w:p>
      <w:pPr>
        <w:pStyle w:val="Heading1"/>
      </w:pPr>
      <w:r>
        <w:t>2 Empat momen sebelum inquiry</w:t>
      </w:r>
    </w:p>
    <w:p>
      <w:r>
        <w:rPr>
          <w:rFonts w:ascii="Arial" w:hAnsi="Arial"/>
          <w:color w:val="000000"/>
        </w:rPr>
        <w:t>Inquiry adalah pertanyaan atau permintaan yang benar-benar masuk ke bisnis, misalnya pesan tentang layanan atau permintaan penawaran. Sebelum inquiry terjadi, calon pembeli perlu menyelesaikan sejumlah ketidakpastian. Kita memakai empat momen untuk melihatnya: Discover, Learn, Compare/Validate, dan Act. Ini adalah Kultivate framework untuk menyusun pertanyaan, bukan klasifikasi resmi Google.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685"/>
        <w:gridCol w:w="4139"/>
      </w:tblGrid>
      <w:tr>
        <w:trPr>
          <w:cantSplit/>
          <w:tblHeader/>
        </w:trPr>
        <w:tc>
          <w:tcPr>
            <w:tcW w:type="dxa" w:w="1701"/>
            <w:vAlign w:val="center"/>
            <w:shd w:fill="273244"/>
            <w:tcMar>
              <w:top w:w="95" w:type="dxa"/>
              <w:left w:w="95" w:type="dxa"/>
              <w:bottom w:w="95" w:type="dxa"/>
              <w:right w:w="95" w:type="dxa"/>
            </w:tcMar>
          </w:tcPr>
          <w:p>
            <w:pPr>
              <w:spacing w:after="20" w:line="264" w:lineRule="auto"/>
            </w:pPr>
            <w:r>
              <w:rPr>
                <w:rFonts w:ascii="Arial" w:hAnsi="Arial"/>
                <w:b/>
                <w:color w:val="FFFFFF"/>
                <w:sz w:val="19"/>
              </w:rPr>
              <w:t>Momen</w:t>
            </w:r>
          </w:p>
        </w:tc>
        <w:tc>
          <w:tcPr>
            <w:tcW w:type="dxa" w:w="3685"/>
            <w:vAlign w:val="center"/>
            <w:shd w:fill="273244"/>
            <w:tcMar>
              <w:top w:w="95" w:type="dxa"/>
              <w:left w:w="95" w:type="dxa"/>
              <w:bottom w:w="95" w:type="dxa"/>
              <w:right w:w="95" w:type="dxa"/>
            </w:tcMar>
          </w:tcPr>
          <w:p>
            <w:pPr>
              <w:spacing w:after="20" w:line="264" w:lineRule="auto"/>
            </w:pPr>
            <w:r>
              <w:rPr>
                <w:rFonts w:ascii="Arial" w:hAnsi="Arial"/>
                <w:b/>
                <w:color w:val="FFFFFF"/>
                <w:sz w:val="19"/>
              </w:rPr>
              <w:t>Yang sedang dicari calon pembeli</w:t>
            </w:r>
          </w:p>
        </w:tc>
        <w:tc>
          <w:tcPr>
            <w:tcW w:type="dxa" w:w="4139"/>
            <w:vAlign w:val="center"/>
            <w:shd w:fill="273244"/>
            <w:tcMar>
              <w:top w:w="95" w:type="dxa"/>
              <w:left w:w="95" w:type="dxa"/>
              <w:bottom w:w="95" w:type="dxa"/>
              <w:right w:w="95" w:type="dxa"/>
            </w:tcMar>
          </w:tcPr>
          <w:p>
            <w:pPr>
              <w:spacing w:after="20" w:line="264" w:lineRule="auto"/>
            </w:pPr>
            <w:r>
              <w:rPr>
                <w:rFonts w:ascii="Arial" w:hAnsi="Arial"/>
                <w:b/>
                <w:color w:val="FFFFFF"/>
                <w:sz w:val="19"/>
              </w:rPr>
              <w:t>Peran informasi dari bisnis</w:t>
            </w:r>
          </w:p>
        </w:tc>
      </w:tr>
      <w:tr>
        <w:trPr>
          <w:cantSplit/>
        </w:trPr>
        <w:tc>
          <w:tcPr>
            <w:tcW w:type="dxa" w:w="1701"/>
            <w:vAlign w:val="center"/>
            <w:shd w:fill="F3F5F7"/>
            <w:tcMar>
              <w:top w:w="95" w:type="dxa"/>
              <w:left w:w="95" w:type="dxa"/>
              <w:bottom w:w="95" w:type="dxa"/>
              <w:right w:w="95" w:type="dxa"/>
            </w:tcMar>
          </w:tcPr>
          <w:p>
            <w:pPr>
              <w:spacing w:after="20" w:line="264" w:lineRule="auto"/>
            </w:pPr>
            <w:r>
              <w:rPr>
                <w:rFonts w:ascii="Arial" w:hAnsi="Arial"/>
                <w:b w:val="0"/>
                <w:color w:val="000000"/>
                <w:sz w:val="19"/>
              </w:rPr>
              <w:t>Discover</w:t>
            </w:r>
          </w:p>
        </w:tc>
        <w:tc>
          <w:tcPr>
            <w:tcW w:type="dxa" w:w="3685"/>
            <w:vAlign w:val="center"/>
            <w:shd w:fill="F3F5F7"/>
            <w:tcMar>
              <w:top w:w="95" w:type="dxa"/>
              <w:left w:w="95" w:type="dxa"/>
              <w:bottom w:w="95" w:type="dxa"/>
              <w:right w:w="95" w:type="dxa"/>
            </w:tcMar>
          </w:tcPr>
          <w:p>
            <w:pPr>
              <w:spacing w:after="20" w:line="264" w:lineRule="auto"/>
            </w:pPr>
            <w:r>
              <w:rPr>
                <w:rFonts w:ascii="Arial" w:hAnsi="Arial"/>
                <w:b w:val="0"/>
                <w:color w:val="000000"/>
                <w:sz w:val="19"/>
              </w:rPr>
              <w:t>Masalah atau kemungkinan solusi yang sebelumnya belum jelas.</w:t>
            </w:r>
          </w:p>
        </w:tc>
        <w:tc>
          <w:tcPr>
            <w:tcW w:type="dxa" w:w="4139"/>
            <w:vAlign w:val="center"/>
            <w:shd w:fill="F3F5F7"/>
            <w:tcMar>
              <w:top w:w="95" w:type="dxa"/>
              <w:left w:w="95" w:type="dxa"/>
              <w:bottom w:w="95" w:type="dxa"/>
              <w:right w:w="95" w:type="dxa"/>
            </w:tcMar>
          </w:tcPr>
          <w:p>
            <w:pPr>
              <w:spacing w:after="20" w:line="264" w:lineRule="auto"/>
            </w:pPr>
            <w:r>
              <w:rPr>
                <w:rFonts w:ascii="Arial" w:hAnsi="Arial"/>
                <w:b w:val="0"/>
                <w:color w:val="000000"/>
                <w:sz w:val="19"/>
              </w:rPr>
              <w:t>Membantu mengenali masalah dan kaitannya dengan layanan.</w:t>
            </w:r>
          </w:p>
        </w:tc>
      </w:tr>
      <w:tr>
        <w:trPr>
          <w:cantSplit/>
        </w:trPr>
        <w:tc>
          <w:tcPr>
            <w:tcW w:type="dxa" w:w="1701"/>
            <w:vAlign w:val="center"/>
            <w:shd w:fill="FFFFFF"/>
            <w:tcMar>
              <w:top w:w="95" w:type="dxa"/>
              <w:left w:w="95" w:type="dxa"/>
              <w:bottom w:w="95" w:type="dxa"/>
              <w:right w:w="95" w:type="dxa"/>
            </w:tcMar>
          </w:tcPr>
          <w:p>
            <w:pPr>
              <w:spacing w:after="20" w:line="264" w:lineRule="auto"/>
            </w:pPr>
            <w:r>
              <w:rPr>
                <w:rFonts w:ascii="Arial" w:hAnsi="Arial"/>
                <w:b w:val="0"/>
                <w:color w:val="000000"/>
                <w:sz w:val="19"/>
              </w:rPr>
              <w:t>Learn</w:t>
            </w:r>
          </w:p>
        </w:tc>
        <w:tc>
          <w:tcPr>
            <w:tcW w:type="dxa" w:w="3685"/>
            <w:vAlign w:val="center"/>
            <w:shd w:fill="FFFFFF"/>
            <w:tcMar>
              <w:top w:w="95" w:type="dxa"/>
              <w:left w:w="95" w:type="dxa"/>
              <w:bottom w:w="95" w:type="dxa"/>
              <w:right w:w="95" w:type="dxa"/>
            </w:tcMar>
          </w:tcPr>
          <w:p>
            <w:pPr>
              <w:spacing w:after="20" w:line="264" w:lineRule="auto"/>
            </w:pPr>
            <w:r>
              <w:rPr>
                <w:rFonts w:ascii="Arial" w:hAnsi="Arial"/>
                <w:b w:val="0"/>
                <w:color w:val="000000"/>
                <w:sz w:val="19"/>
              </w:rPr>
              <w:t>Cara kerja solusi dan hal yang perlu dipertimbangkan.</w:t>
            </w:r>
          </w:p>
        </w:tc>
        <w:tc>
          <w:tcPr>
            <w:tcW w:type="dxa" w:w="4139"/>
            <w:vAlign w:val="center"/>
            <w:shd w:fill="FFFFFF"/>
            <w:tcMar>
              <w:top w:w="95" w:type="dxa"/>
              <w:left w:w="95" w:type="dxa"/>
              <w:bottom w:w="95" w:type="dxa"/>
              <w:right w:w="95" w:type="dxa"/>
            </w:tcMar>
          </w:tcPr>
          <w:p>
            <w:pPr>
              <w:spacing w:after="20" w:line="264" w:lineRule="auto"/>
            </w:pPr>
            <w:r>
              <w:rPr>
                <w:rFonts w:ascii="Arial" w:hAnsi="Arial"/>
                <w:b w:val="0"/>
                <w:color w:val="000000"/>
                <w:sz w:val="19"/>
              </w:rPr>
              <w:t>Menjelaskan pilihan dengan bahasa yang dapat dipahami.</w:t>
            </w:r>
          </w:p>
        </w:tc>
      </w:tr>
      <w:tr>
        <w:trPr>
          <w:cantSplit/>
        </w:trPr>
        <w:tc>
          <w:tcPr>
            <w:tcW w:type="dxa" w:w="1701"/>
            <w:vAlign w:val="center"/>
            <w:shd w:fill="F3F5F7"/>
            <w:tcMar>
              <w:top w:w="95" w:type="dxa"/>
              <w:left w:w="95" w:type="dxa"/>
              <w:bottom w:w="95" w:type="dxa"/>
              <w:right w:w="95" w:type="dxa"/>
            </w:tcMar>
          </w:tcPr>
          <w:p>
            <w:r>
              <w:rPr>
                <w:rFonts w:ascii="Arial" w:hAnsi="Arial"/>
                <w:sz w:val="19"/>
              </w:rPr>
              <w:t>Compare/</w:t>
              <w:br/>
              <w:t>Validate</w:t>
            </w:r>
          </w:p>
        </w:tc>
        <w:tc>
          <w:tcPr>
            <w:tcW w:type="dxa" w:w="3685"/>
            <w:vAlign w:val="center"/>
            <w:shd w:fill="F3F5F7"/>
            <w:tcMar>
              <w:top w:w="95" w:type="dxa"/>
              <w:left w:w="95" w:type="dxa"/>
              <w:bottom w:w="95" w:type="dxa"/>
              <w:right w:w="95" w:type="dxa"/>
            </w:tcMar>
          </w:tcPr>
          <w:p>
            <w:pPr>
              <w:spacing w:after="20" w:line="264" w:lineRule="auto"/>
            </w:pPr>
            <w:r>
              <w:rPr>
                <w:rFonts w:ascii="Arial" w:hAnsi="Arial"/>
                <w:b w:val="0"/>
                <w:color w:val="000000"/>
                <w:sz w:val="19"/>
              </w:rPr>
              <w:t>Kecocokan pilihan dan alasan untuk percaya.</w:t>
            </w:r>
          </w:p>
        </w:tc>
        <w:tc>
          <w:tcPr>
            <w:tcW w:type="dxa" w:w="4139"/>
            <w:vAlign w:val="center"/>
            <w:shd w:fill="F3F5F7"/>
            <w:tcMar>
              <w:top w:w="95" w:type="dxa"/>
              <w:left w:w="95" w:type="dxa"/>
              <w:bottom w:w="95" w:type="dxa"/>
              <w:right w:w="95" w:type="dxa"/>
            </w:tcMar>
          </w:tcPr>
          <w:p>
            <w:pPr>
              <w:spacing w:after="20" w:line="264" w:lineRule="auto"/>
            </w:pPr>
            <w:r>
              <w:rPr>
                <w:rFonts w:ascii="Arial" w:hAnsi="Arial"/>
                <w:b w:val="0"/>
                <w:color w:val="000000"/>
                <w:sz w:val="19"/>
              </w:rPr>
              <w:t>Memperjelas cakupan, batas, dan bukti yang bisa diperiksa.</w:t>
            </w:r>
          </w:p>
        </w:tc>
      </w:tr>
      <w:tr>
        <w:trPr>
          <w:cantSplit/>
        </w:trPr>
        <w:tc>
          <w:tcPr>
            <w:tcW w:type="dxa" w:w="1701"/>
            <w:vAlign w:val="center"/>
            <w:shd w:fill="FFFFFF"/>
            <w:tcMar>
              <w:top w:w="95" w:type="dxa"/>
              <w:left w:w="95" w:type="dxa"/>
              <w:bottom w:w="95" w:type="dxa"/>
              <w:right w:w="95" w:type="dxa"/>
            </w:tcMar>
          </w:tcPr>
          <w:p>
            <w:pPr>
              <w:spacing w:after="20" w:line="264" w:lineRule="auto"/>
            </w:pPr>
            <w:r>
              <w:rPr>
                <w:rFonts w:ascii="Arial" w:hAnsi="Arial"/>
                <w:b w:val="0"/>
                <w:color w:val="000000"/>
                <w:sz w:val="19"/>
              </w:rPr>
              <w:t>Act</w:t>
            </w:r>
          </w:p>
        </w:tc>
        <w:tc>
          <w:tcPr>
            <w:tcW w:type="dxa" w:w="3685"/>
            <w:vAlign w:val="center"/>
            <w:shd w:fill="FFFFFF"/>
            <w:tcMar>
              <w:top w:w="95" w:type="dxa"/>
              <w:left w:w="95" w:type="dxa"/>
              <w:bottom w:w="95" w:type="dxa"/>
              <w:right w:w="95" w:type="dxa"/>
            </w:tcMar>
          </w:tcPr>
          <w:p>
            <w:pPr>
              <w:spacing w:after="20" w:line="264" w:lineRule="auto"/>
            </w:pPr>
            <w:r>
              <w:rPr>
                <w:rFonts w:ascii="Arial" w:hAnsi="Arial"/>
                <w:b w:val="0"/>
                <w:color w:val="000000"/>
                <w:sz w:val="19"/>
              </w:rPr>
              <w:t>Langkah yang diperlukan untuk mulai berinteraksi.</w:t>
            </w:r>
          </w:p>
        </w:tc>
        <w:tc>
          <w:tcPr>
            <w:tcW w:type="dxa" w:w="4139"/>
            <w:vAlign w:val="center"/>
            <w:shd w:fill="FFFFFF"/>
            <w:tcMar>
              <w:top w:w="95" w:type="dxa"/>
              <w:left w:w="95" w:type="dxa"/>
              <w:bottom w:w="95" w:type="dxa"/>
              <w:right w:w="95" w:type="dxa"/>
            </w:tcMar>
          </w:tcPr>
          <w:p>
            <w:pPr>
              <w:spacing w:after="20" w:line="264" w:lineRule="auto"/>
            </w:pPr>
            <w:r>
              <w:rPr>
                <w:rFonts w:ascii="Arial" w:hAnsi="Arial"/>
                <w:b w:val="0"/>
                <w:color w:val="000000"/>
                <w:sz w:val="19"/>
              </w:rPr>
              <w:t>Memperjelas cara menghubungi bisnis dan apa yang terjadi setelahnya.</w:t>
            </w:r>
          </w:p>
        </w:tc>
      </w:tr>
    </w:tbl>
    <w:p>
      <w:pPr>
        <w:spacing w:after="20"/>
      </w:pPr>
    </w:p>
    <w:p>
      <w:r>
        <w:rPr>
          <w:rFonts w:ascii="Arial" w:hAnsi="Arial"/>
          <w:color w:val="000000"/>
        </w:rPr>
        <w:t>Pada Discover, seseorang bisa menyadari bahwa masalahnya perlu ditangani tanpa tahu nama solusi atau penyedianya. Pertanyaan yang kita bantu jawab masih mendasar. Pada Learn, ia mulai memahami pilihan. Penjelasan yang berguna membantu ia membedakan pilihan, termasuk kapan sebuah layanan mungkin belum diperlukan. Karena itu, setiap konten awal tidak harus langsung meminta orang menghubungi sales.</w:t>
      </w:r>
    </w:p>
    <w:p>
      <w:r>
        <w:rPr>
          <w:rFonts w:ascii="Arial" w:hAnsi="Arial"/>
          <w:color w:val="000000"/>
        </w:rPr>
        <w:t>Pada Compare/Validate, calon pembeli memeriksa apakah pilihan itu cocok dan dapat dipercaya. Compare berarti membandingkan alternatif; Validate berarti memeriksa kembali keyakinan terhadap pilihan. Seseorang yang mendapat nama vendor dari teman dapat menggunakan search untuk memeriksa layanan atau bukti pekerjaannya. Dalam keadaan seperti ini, search membantu validasi meskipun awal perkenalannya berasal dari referral.</w:t>
      </w:r>
    </w:p>
    <w:p>
      <w:r>
        <w:rPr>
          <w:rFonts w:ascii="Arial" w:hAnsi="Arial"/>
          <w:color w:val="000000"/>
        </w:rPr>
        <w:t>Pada Act, perhatian bergeser ke langkah berikutnya: informasi apa yang perlu disiapkan, siapa yang akan merespons, dan apakah harus memesan pertemuan atau mengirim kebutuhan lebih dahulu. Untuk bisnis jasa, tindakan ini dapat berupa inquiry. Belum ada kepastian bahwa calon pembeli akan menandatangani kontrak.</w:t>
      </w:r>
    </w:p>
    <w:p>
      <w:r>
        <w:rPr>
          <w:rFonts w:ascii="Arial" w:hAnsi="Arial"/>
          <w:color w:val="000000"/>
        </w:rPr>
        <w:t>Keempat momen ini tidak harus dilalui secara berurutan. Seseorang bisa langsung mencari nama vendor, kembali mempelajari pilihan, lalu meminta pendapat orang lain. Think with Google menjelaskan eksplorasi dan evaluasi yang dapat berulang dalam riset perilaku konsumen. [S4] Temuan itu membantu kita memahami batas gambar alur yang terlalu lurus. Penerapannya ke layanan B2B dalam modul ini tetap merupakan interpretasi Kultivate, bukan kesimpulan bahwa seluruh pembeli B2B mengikuti pola yang sama.</w:t>
      </w:r>
    </w:p>
    <w:p>
      <w:r>
        <w:rPr>
          <w:rFonts w:ascii="Arial" w:hAnsi="Arial"/>
          <w:color w:val="000000"/>
        </w:rPr>
        <w:t>Gunakan model ini untuk mencari pertanyaan yang belum terjawab. Jangan menganggap empat momen harus menghasilkan empat halaman baru. Satu halaman dapat membantu lebih dari satu momen; penentuan jenis dan susunan halaman dibahas pada lesson berikutnya.</w:t>
      </w:r>
    </w:p>
    <w:p>
      <w:pPr>
        <w:pStyle w:val="Heading1"/>
      </w:pPr>
      <w:r>
        <w:t>3 Membaca sinyal sampai menjadi peluang</w:t>
      </w:r>
    </w:p>
    <w:p>
      <w:r>
        <w:rPr>
          <w:rFonts w:ascii="Arial" w:hAnsi="Arial"/>
          <w:color w:val="000000"/>
        </w:rPr>
        <w:t>Model empat momen menjelaskan apa yang sedang diputuskan calon pembeli. Untuk menilai apakah proses itu menghasilkan manfaat bisnis, kita memerlukan bukti yang berbeda pada setiap bagian. Search visibility, kunjungan yang relevan, inquiry, dan qualified opportunity bukan istilah yang dapat saling menggantikan.</w:t>
      </w:r>
    </w:p>
    <w:p>
      <w:r>
        <w:rPr>
          <w:rFonts w:ascii="Arial" w:hAnsi="Arial"/>
          <w:color w:val="000000"/>
        </w:rPr>
        <w:t>Qualified opportunity adalah peluang yang sudah diperiksa kecocokannya dan layak dibahas lebih lanjut oleh bisnis. Misalnya, kebutuhan calon pembeli sesuai dengan layanan, lokasinya dapat dilayani, dan ada langkah lanjutan yang masuk akal. Kriteria akhirnya perlu disepakati oleh bisnis sendiri. Inquiry yang hanya menanyakan layanan di luar cakupan belum menjadi peluang yang sesuai. Bahkan peluang yang sudah sesuai pun masih dapat berakhir tanpa penjualan.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72"/>
        <w:gridCol w:w="4025"/>
      </w:tblGrid>
      <w:tr>
        <w:trPr>
          <w:cantSplit/>
          <w:tblHeader/>
        </w:trPr>
        <w:tc>
          <w:tcPr>
            <w:tcW w:type="dxa" w:w="1928"/>
            <w:vAlign w:val="center"/>
            <w:shd w:fill="273244"/>
            <w:tcMar>
              <w:top w:w="95" w:type="dxa"/>
              <w:left w:w="95" w:type="dxa"/>
              <w:bottom w:w="95" w:type="dxa"/>
              <w:right w:w="95" w:type="dxa"/>
            </w:tcMar>
          </w:tcPr>
          <w:p>
            <w:pPr>
              <w:spacing w:after="20" w:line="264" w:lineRule="auto"/>
            </w:pPr>
            <w:r>
              <w:rPr>
                <w:rFonts w:ascii="Arial" w:hAnsi="Arial"/>
                <w:b/>
                <w:color w:val="FFFFFF"/>
                <w:sz w:val="19"/>
              </w:rPr>
              <w:t>Sinyal</w:t>
            </w:r>
          </w:p>
        </w:tc>
        <w:tc>
          <w:tcPr>
            <w:tcW w:type="dxa" w:w="3572"/>
            <w:vAlign w:val="center"/>
            <w:shd w:fill="273244"/>
            <w:tcMar>
              <w:top w:w="95" w:type="dxa"/>
              <w:left w:w="95" w:type="dxa"/>
              <w:bottom w:w="95" w:type="dxa"/>
              <w:right w:w="95" w:type="dxa"/>
            </w:tcMar>
          </w:tcPr>
          <w:p>
            <w:pPr>
              <w:spacing w:after="20" w:line="264" w:lineRule="auto"/>
            </w:pPr>
            <w:r>
              <w:rPr>
                <w:rFonts w:ascii="Arial" w:hAnsi="Arial"/>
                <w:b/>
                <w:color w:val="FFFFFF"/>
                <w:sz w:val="19"/>
              </w:rPr>
              <w:t>Yang dapat kita pahami</w:t>
            </w:r>
          </w:p>
        </w:tc>
        <w:tc>
          <w:tcPr>
            <w:tcW w:type="dxa" w:w="4025"/>
            <w:vAlign w:val="center"/>
            <w:shd w:fill="273244"/>
            <w:tcMar>
              <w:top w:w="95" w:type="dxa"/>
              <w:left w:w="95" w:type="dxa"/>
              <w:bottom w:w="95" w:type="dxa"/>
              <w:right w:w="95" w:type="dxa"/>
            </w:tcMar>
          </w:tcPr>
          <w:p>
            <w:pPr>
              <w:spacing w:after="20" w:line="264" w:lineRule="auto"/>
            </w:pPr>
            <w:r>
              <w:rPr>
                <w:rFonts w:ascii="Arial" w:hAnsi="Arial"/>
                <w:b/>
                <w:color w:val="FFFFFF"/>
                <w:sz w:val="19"/>
              </w:rPr>
              <w:t>Yang belum terbukti</w:t>
            </w:r>
          </w:p>
        </w:tc>
      </w:tr>
      <w:tr>
        <w:trPr>
          <w:cantSplit/>
        </w:trPr>
        <w:tc>
          <w:tcPr>
            <w:tcW w:type="dxa" w:w="1928"/>
            <w:vAlign w:val="center"/>
            <w:shd w:fill="F3F5F7"/>
            <w:tcMar>
              <w:top w:w="95" w:type="dxa"/>
              <w:left w:w="95" w:type="dxa"/>
              <w:bottom w:w="95" w:type="dxa"/>
              <w:right w:w="95" w:type="dxa"/>
            </w:tcMar>
          </w:tcPr>
          <w:p>
            <w:pPr>
              <w:spacing w:after="20" w:line="264" w:lineRule="auto"/>
            </w:pPr>
            <w:r>
              <w:rPr>
                <w:rFonts w:ascii="Arial" w:hAnsi="Arial"/>
                <w:b w:val="0"/>
                <w:color w:val="000000"/>
                <w:sz w:val="19"/>
              </w:rPr>
              <w:t>Visibility</w:t>
            </w:r>
          </w:p>
        </w:tc>
        <w:tc>
          <w:tcPr>
            <w:tcW w:type="dxa" w:w="3572"/>
            <w:vAlign w:val="center"/>
            <w:shd w:fill="F3F5F7"/>
            <w:tcMar>
              <w:top w:w="95" w:type="dxa"/>
              <w:left w:w="95" w:type="dxa"/>
              <w:bottom w:w="95" w:type="dxa"/>
              <w:right w:w="95" w:type="dxa"/>
            </w:tcMar>
          </w:tcPr>
          <w:p>
            <w:pPr>
              <w:spacing w:after="20" w:line="264" w:lineRule="auto"/>
            </w:pPr>
            <w:r>
              <w:rPr>
                <w:rFonts w:ascii="Arial" w:hAnsi="Arial"/>
                <w:b w:val="0"/>
                <w:color w:val="000000"/>
                <w:sz w:val="19"/>
              </w:rPr>
              <w:t>Bisnis atau kontennya muncul di search. Impressions adalah salah satu indikatornya.</w:t>
            </w:r>
          </w:p>
        </w:tc>
        <w:tc>
          <w:tcPr>
            <w:tcW w:type="dxa" w:w="4025"/>
            <w:vAlign w:val="center"/>
            <w:shd w:fill="F3F5F7"/>
            <w:tcMar>
              <w:top w:w="95" w:type="dxa"/>
              <w:left w:w="95" w:type="dxa"/>
              <w:bottom w:w="95" w:type="dxa"/>
              <w:right w:w="95" w:type="dxa"/>
            </w:tcMar>
          </w:tcPr>
          <w:p>
            <w:pPr>
              <w:spacing w:after="20" w:line="264" w:lineRule="auto"/>
            </w:pPr>
            <w:r>
              <w:rPr>
                <w:rFonts w:ascii="Arial" w:hAnsi="Arial"/>
                <w:b w:val="0"/>
                <w:color w:val="000000"/>
                <w:sz w:val="19"/>
              </w:rPr>
              <w:t>Orang tersebut membutuhkan layanan kita.</w:t>
            </w:r>
          </w:p>
        </w:tc>
      </w:tr>
      <w:tr>
        <w:trPr>
          <w:cantSplit/>
        </w:trPr>
        <w:tc>
          <w:tcPr>
            <w:tcW w:type="dxa" w:w="1928"/>
            <w:vAlign w:val="center"/>
            <w:shd w:fill="FFFFFF"/>
            <w:tcMar>
              <w:top w:w="95" w:type="dxa"/>
              <w:left w:w="95" w:type="dxa"/>
              <w:bottom w:w="95" w:type="dxa"/>
              <w:right w:w="95" w:type="dxa"/>
            </w:tcMar>
          </w:tcPr>
          <w:p>
            <w:pPr>
              <w:spacing w:after="20" w:line="264" w:lineRule="auto"/>
            </w:pPr>
            <w:r>
              <w:rPr>
                <w:rFonts w:ascii="Arial" w:hAnsi="Arial"/>
                <w:b w:val="0"/>
                <w:color w:val="000000"/>
                <w:sz w:val="19"/>
              </w:rPr>
              <w:t>Kunjungan relevan</w:t>
            </w:r>
          </w:p>
        </w:tc>
        <w:tc>
          <w:tcPr>
            <w:tcW w:type="dxa" w:w="3572"/>
            <w:vAlign w:val="center"/>
            <w:shd w:fill="FFFFFF"/>
            <w:tcMar>
              <w:top w:w="95" w:type="dxa"/>
              <w:left w:w="95" w:type="dxa"/>
              <w:bottom w:w="95" w:type="dxa"/>
              <w:right w:w="95" w:type="dxa"/>
            </w:tcMar>
          </w:tcPr>
          <w:p>
            <w:pPr>
              <w:spacing w:after="20" w:line="264" w:lineRule="auto"/>
            </w:pPr>
            <w:r>
              <w:rPr>
                <w:rFonts w:ascii="Arial" w:hAnsi="Arial"/>
                <w:b w:val="0"/>
                <w:color w:val="000000"/>
                <w:sz w:val="19"/>
              </w:rPr>
              <w:t>Konteks kunjungan tampak berkaitan dengan kebutuhan yang dapat dilayani.</w:t>
            </w:r>
          </w:p>
        </w:tc>
        <w:tc>
          <w:tcPr>
            <w:tcW w:type="dxa" w:w="4025"/>
            <w:vAlign w:val="center"/>
            <w:shd w:fill="FFFFFF"/>
            <w:tcMar>
              <w:top w:w="95" w:type="dxa"/>
              <w:left w:w="95" w:type="dxa"/>
              <w:bottom w:w="95" w:type="dxa"/>
              <w:right w:w="95" w:type="dxa"/>
            </w:tcMar>
          </w:tcPr>
          <w:p>
            <w:pPr>
              <w:spacing w:after="20" w:line="264" w:lineRule="auto"/>
            </w:pPr>
            <w:r>
              <w:rPr>
                <w:rFonts w:ascii="Arial" w:hAnsi="Arial"/>
                <w:b w:val="0"/>
                <w:color w:val="000000"/>
                <w:sz w:val="19"/>
              </w:rPr>
              <w:t>Pengunjung sudah berniat atau siap membeli.</w:t>
            </w:r>
          </w:p>
        </w:tc>
      </w:tr>
      <w:tr>
        <w:trPr>
          <w:cantSplit/>
        </w:trPr>
        <w:tc>
          <w:tcPr>
            <w:tcW w:type="dxa" w:w="1928"/>
            <w:vAlign w:val="center"/>
            <w:shd w:fill="F3F5F7"/>
            <w:tcMar>
              <w:top w:w="95" w:type="dxa"/>
              <w:left w:w="95" w:type="dxa"/>
              <w:bottom w:w="95" w:type="dxa"/>
              <w:right w:w="95" w:type="dxa"/>
            </w:tcMar>
          </w:tcPr>
          <w:p>
            <w:pPr>
              <w:spacing w:after="20" w:line="264" w:lineRule="auto"/>
            </w:pPr>
            <w:r>
              <w:rPr>
                <w:rFonts w:ascii="Arial" w:hAnsi="Arial"/>
                <w:b w:val="0"/>
                <w:color w:val="000000"/>
                <w:sz w:val="19"/>
              </w:rPr>
              <w:t>Inquiry</w:t>
            </w:r>
          </w:p>
        </w:tc>
        <w:tc>
          <w:tcPr>
            <w:tcW w:type="dxa" w:w="3572"/>
            <w:vAlign w:val="center"/>
            <w:shd w:fill="F3F5F7"/>
            <w:tcMar>
              <w:top w:w="95" w:type="dxa"/>
              <w:left w:w="95" w:type="dxa"/>
              <w:bottom w:w="95" w:type="dxa"/>
              <w:right w:w="95" w:type="dxa"/>
            </w:tcMar>
          </w:tcPr>
          <w:p>
            <w:pPr>
              <w:spacing w:after="20" w:line="264" w:lineRule="auto"/>
            </w:pPr>
            <w:r>
              <w:rPr>
                <w:rFonts w:ascii="Arial" w:hAnsi="Arial"/>
                <w:b w:val="0"/>
                <w:color w:val="000000"/>
                <w:sz w:val="19"/>
              </w:rPr>
              <w:t>Ada pesan atau permintaan yang benar-benar diterima.</w:t>
            </w:r>
          </w:p>
        </w:tc>
        <w:tc>
          <w:tcPr>
            <w:tcW w:type="dxa" w:w="4025"/>
            <w:vAlign w:val="center"/>
            <w:shd w:fill="F3F5F7"/>
            <w:tcMar>
              <w:top w:w="95" w:type="dxa"/>
              <w:left w:w="95" w:type="dxa"/>
              <w:bottom w:w="95" w:type="dxa"/>
              <w:right w:w="95" w:type="dxa"/>
            </w:tcMar>
          </w:tcPr>
          <w:p>
            <w:pPr>
              <w:spacing w:after="20" w:line="264" w:lineRule="auto"/>
            </w:pPr>
            <w:r>
              <w:rPr>
                <w:rFonts w:ascii="Arial" w:hAnsi="Arial"/>
                <w:b w:val="0"/>
                <w:color w:val="000000"/>
                <w:sz w:val="19"/>
              </w:rPr>
              <w:t>Kebutuhan dan kondisi calon pembeli sudah cocok.</w:t>
            </w:r>
          </w:p>
        </w:tc>
      </w:tr>
      <w:tr>
        <w:trPr>
          <w:cantSplit/>
        </w:trPr>
        <w:tc>
          <w:tcPr>
            <w:tcW w:type="dxa" w:w="1928"/>
            <w:vAlign w:val="center"/>
            <w:shd w:fill="FFFFFF"/>
            <w:tcMar>
              <w:top w:w="95" w:type="dxa"/>
              <w:left w:w="95" w:type="dxa"/>
              <w:bottom w:w="95" w:type="dxa"/>
              <w:right w:w="95" w:type="dxa"/>
            </w:tcMar>
          </w:tcPr>
          <w:p>
            <w:pPr>
              <w:spacing w:after="20" w:line="264" w:lineRule="auto"/>
            </w:pPr>
            <w:r>
              <w:rPr>
                <w:rFonts w:ascii="Arial" w:hAnsi="Arial"/>
                <w:b w:val="0"/>
                <w:color w:val="000000"/>
                <w:sz w:val="19"/>
              </w:rPr>
              <w:t>Qualified opportunity</w:t>
            </w:r>
          </w:p>
        </w:tc>
        <w:tc>
          <w:tcPr>
            <w:tcW w:type="dxa" w:w="3572"/>
            <w:vAlign w:val="center"/>
            <w:shd w:fill="FFFFFF"/>
            <w:tcMar>
              <w:top w:w="95" w:type="dxa"/>
              <w:left w:w="95" w:type="dxa"/>
              <w:bottom w:w="95" w:type="dxa"/>
              <w:right w:w="95" w:type="dxa"/>
            </w:tcMar>
          </w:tcPr>
          <w:p>
            <w:pPr>
              <w:spacing w:after="20" w:line="264" w:lineRule="auto"/>
            </w:pPr>
            <w:r>
              <w:rPr>
                <w:rFonts w:ascii="Arial" w:hAnsi="Arial"/>
                <w:b w:val="0"/>
                <w:color w:val="000000"/>
                <w:sz w:val="19"/>
              </w:rPr>
              <w:t>Bisnis telah memeriksa kecocokan dan menyepakati langkah lanjutan.</w:t>
            </w:r>
          </w:p>
        </w:tc>
        <w:tc>
          <w:tcPr>
            <w:tcW w:type="dxa" w:w="4025"/>
            <w:vAlign w:val="center"/>
            <w:shd w:fill="FFFFFF"/>
            <w:tcMar>
              <w:top w:w="95" w:type="dxa"/>
              <w:left w:w="95" w:type="dxa"/>
              <w:bottom w:w="95" w:type="dxa"/>
              <w:right w:w="95" w:type="dxa"/>
            </w:tcMar>
          </w:tcPr>
          <w:p>
            <w:pPr>
              <w:spacing w:after="20" w:line="264" w:lineRule="auto"/>
            </w:pPr>
            <w:r>
              <w:rPr>
                <w:rFonts w:ascii="Arial" w:hAnsi="Arial"/>
                <w:b w:val="0"/>
                <w:color w:val="000000"/>
                <w:sz w:val="19"/>
              </w:rPr>
              <w:t>Penjualan atau revenue sudah terjadi.</w:t>
            </w:r>
          </w:p>
        </w:tc>
      </w:tr>
    </w:tbl>
    <w:p>
      <w:pPr>
        <w:spacing w:after="20"/>
      </w:pPr>
    </w:p>
    <w:p>
      <w:r>
        <w:rPr>
          <w:rFonts w:ascii="Arial" w:hAnsi="Arial"/>
          <w:color w:val="000000"/>
        </w:rPr>
        <w:t>Search Console membedakan impressions, yaitu kemunculan menurut aturan jenis hasil pencarian, dengan clicks, yaitu klik dari Google ke website. [S2] Data ini menjelaskan interaksi di search. Untuk memahami relevansi bisnis, kita perlu membacanya bersama konteks halaman dan pertanyaan yang masuk. Jumlah impressions bukan jumlah calon pembeli unik, dan clicks tidak otomatis sama dengan jumlah inquiry.</w:t>
      </w:r>
    </w:p>
    <w:p>
      <w:r>
        <w:rPr>
          <w:rFonts w:ascii="Arial" w:hAnsi="Arial"/>
          <w:color w:val="000000"/>
        </w:rPr>
        <w:t>Google Analytics memakai istilah key event untuk tindakan yang dianggap penting bagi bisnis dan direkam sebagai event. [S3] Dalam penerapan kita, klik tombol kontak dapat menjadi sinyal ketertarikan. Tapi klik tersebut belum membuktikan ada pesan yang dikirim dan diterima. Demikian pula, pengiriman formulir yang tercatat perlu dibedakan dari penilaian kualitas kebutuhan oleh tim bisnis. Nama event tidak dapat menggantikan pemeriksaan tersebut.</w:t>
      </w:r>
    </w:p>
    <w:p>
      <w:r>
        <w:rPr>
          <w:rFonts w:ascii="Arial" w:hAnsi="Arial"/>
          <w:color w:val="000000"/>
        </w:rPr>
        <w:t>Bayangkan sebuah inquiry meminta layanan yang tidak kita tawarkan. Traffic dan inquiry memang terjadi, tetapi kecocokan bisnis belum ada. Sebaliknya, seseorang dapat menemukan penjelasan kita lewat search, kembali melalui tautan yang disimpan, lalu menghubungi lewat kanal lain. Kita tidak dapat mengetahui seluruh perjalanan itu hanya dari kunjungan terakhir. Attribution adalah cara membagikan kontribusi kepada interaksi pemasaran; pembahasan model dan pengukurannya berada di Lesson 06.</w:t>
      </w:r>
    </w:p>
    <w:p>
      <w:r>
        <w:rPr>
          <w:rFonts w:ascii="Arial" w:hAnsi="Arial"/>
          <w:color w:val="000000"/>
        </w:rPr>
        <w:t>Pada lesson ini, urutan visibility, kunjungan relevan, inquiry, dan qualified opportunity berfungsi sebagai peta pemeriksaan bukti. Diagramnya bukan laporan funnel yang sudah menghubungkan orang yang sama pada setiap tahap. Bila traffic naik tetapi peluang belum jelas, kesimpulan yang tepat adalah memeriksa di mana hubungannya belum terbukti, bukan langsung menyatakan SEO berhasil atau gagal.</w:t>
      </w:r>
    </w:p>
    <w:p>
      <w:pPr>
        <w:pStyle w:val="Heading1"/>
      </w:pPr>
      <w:r>
        <w:t>4 Menguji peta pada satu layanan</w:t>
      </w:r>
    </w:p>
    <w:p>
      <w:r>
        <w:rPr>
          <w:rFonts w:ascii="Arial" w:hAnsi="Arial"/>
          <w:color w:val="000000"/>
        </w:rPr>
        <w:t>Contoh hipotetis. Kita menggunakan penyedia jasa perawatan AC kantor untuk memperlihatkan reasoning, tanpa nama perusahaan, data performa, atau klaim sebagai klien Kultivate. Diasumsikan bisnis ini melayani perawatan berkala untuk kantor di area yang sudah ditetapkan. Seluruh pencarian di bawah adalah ilustrasi, bukan keyword hasil riset atau data pelanggan.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4309"/>
      </w:tblGrid>
      <w:tr>
        <w:trPr>
          <w:cantSplit/>
          <w:tblHeader/>
        </w:trPr>
        <w:tc>
          <w:tcPr>
            <w:tcW w:type="dxa" w:w="1701"/>
            <w:vAlign w:val="center"/>
            <w:shd w:fill="273244"/>
            <w:tcMar>
              <w:top w:w="95" w:type="dxa"/>
              <w:left w:w="95" w:type="dxa"/>
              <w:bottom w:w="95" w:type="dxa"/>
              <w:right w:w="95" w:type="dxa"/>
            </w:tcMar>
          </w:tcPr>
          <w:p>
            <w:pPr>
              <w:spacing w:after="20" w:line="264" w:lineRule="auto"/>
            </w:pPr>
            <w:r>
              <w:rPr>
                <w:rFonts w:ascii="Arial" w:hAnsi="Arial"/>
                <w:b/>
                <w:color w:val="FFFFFF"/>
                <w:sz w:val="19"/>
              </w:rPr>
              <w:t>Momen</w:t>
            </w:r>
          </w:p>
        </w:tc>
        <w:tc>
          <w:tcPr>
            <w:tcW w:type="dxa" w:w="3515"/>
            <w:vAlign w:val="center"/>
            <w:shd w:fill="273244"/>
            <w:tcMar>
              <w:top w:w="95" w:type="dxa"/>
              <w:left w:w="95" w:type="dxa"/>
              <w:bottom w:w="95" w:type="dxa"/>
              <w:right w:w="95" w:type="dxa"/>
            </w:tcMar>
          </w:tcPr>
          <w:p>
            <w:pPr>
              <w:spacing w:after="20" w:line="264" w:lineRule="auto"/>
            </w:pPr>
            <w:r>
              <w:rPr>
                <w:rFonts w:ascii="Arial" w:hAnsi="Arial"/>
                <w:b/>
                <w:color w:val="FFFFFF"/>
                <w:sz w:val="19"/>
              </w:rPr>
              <w:t>Contoh pencarian hipotetis</w:t>
            </w:r>
          </w:p>
        </w:tc>
        <w:tc>
          <w:tcPr>
            <w:tcW w:type="dxa" w:w="4309"/>
            <w:vAlign w:val="center"/>
            <w:shd w:fill="273244"/>
            <w:tcMar>
              <w:top w:w="95" w:type="dxa"/>
              <w:left w:w="95" w:type="dxa"/>
              <w:bottom w:w="95" w:type="dxa"/>
              <w:right w:w="95" w:type="dxa"/>
            </w:tcMar>
          </w:tcPr>
          <w:p>
            <w:pPr>
              <w:spacing w:after="20" w:line="264" w:lineRule="auto"/>
            </w:pPr>
            <w:r>
              <w:rPr>
                <w:rFonts w:ascii="Arial" w:hAnsi="Arial"/>
                <w:b/>
                <w:color w:val="FFFFFF"/>
                <w:sz w:val="19"/>
              </w:rPr>
              <w:t>Jawaban yang dibutuhkan</w:t>
            </w:r>
          </w:p>
        </w:tc>
      </w:tr>
      <w:tr>
        <w:trPr>
          <w:cantSplit/>
        </w:trPr>
        <w:tc>
          <w:tcPr>
            <w:tcW w:type="dxa" w:w="1701"/>
            <w:vAlign w:val="center"/>
            <w:shd w:fill="F3F5F7"/>
            <w:tcMar>
              <w:top w:w="95" w:type="dxa"/>
              <w:left w:w="95" w:type="dxa"/>
              <w:bottom w:w="95" w:type="dxa"/>
              <w:right w:w="95" w:type="dxa"/>
            </w:tcMar>
          </w:tcPr>
          <w:p>
            <w:pPr>
              <w:spacing w:after="20" w:line="264" w:lineRule="auto"/>
            </w:pPr>
            <w:r>
              <w:rPr>
                <w:rFonts w:ascii="Arial" w:hAnsi="Arial"/>
                <w:b w:val="0"/>
                <w:color w:val="000000"/>
                <w:sz w:val="19"/>
              </w:rPr>
              <w:t>Discover</w:t>
            </w:r>
          </w:p>
        </w:tc>
        <w:tc>
          <w:tcPr>
            <w:tcW w:type="dxa" w:w="3515"/>
            <w:vAlign w:val="center"/>
            <w:shd w:fill="F3F5F7"/>
            <w:tcMar>
              <w:top w:w="95" w:type="dxa"/>
              <w:left w:w="95" w:type="dxa"/>
              <w:bottom w:w="95" w:type="dxa"/>
              <w:right w:w="95" w:type="dxa"/>
            </w:tcMar>
          </w:tcPr>
          <w:p>
            <w:pPr>
              <w:spacing w:after="20" w:line="264" w:lineRule="auto"/>
            </w:pPr>
            <w:r>
              <w:rPr>
                <w:rFonts w:ascii="Arial" w:hAnsi="Arial"/>
                <w:b w:val="0"/>
                <w:color w:val="000000"/>
                <w:sz w:val="19"/>
              </w:rPr>
              <w:t>AC kantor sering bermasalah</w:t>
            </w:r>
          </w:p>
        </w:tc>
        <w:tc>
          <w:tcPr>
            <w:tcW w:type="dxa" w:w="4309"/>
            <w:vAlign w:val="center"/>
            <w:shd w:fill="F3F5F7"/>
            <w:tcMar>
              <w:top w:w="95" w:type="dxa"/>
              <w:left w:w="95" w:type="dxa"/>
              <w:bottom w:w="95" w:type="dxa"/>
              <w:right w:w="95" w:type="dxa"/>
            </w:tcMar>
          </w:tcPr>
          <w:p>
            <w:pPr>
              <w:spacing w:after="20" w:line="264" w:lineRule="auto"/>
            </w:pPr>
            <w:r>
              <w:rPr>
                <w:rFonts w:ascii="Arial" w:hAnsi="Arial"/>
                <w:b w:val="0"/>
                <w:color w:val="000000"/>
                <w:sz w:val="19"/>
              </w:rPr>
              <w:t>Cara memahami masalah dan kapan perlu bantuan penyedia jasa.</w:t>
            </w:r>
          </w:p>
        </w:tc>
      </w:tr>
      <w:tr>
        <w:trPr>
          <w:cantSplit/>
        </w:trPr>
        <w:tc>
          <w:tcPr>
            <w:tcW w:type="dxa" w:w="1701"/>
            <w:vAlign w:val="center"/>
            <w:shd w:fill="FFFFFF"/>
            <w:tcMar>
              <w:top w:w="95" w:type="dxa"/>
              <w:left w:w="95" w:type="dxa"/>
              <w:bottom w:w="95" w:type="dxa"/>
              <w:right w:w="95" w:type="dxa"/>
            </w:tcMar>
          </w:tcPr>
          <w:p>
            <w:pPr>
              <w:spacing w:after="20" w:line="264" w:lineRule="auto"/>
            </w:pPr>
            <w:r>
              <w:rPr>
                <w:rFonts w:ascii="Arial" w:hAnsi="Arial"/>
                <w:b w:val="0"/>
                <w:color w:val="000000"/>
                <w:sz w:val="19"/>
              </w:rPr>
              <w:t>Learn</w:t>
            </w:r>
          </w:p>
        </w:tc>
        <w:tc>
          <w:tcPr>
            <w:tcW w:type="dxa" w:w="3515"/>
            <w:vAlign w:val="center"/>
            <w:shd w:fill="FFFFFF"/>
            <w:tcMar>
              <w:top w:w="95" w:type="dxa"/>
              <w:left w:w="95" w:type="dxa"/>
              <w:bottom w:w="95" w:type="dxa"/>
              <w:right w:w="95" w:type="dxa"/>
            </w:tcMar>
          </w:tcPr>
          <w:p>
            <w:pPr>
              <w:spacing w:after="20" w:line="264" w:lineRule="auto"/>
            </w:pPr>
            <w:r>
              <w:rPr>
                <w:rFonts w:ascii="Arial" w:hAnsi="Arial"/>
                <w:b w:val="0"/>
                <w:color w:val="000000"/>
                <w:sz w:val="19"/>
              </w:rPr>
              <w:t>Perawatan AC kantor berkala mencakup apa</w:t>
            </w:r>
          </w:p>
        </w:tc>
        <w:tc>
          <w:tcPr>
            <w:tcW w:type="dxa" w:w="4309"/>
            <w:vAlign w:val="center"/>
            <w:shd w:fill="FFFFFF"/>
            <w:tcMar>
              <w:top w:w="95" w:type="dxa"/>
              <w:left w:w="95" w:type="dxa"/>
              <w:bottom w:w="95" w:type="dxa"/>
              <w:right w:w="95" w:type="dxa"/>
            </w:tcMar>
          </w:tcPr>
          <w:p>
            <w:pPr>
              <w:spacing w:after="20" w:line="264" w:lineRule="auto"/>
            </w:pPr>
            <w:r>
              <w:rPr>
                <w:rFonts w:ascii="Arial" w:hAnsi="Arial"/>
                <w:b w:val="0"/>
                <w:color w:val="000000"/>
                <w:sz w:val="19"/>
              </w:rPr>
              <w:t>Penjelasan lingkup perawatan dan informasi yang perlu disiapkan.</w:t>
            </w:r>
          </w:p>
        </w:tc>
      </w:tr>
      <w:tr>
        <w:trPr>
          <w:cantSplit/>
        </w:trPr>
        <w:tc>
          <w:tcPr>
            <w:tcW w:type="dxa" w:w="1701"/>
            <w:vAlign w:val="center"/>
            <w:shd w:fill="F3F5F7"/>
            <w:tcMar>
              <w:top w:w="95" w:type="dxa"/>
              <w:left w:w="95" w:type="dxa"/>
              <w:bottom w:w="95" w:type="dxa"/>
              <w:right w:w="95" w:type="dxa"/>
            </w:tcMar>
          </w:tcPr>
          <w:p>
            <w:r>
              <w:rPr>
                <w:rFonts w:ascii="Arial" w:hAnsi="Arial"/>
                <w:sz w:val="19"/>
              </w:rPr>
              <w:t>Compare/</w:t>
              <w:br/>
              <w:t>Validate</w:t>
            </w:r>
          </w:p>
        </w:tc>
        <w:tc>
          <w:tcPr>
            <w:tcW w:type="dxa" w:w="3515"/>
            <w:vAlign w:val="center"/>
            <w:shd w:fill="F3F5F7"/>
            <w:tcMar>
              <w:top w:w="95" w:type="dxa"/>
              <w:left w:w="95" w:type="dxa"/>
              <w:bottom w:w="95" w:type="dxa"/>
              <w:right w:w="95" w:type="dxa"/>
            </w:tcMar>
          </w:tcPr>
          <w:p>
            <w:pPr>
              <w:spacing w:after="20" w:line="264" w:lineRule="auto"/>
            </w:pPr>
            <w:r>
              <w:rPr>
                <w:rFonts w:ascii="Arial" w:hAnsi="Arial"/>
                <w:b w:val="0"/>
                <w:color w:val="000000"/>
                <w:sz w:val="19"/>
              </w:rPr>
              <w:t>Vendor perawatan AC kantor dan cakupan layanan</w:t>
            </w:r>
          </w:p>
        </w:tc>
        <w:tc>
          <w:tcPr>
            <w:tcW w:type="dxa" w:w="4309"/>
            <w:vAlign w:val="center"/>
            <w:shd w:fill="F3F5F7"/>
            <w:tcMar>
              <w:top w:w="95" w:type="dxa"/>
              <w:left w:w="95" w:type="dxa"/>
              <w:bottom w:w="95" w:type="dxa"/>
              <w:right w:w="95" w:type="dxa"/>
            </w:tcMar>
          </w:tcPr>
          <w:p>
            <w:pPr>
              <w:spacing w:after="20" w:line="264" w:lineRule="auto"/>
            </w:pPr>
            <w:r>
              <w:rPr>
                <w:rFonts w:ascii="Arial" w:hAnsi="Arial"/>
                <w:b w:val="0"/>
                <w:color w:val="000000"/>
                <w:sz w:val="19"/>
              </w:rPr>
              <w:t>Area layanan, ruang lingkup, batas pekerjaan, serta bukti relevan yang dapat diverifikasi.</w:t>
            </w:r>
          </w:p>
        </w:tc>
      </w:tr>
      <w:tr>
        <w:trPr>
          <w:cantSplit/>
        </w:trPr>
        <w:tc>
          <w:tcPr>
            <w:tcW w:type="dxa" w:w="1701"/>
            <w:vAlign w:val="center"/>
            <w:shd w:fill="FFFFFF"/>
            <w:tcMar>
              <w:top w:w="95" w:type="dxa"/>
              <w:left w:w="95" w:type="dxa"/>
              <w:bottom w:w="95" w:type="dxa"/>
              <w:right w:w="95" w:type="dxa"/>
            </w:tcMar>
          </w:tcPr>
          <w:p>
            <w:pPr>
              <w:spacing w:after="20" w:line="264" w:lineRule="auto"/>
            </w:pPr>
            <w:r>
              <w:rPr>
                <w:rFonts w:ascii="Arial" w:hAnsi="Arial"/>
                <w:b w:val="0"/>
                <w:color w:val="000000"/>
                <w:sz w:val="19"/>
              </w:rPr>
              <w:t>Act</w:t>
            </w:r>
          </w:p>
        </w:tc>
        <w:tc>
          <w:tcPr>
            <w:tcW w:type="dxa" w:w="3515"/>
            <w:vAlign w:val="center"/>
            <w:shd w:fill="FFFFFF"/>
            <w:tcMar>
              <w:top w:w="95" w:type="dxa"/>
              <w:left w:w="95" w:type="dxa"/>
              <w:bottom w:w="95" w:type="dxa"/>
              <w:right w:w="95" w:type="dxa"/>
            </w:tcMar>
          </w:tcPr>
          <w:p>
            <w:pPr>
              <w:spacing w:after="20" w:line="264" w:lineRule="auto"/>
            </w:pPr>
            <w:r>
              <w:rPr>
                <w:rFonts w:ascii="Arial" w:hAnsi="Arial"/>
                <w:b w:val="0"/>
                <w:color w:val="000000"/>
                <w:sz w:val="19"/>
              </w:rPr>
              <w:t>Permintaan survei perawatan AC kantor</w:t>
            </w:r>
          </w:p>
        </w:tc>
        <w:tc>
          <w:tcPr>
            <w:tcW w:type="dxa" w:w="4309"/>
            <w:vAlign w:val="center"/>
            <w:shd w:fill="FFFFFF"/>
            <w:tcMar>
              <w:top w:w="95" w:type="dxa"/>
              <w:left w:w="95" w:type="dxa"/>
              <w:bottom w:w="95" w:type="dxa"/>
              <w:right w:w="95" w:type="dxa"/>
            </w:tcMar>
          </w:tcPr>
          <w:p>
            <w:pPr>
              <w:spacing w:after="20" w:line="264" w:lineRule="auto"/>
            </w:pPr>
            <w:r>
              <w:rPr>
                <w:rFonts w:ascii="Arial" w:hAnsi="Arial"/>
                <w:b w:val="0"/>
                <w:color w:val="000000"/>
                <w:sz w:val="19"/>
              </w:rPr>
              <w:t>Cara mengirim kebutuhan dan kejelasan proses tindak lanjut.</w:t>
            </w:r>
          </w:p>
        </w:tc>
      </w:tr>
    </w:tbl>
    <w:p>
      <w:pPr>
        <w:spacing w:after="20"/>
      </w:pPr>
    </w:p>
    <w:p>
      <w:r>
        <w:rPr>
          <w:rFonts w:ascii="Arial" w:hAnsi="Arial"/>
          <w:color w:val="000000"/>
        </w:rPr>
        <w:t>Pada momen Learn, calon pembeli masih membutuhkan pemahaman sebelum membandingkan penawaran. Jika halaman hanya berisi ajakan meminta harga, sebagian ketidakpastiannya belum terjawab. Pada Compare/Validate, penjelasan umum juga mungkin belum cukup: ia perlu mengetahui apakah kantor di lokasinya dapat dilayani dan apa yang termasuk dalam pekerjaan. Isi yang diperlukan berubah karena keputusan yang dihadapi berubah.</w:t>
      </w:r>
    </w:p>
    <w:p>
      <w:r>
        <w:rPr>
          <w:rFonts w:ascii="Arial" w:hAnsi="Arial"/>
          <w:color w:val="000000"/>
        </w:rPr>
        <w:t>Sekarang kita isi satu bagian worksheet. Momen yang dipilih adalah Compare/Validate. Pertanyaan calon pembeli: apakah vendor melayani lokasi kantor dan kebutuhan perawatan kami? Jawaban atau bukti yang perlu tersedia: area layanan dan batas cakupan yang jelas. Dalam skenario ini, saat meninjau halaman, kita menemukan tombol kontak tetapi tidak menemukan informasi area layanan. Itu observasi tentang isi halaman. Dugaan bahwa calon pembeli akhirnya batal menghubungi tetap merupakan hipotesis, yaitu penjelasan sementara yang perlu diperiksa.</w:t>
      </w:r>
    </w:p>
    <w:p>
      <w:r>
        <w:rPr>
          <w:rFonts w:ascii="Arial" w:hAnsi="Arial"/>
          <w:color w:val="000000"/>
        </w:rPr>
        <w:t>Langkah bukti berikutnya adalah meninjau pertanyaan yang benar-benar diterima tim dan meminta penjelasan dari orang yang menangani inquiry: apakah lokasi layanan memang sering perlu diklarifikasi? Jika ya, informasi tersebut layak diperjelas. Jika tidak, kita perlu melihat kebutuhan lain yang lebih menentukan. Kita belum dapat menyimpulkan bahwa tambahan informasi pasti menaikkan inquiry, apalagi menghitung nilai penjualannya.</w:t>
      </w:r>
    </w:p>
    <w:p>
      <w:r>
        <w:rPr>
          <w:rFonts w:ascii="Arial" w:hAnsi="Arial"/>
          <w:color w:val="000000"/>
        </w:rPr>
        <w:t>Misalkan kemudian ada permintaan survei yang masuk. Tim masih harus memeriksa lokasi, jenis kebutuhan, dan kesiapan langkah lanjutan. Baru setelah itu peluang dapat dinilai sesuai dengan kriteria bisnis. Logika ini menunjukkan mengapa pencarian yang tampak komersial dan tombol kontak yang terlihat jelas tetap belum menjamin adanya penjualan.</w:t>
      </w:r>
    </w:p>
    <w:p>
      <w:r>
        <w:rPr>
          <w:rFonts w:ascii="Arial" w:hAnsi="Arial"/>
          <w:color w:val="000000"/>
        </w:rPr>
        <w:t>Untuk menerapkan modelnya, pilih satu layanan utama pada Search-to-Sales Mapping Worksheet bagian C01L01. Jawab empat pertanyaan tentang Discover, Learn, Compare/Validate, dan Act. Gunakan pertanyaan yang pernah didengar dari calon pelanggan bila tersedia. Jika jawabannya masih perkiraan, tandai sebagai hipotesis; jika belum diketahui, tulis belum diketahui. Jangan mengisi kepastian hanya untuk menyelesaikan formulir.</w:t>
      </w:r>
    </w:p>
    <w:p>
      <w:r>
        <w:rPr>
          <w:rFonts w:ascii="Arial" w:hAnsi="Arial"/>
          <w:color w:val="000000"/>
        </w:rPr>
        <w:t>Setelah itu, pilih satu pertanyaan yang belum terjawab dengan baik. Catat apa yang benar-benar terlihat, apa yang masih kita duga, dan bukti apa yang dapat membedakannya. Peta awal dianggap berguna ketika kita dapat menjelaskan satu gap dan pemeriksaan berikutnya. Ini bukan skor potensi pasar atau rekomendasi membuat konten secara otomatis.</w:t>
      </w:r>
    </w:p>
    <w:p>
      <w:r>
        <w:rPr>
          <w:rFonts w:ascii="Arial" w:hAnsi="Arial"/>
          <w:color w:val="000000"/>
        </w:rPr>
        <w:t>Search juga belum tentu menjadi prioritas pekerjaan pertama. Jika kita belum tahu apakah calon pembeli memakai search untuk masalah ini, periksa perilaku mereka terlebih dahulu. Jika inquiry yang relevan sudah masuk tetapi respons bisnis tertunda, proses tindak lanjut perlu diperiksa sebelum menambah traffic. Google sendiri tidak menjanjikan ranking pertama atau dampak yang sama untuk setiap perubahan website. [S1]</w:t>
      </w:r>
    </w:p>
    <w:p>
      <w:r>
        <w:rPr>
          <w:rFonts w:ascii="Arial" w:hAnsi="Arial"/>
          <w:color w:val="000000"/>
        </w:rPr>
        <w:t>Pengetahuan untuk membuat peta awal dan memeriksa pertanyaannya tersedia penuh dalam materi ini. Menentukan besarnya pasar, menyusun dataset keyword, meneliti kompetitor, membuat model attribution, dan menghitung prioritas peluang membutuhkan riset khusus bisnis. Itu merupakan batas pekerjaan layanan pada C01L01. Learner dapat melanjutkannya bersama tim internal atau penyedia jasa sesuai kebutuhan; menggunakan Kultivate bukan syarat untuk memahami atau menerapkan kerangka dasarnya.</w:t>
      </w:r>
    </w:p>
    <w:p>
      <w:r>
        <w:rPr>
          <w:rFonts w:ascii="Arial" w:hAnsi="Arial"/>
          <w:b/>
          <w:color w:val="000000"/>
        </w:rPr>
        <w:t>Inti yang dibawa pulang:</w:t>
      </w:r>
      <w:r>
        <w:rPr>
          <w:rFonts w:ascii="Arial" w:hAnsi="Arial"/>
          <w:color w:val="000000"/>
        </w:rPr>
        <w:t xml:space="preserve"> Nilai search dari keputusan calon pembeli yang dibantunya, lalu periksa bukti menuju inquiry yang sesuai. Traffic saja belum membuktikan peluang bisnis.</w:t>
      </w:r>
    </w:p>
    <w:p>
      <w:r>
        <w:rPr>
          <w:rFonts w:ascii="Arial" w:hAnsi="Arial"/>
          <w:color w:val="000000"/>
        </w:rPr>
        <w:t>Langkah berikutnya adalah Lesson 02, Map Customer Demand Before Choosing Keywords atau Petakan Demand Pelanggan Sebelum Memilih Keyword. Di sana kita mulai menyusun kebutuhan dan pertanyaan pelanggan secara lebih teratur. Worksheet C01L01 dapat dibawa sebagai catatan awal, dan tetap bersifat opsional.</w:t>
      </w:r>
    </w:p>
    <w:p>
      <w:pPr>
        <w:pStyle w:val="Heading1"/>
        <w:pageBreakBefore/>
      </w:pPr>
      <w:r>
        <w:t>Referensi dan catatan sumber</w:t>
      </w:r>
    </w:p>
    <w:p>
      <w:r>
        <w:rPr>
          <w:rFonts w:ascii="Arial" w:hAnsi="Arial"/>
          <w:color w:val="000000"/>
        </w:rPr>
        <w:t>Sumber web berikut diperiksa pada 14 September 2026. Penanda S merujuk fakta atau batas definisi dalam materi. Framework, pertanyaan evaluasi, dan penerapan contoh merupakan reasoning Kultivate. T1 dan T2 dipakai untuk desain pengajaran, bukan untuk membuktikan hasil bisnis.</w:t>
      </w:r>
    </w:p>
    <w:p>
      <w:pPr>
        <w:keepNext/>
        <w:spacing w:after="60"/>
      </w:pPr>
      <w:hyperlink r:id="rId11">
        <w:r>
          <w:rPr>
            <w:color w:val="174F86"/>
            <w:sz w:val="20"/>
          </w:rPr>
          <w:t>S1  Google Search Central — SEO Starter Guide</w:t>
        </w:r>
      </w:hyperlink>
    </w:p>
    <w:p>
      <w:r>
        <w:rPr>
          <w:rFonts w:ascii="Arial" w:hAnsi="Arial"/>
          <w:color w:val="000000"/>
          <w:sz w:val="18"/>
        </w:rPr>
        <w:t>Diperbarui 10 Desember 2025. Definisi SEO, kegunaan konten, dan batas jaminan ranking. Dipakai di Bab 1 dan 4.</w:t>
      </w:r>
    </w:p>
    <w:p>
      <w:pPr>
        <w:keepNext/>
        <w:spacing w:after="60"/>
      </w:pPr>
      <w:hyperlink r:id="rId12">
        <w:r>
          <w:rPr>
            <w:color w:val="174F86"/>
            <w:sz w:val="20"/>
          </w:rPr>
          <w:t>S2  Google Search Console Help — What are impressions position and clicks</w:t>
        </w:r>
      </w:hyperlink>
    </w:p>
    <w:p>
      <w:r>
        <w:rPr>
          <w:rFonts w:ascii="Arial" w:hAnsi="Arial"/>
          <w:color w:val="000000"/>
          <w:sz w:val="18"/>
        </w:rPr>
        <w:t>Tanggal pembaruan tidak ditampilkan. Definisi impressions dan clicks bergantung pada jenis hasil. Dipakai di Bab 3.</w:t>
      </w:r>
    </w:p>
    <w:p>
      <w:pPr>
        <w:keepNext/>
        <w:spacing w:after="60"/>
      </w:pPr>
      <w:hyperlink r:id="rId13">
        <w:r>
          <w:rPr>
            <w:color w:val="174F86"/>
            <w:sz w:val="20"/>
          </w:rPr>
          <w:t>S3  Google Analytics Help — About key events</w:t>
        </w:r>
      </w:hyperlink>
    </w:p>
    <w:p>
      <w:r>
        <w:rPr>
          <w:rFonts w:ascii="Arial" w:hAnsi="Arial"/>
          <w:color w:val="000000"/>
          <w:sz w:val="18"/>
        </w:rPr>
        <w:t>Tanggal pembaruan tidak ditampilkan. Key event merekam tindakan yang dianggap penting bagi bisnis. Label ini tidak otomatis menilai kelayakan calon pembeli. Dipakai di Bab 3.</w:t>
      </w:r>
    </w:p>
    <w:p>
      <w:pPr>
        <w:keepNext/>
        <w:spacing w:after="60"/>
      </w:pPr>
      <w:hyperlink r:id="rId14">
        <w:r>
          <w:rPr>
            <w:color w:val="174F86"/>
            <w:sz w:val="20"/>
          </w:rPr>
          <w:t>S4  Think with Google — Decoding Decisions Making sense of the messy middle</w:t>
        </w:r>
      </w:hyperlink>
    </w:p>
    <w:p>
      <w:r>
        <w:rPr>
          <w:rFonts w:ascii="Arial" w:hAnsi="Arial"/>
          <w:color w:val="000000"/>
          <w:sz w:val="18"/>
        </w:rPr>
        <w:t>Edisi Local Results Netherlands, halaman PDF 3, 5–6. Tanggal publikasi tidak tercantum. Menjelaskan eksplorasi dan evaluasi yang berulang. Penelitian konsumen ini bukan validasi langsung atas seluruh proses pembelian B2B Indonesia. Dipakai sebagai batas model di Bab 2.</w:t>
      </w:r>
    </w:p>
    <w:p>
      <w:pPr>
        <w:keepNext/>
        <w:spacing w:after="60"/>
      </w:pPr>
      <w:hyperlink r:id="rId15">
        <w:r>
          <w:rPr>
            <w:color w:val="174F86"/>
            <w:sz w:val="20"/>
          </w:rPr>
          <w:t>T1  Acquisition.com — Improvise</w:t>
        </w:r>
      </w:hyperlink>
    </w:p>
    <w:p>
      <w:r>
        <w:rPr>
          <w:rFonts w:ascii="Arial" w:hAnsi="Arial"/>
          <w:color w:val="000000"/>
          <w:sz w:val="18"/>
        </w:rPr>
        <w:t>Struktur halaman menunjukkan progression per tahap, resources, dan jalur personalized roadmap. Rujukan struktur pengajaran, bukan sumber fakta SEO atau klaim efektivitas Kultivate.</w:t>
      </w:r>
    </w:p>
    <w:p>
      <w:pPr>
        <w:keepNext/>
        <w:spacing w:after="60"/>
      </w:pPr>
      <w:hyperlink r:id="rId16">
        <w:r>
          <w:rPr>
            <w:color w:val="174F86"/>
            <w:sz w:val="20"/>
          </w:rPr>
          <w:t>T2  Neil Patel — SEO Unlocked</w:t>
        </w:r>
      </w:hyperlink>
    </w:p>
    <w:p>
      <w:r>
        <w:rPr>
          <w:rFonts w:ascii="Arial" w:hAnsi="Arial"/>
          <w:color w:val="000000"/>
          <w:sz w:val="18"/>
        </w:rPr>
        <w:t>Halaman menampilkan phase, week, lesson, itinerary, worksheet, serta layanan. Rujukan hubungan kurikulum dan aplikasi, tanpa meniru copy atau persona.</w:t>
      </w:r>
    </w:p>
    <w:p>
      <w:r>
        <w:rPr>
          <w:rFonts w:ascii="Arial" w:hAnsi="Arial"/>
          <w:color w:val="000000"/>
          <w:sz w:val="18"/>
        </w:rPr>
        <w:t>Fondasi internal: Free Course Content and Consultation Funnel Plan (9 September 2026); Content Planning for 6 Courses / 36 Lessons (11 September 2026); Content Production Master Prompt (11 September 2026); Trust Explanation Framework (11 September 2026). Ketentuan format pada brief revisi dan instruksi terbaru menggantikan arahan lama tentang script, cue, serta bentuk ringkasan modul. Topik, urutan, tujuan resource, dan batas layanan tetap mengikuti fondasi tersebut.</w:t>
      </w:r>
    </w:p>
    <w:sectPr w:rsidR="00FC693F" w:rsidRPr="0006063C" w:rsidSect="00034616">
      <w:headerReference w:type="default" r:id="rId9"/>
      <w:footerReference w:type="default" r:id="rId10"/>
      <w:pgSz w:w="11906" w:h="16838"/>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Kultivate Learn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seo-starter-guide" TargetMode="External"/><Relationship Id="rId12" Type="http://schemas.openxmlformats.org/officeDocument/2006/relationships/hyperlink" Target="https://support.google.com/webmasters/answer/7042828?hl=en" TargetMode="External"/><Relationship Id="rId13" Type="http://schemas.openxmlformats.org/officeDocument/2006/relationships/hyperlink" Target="https://support.google.com/analytics/answer/9267568?hl=en" TargetMode="External"/><Relationship Id="rId14" Type="http://schemas.openxmlformats.org/officeDocument/2006/relationships/hyperlink" Target="https://www.thinkwithgoogle.com/_qs/documents/11071/DecodingDecisions_NL.pdf" TargetMode="External"/><Relationship Id="rId15" Type="http://schemas.openxmlformats.org/officeDocument/2006/relationships/hyperlink" Target="https://www.acquisition.com/training/improvise" TargetMode="External"/><Relationship Id="rId16" Type="http://schemas.openxmlformats.org/officeDocument/2006/relationships/hyperlink" Target="https://neilpatel.com/training/seo-unlock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C01L01 Sample untuk persetujuan</dc:subject>
  <dc:creator>Kultivate</dc:creator>
  <cp:keywords/>
  <dc:description>generated by python-docx</dc:description>
  <cp:lastModifiedBy/>
  <cp:revision>1</cp:revision>
  <dcterms:created xsi:type="dcterms:W3CDTF">2013-12-23T23:15:00Z</dcterms:created>
  <dcterms:modified xsi:type="dcterms:W3CDTF">2013-12-23T23:15:00Z</dcterms:modified>
  <cp:category/>
</cp:coreProperties>
</file>