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F172A"/>
          <w:sz w:val="56"/>
        </w:rPr>
        <w:t>Calm indigo attendance UI</w:t>
      </w:r>
    </w:p>
    <w:p>
      <w:pPr>
        <w:jc w:val="center"/>
      </w:pPr>
      <w:r>
        <w:rPr>
          <w:color w:val="4F46E5"/>
          <w:sz w:val="28"/>
        </w:rPr>
        <w:t>Downloadable visual direction • palette • components • screen recipes</w:t>
      </w:r>
    </w:p>
    <w:p>
      <w:pPr>
        <w:jc w:val="center"/>
      </w:pPr>
      <w:r>
        <w:rPr>
          <w:color w:val="64748B"/>
          <w:sz w:val="20"/>
        </w:rPr>
        <w:t>v1.0 • 06 Oct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F172A"/>
          </w:tcPr>
          <w:p>
            <w:pPr>
              <w:jc w:val="center"/>
            </w:pPr>
            <w:r/>
            <w:r>
              <w:rPr>
                <w:b w:val="0"/>
                <w:color w:val="0F172A"/>
                <w:sz w:val="18"/>
              </w:rPr>
              <w:t xml:space="preserve"> </w:t>
            </w:r>
          </w:p>
        </w:tc>
        <w:tc>
          <w:tcPr>
            <w:tcW w:type="dxa" w:w="2045"/>
            <w:vAlign w:val="center"/>
            <w:shd w:fill="4F46E5"/>
          </w:tcPr>
          <w:p>
            <w:pPr>
              <w:jc w:val="center"/>
            </w:pPr>
            <w:r/>
            <w:r>
              <w:rPr>
                <w:b w:val="0"/>
                <w:color w:val="0F172A"/>
                <w:sz w:val="18"/>
              </w:rPr>
              <w:t xml:space="preserve"> </w:t>
            </w:r>
          </w:p>
        </w:tc>
        <w:tc>
          <w:tcPr>
            <w:tcW w:type="dxa" w:w="2045"/>
            <w:vAlign w:val="center"/>
            <w:shd w:fill="EEF2FF"/>
          </w:tcPr>
          <w:p>
            <w:pPr>
              <w:jc w:val="center"/>
            </w:pPr>
            <w:r/>
            <w:r>
              <w:rPr>
                <w:b w:val="0"/>
                <w:color w:val="0F172A"/>
                <w:sz w:val="18"/>
              </w:rPr>
              <w:t xml:space="preserve"> </w:t>
            </w:r>
          </w:p>
        </w:tc>
        <w:tc>
          <w:tcPr>
            <w:tcW w:type="dxa" w:w="2045"/>
            <w:vAlign w:val="center"/>
            <w:shd w:fill="16A34A"/>
          </w:tcPr>
          <w:p>
            <w:pPr>
              <w:jc w:val="center"/>
            </w:pPr>
            <w:r/>
            <w:r>
              <w:rPr>
                <w:b w:val="0"/>
                <w:color w:val="0F172A"/>
                <w:sz w:val="18"/>
              </w:rPr>
              <w:t xml:space="preserve"> 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jc w:val="center"/>
            </w:pPr>
            <w:r/>
            <w:r>
              <w:rPr>
                <w:b w:val="0"/>
                <w:color w:val="0F172A"/>
                <w:sz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1. Direction decision</w:t>
      </w:r>
    </w:p>
    <w:p>
      <w:r>
        <w:rPr>
          <w:b/>
        </w:rPr>
        <w:t>Use calm indigo as the main product direction. It is the safest campus default: clear for students, credible for lecturers, and restrained enough for admin tools.</w:t>
      </w:r>
    </w:p>
    <w:p>
      <w:pPr>
        <w:pStyle w:val="ListBullet"/>
      </w:pPr>
      <w:r>
        <w:t>Primary color is reserved for one main action per screen and active navigation.</w:t>
      </w:r>
    </w:p>
    <w:p>
      <w:pPr>
        <w:pStyle w:val="ListBullet"/>
      </w:pPr>
      <w:r>
        <w:t>Background stays near-white; cards stay white with thin slate borders.</w:t>
      </w:r>
    </w:p>
    <w:p>
      <w:pPr>
        <w:pStyle w:val="ListBullet"/>
      </w:pPr>
      <w:r>
        <w:t>Status colors are semantic and never decorative.</w:t>
      </w:r>
    </w:p>
    <w:p>
      <w:pPr>
        <w:pStyle w:val="ListBullet"/>
      </w:pPr>
      <w:r>
        <w:t>Text and interaction emphasis stay dark first; accent blue is not used for every link.</w:t>
      </w:r>
    </w:p>
    <w:p>
      <w:pPr>
        <w:pStyle w:val="Heading1"/>
      </w:pPr>
      <w:r>
        <w:t>2. Core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58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115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50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ink</w:t>
            </w:r>
          </w:p>
        </w:tc>
        <w:tc>
          <w:tcPr>
            <w:tcW w:type="dxa" w:w="1584"/>
            <w:vAlign w:val="center"/>
            <w:shd w:fill="#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#0F172A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#0F172A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Primary text, sidebar, high emphasis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primary</w:t>
            </w:r>
          </w:p>
        </w:tc>
        <w:tc>
          <w:tcPr>
            <w:tcW w:type="dxa" w:w="1584"/>
            <w:vAlign w:val="center"/>
            <w:shd w:fill="#4F46E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#4F46E5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#4F46E5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Primary CTA, selected nav, key links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primary soft</w:t>
            </w:r>
          </w:p>
        </w:tc>
        <w:tc>
          <w:tcPr>
            <w:tcW w:type="dxa" w:w="1584"/>
            <w:vAlign w:val="center"/>
            <w:shd w:fill="#EEF2FF"/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#EEF2FF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#EEF2FF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Selected chips, soft active states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bg</w:t>
            </w:r>
          </w:p>
        </w:tc>
        <w:tc>
          <w:tcPr>
            <w:tcW w:type="dxa" w:w="1584"/>
            <w:vAlign w:val="center"/>
            <w:shd w:fill="#F8FAFC"/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#F8FAFC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#F8FAFC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App background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surface</w:t>
            </w:r>
          </w:p>
        </w:tc>
        <w:tc>
          <w:tcPr>
            <w:tcW w:type="dxa" w:w="1584"/>
            <w:vAlign w:val="center"/>
            <w:shd w:fill="#FFFFFF"/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#FFFFFF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#FFFFFF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Cards, modals, tables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border</w:t>
            </w:r>
          </w:p>
        </w:tc>
        <w:tc>
          <w:tcPr>
            <w:tcW w:type="dxa" w:w="1584"/>
            <w:vAlign w:val="center"/>
            <w:shd w:fill="#E2E8F0"/>
          </w:tcPr>
          <w:p>
            <w:pPr>
              <w:jc w:val="center"/>
            </w:pPr>
            <w:r/>
            <w:r>
              <w:rPr>
                <w:b/>
                <w:color w:val="0F172A"/>
                <w:sz w:val="18"/>
              </w:rPr>
              <w:t>#E2E8F0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#E2E8F0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Borders and dividers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muted</w:t>
            </w:r>
          </w:p>
        </w:tc>
        <w:tc>
          <w:tcPr>
            <w:tcW w:type="dxa" w:w="1584"/>
            <w:vAlign w:val="center"/>
            <w:shd w:fill="#64748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#64748B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#64748B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Secondary text</w:t>
            </w:r>
          </w:p>
        </w:tc>
      </w:tr>
    </w:tbl>
    <w:p/>
    <w:p>
      <w:pPr>
        <w:pStyle w:val="Heading1"/>
      </w:pPr>
      <w:r>
        <w:t>3. Semantic status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115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50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meaning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success</w:t>
            </w:r>
          </w:p>
        </w:tc>
        <w:tc>
          <w:tcPr>
            <w:tcW w:type="dxa" w:w="1584"/>
            <w:vAlign w:val="center"/>
            <w:shd w:fill="#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#16A34A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#16A34A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Present, checked in, published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warning</w:t>
            </w:r>
          </w:p>
        </w:tc>
        <w:tc>
          <w:tcPr>
            <w:tcW w:type="dxa" w:w="1584"/>
            <w:vAlign w:val="center"/>
            <w:shd w:fill="#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#D97706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#D97706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Late, pending, review needed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danger</w:t>
            </w:r>
          </w:p>
        </w:tc>
        <w:tc>
          <w:tcPr>
            <w:tcW w:type="dxa" w:w="1584"/>
            <w:vAlign w:val="center"/>
            <w:shd w:fill="#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#DC2626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#DC2626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Absent, error, destructive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info</w:t>
            </w:r>
          </w:p>
        </w:tc>
        <w:tc>
          <w:tcPr>
            <w:tcW w:type="dxa" w:w="1584"/>
            <w:vAlign w:val="center"/>
            <w:shd w:fill="#0284C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#0284C7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#0284C7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Upcoming, neutral notice</w:t>
            </w:r>
          </w:p>
        </w:tc>
      </w:tr>
    </w:tbl>
    <w:p/>
    <w:p>
      <w:pPr>
        <w:pStyle w:val="Heading1"/>
      </w:pPr>
      <w:r>
        <w:t>4. Type, spacing,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76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Font stack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Inter, ui-sans-serif, system-ui, -apple-system, Segoe UI, Roboto, Arial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Page title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28px desktop / 22px mobile, weight 700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Section title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18px desktop / 17px mobile, weight 650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Body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14px, line-height 1.5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Buttons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14px, weight 600, minimum height 44px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Spacing scale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 / 8 / 12 / 16 / 24 / 32 px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Radius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8px inputs/badges, 12px cards, 16px mobile sheets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Shadow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 1px 2px rgba(15,23,42,.06) resting; 0 8px 24px rgba(15,23,42,.10) overlays</w:t>
            </w:r>
          </w:p>
        </w:tc>
      </w:tr>
    </w:tbl>
    <w:p/>
    <w:p>
      <w:pPr>
        <w:pStyle w:val="Heading1"/>
      </w:pPr>
      <w:r>
        <w:t>5. Components</w:t>
      </w:r>
    </w:p>
    <w:p>
      <w:pPr>
        <w:pStyle w:val="Heading2"/>
      </w:pPr>
      <w:r>
        <w:t>Primary button</w:t>
      </w:r>
    </w:p>
    <w:p>
      <w:pPr>
        <w:pStyle w:val="ListBullet"/>
      </w:pPr>
      <w:r>
        <w:t>Fill #4F46E5, white text, radius 8px, height 44px.</w:t>
      </w:r>
    </w:p>
    <w:p>
      <w:pPr>
        <w:pStyle w:val="ListBullet"/>
      </w:pPr>
      <w:r>
        <w:t>Hover #4338CA; disabled state includes helper text.</w:t>
      </w:r>
    </w:p>
    <w:p>
      <w:pPr>
        <w:pStyle w:val="ListBullet"/>
      </w:pPr>
      <w:r>
        <w:t>Only one primary button per screen.</w:t>
      </w:r>
    </w:p>
    <w:p>
      <w:pPr>
        <w:pStyle w:val="Heading2"/>
      </w:pPr>
      <w:r>
        <w:t>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type="dxa" w:w="792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Style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Present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#ECFDF5 background, #16A34A text, dot plus label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Late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#FFFBEB background, #D97706 text, clock plus label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Absent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#FEF2F2 background, #DC2626 text, label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Upcoming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#F1F5F9 background, #64748B text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Pending review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#EFF6FF background, #0284C7 text</w:t>
            </w:r>
          </w:p>
        </w:tc>
      </w:tr>
    </w:tbl>
    <w:p/>
    <w:p>
      <w:pPr>
        <w:pStyle w:val="Heading2"/>
      </w:pPr>
      <w:r>
        <w:t>Cards and forms</w:t>
      </w:r>
    </w:p>
    <w:p>
      <w:pPr>
        <w:pStyle w:val="ListBullet"/>
      </w:pPr>
      <w:r>
        <w:t>Card: white surface, 1px #E2E8F0 border, 12px radius, 16px padding.</w:t>
      </w:r>
    </w:p>
    <w:p>
      <w:pPr>
        <w:pStyle w:val="ListBullet"/>
      </w:pPr>
      <w:r>
        <w:t>Form labels visible; placeholders are examples only.</w:t>
      </w:r>
    </w:p>
    <w:p>
      <w:pPr>
        <w:pStyle w:val="ListBullet"/>
      </w:pPr>
      <w:r>
        <w:t>Errors appear inline under the field and in a top summary for long forms.</w:t>
      </w:r>
    </w:p>
    <w:p>
      <w:pPr>
        <w:pStyle w:val="Heading1"/>
      </w:pPr>
      <w:r>
        <w:t>6. Screen recipes</w:t>
      </w:r>
    </w:p>
    <w:p>
      <w:pPr>
        <w:pStyle w:val="Heading2"/>
      </w:pPr>
      <w:r>
        <w:t>Login</w:t>
      </w:r>
    </w:p>
    <w:p>
      <w:pPr>
        <w:pStyle w:val="ListBullet"/>
      </w:pPr>
      <w:r>
        <w:t>Left brand panel: deep ink background #0F172A with white product promise.</w:t>
      </w:r>
    </w:p>
    <w:p>
      <w:pPr>
        <w:pStyle w:val="ListBullet"/>
      </w:pPr>
      <w:r>
        <w:t>Right form panel on #F8FAFC: email, password, sign-in button in indigo.</w:t>
      </w:r>
    </w:p>
    <w:p>
      <w:pPr>
        <w:pStyle w:val="ListBullet"/>
      </w:pPr>
      <w:r>
        <w:t>Mobile collapses to a compact ink header, then the same form.</w:t>
      </w:r>
    </w:p>
    <w:p>
      <w:pPr>
        <w:pStyle w:val="Heading2"/>
      </w:pPr>
      <w:r>
        <w:t>Student dashboard</w:t>
      </w:r>
    </w:p>
    <w:p>
      <w:pPr>
        <w:pStyle w:val="ListBullet"/>
      </w:pPr>
      <w:r>
        <w:t>Background #F8FAFC; white cards with slate borders.</w:t>
      </w:r>
    </w:p>
    <w:p>
      <w:pPr>
        <w:pStyle w:val="ListBullet"/>
      </w:pPr>
      <w:r>
        <w:t>Next class card leads; one indigo “Scan to check in” button.</w:t>
      </w:r>
    </w:p>
    <w:p>
      <w:pPr>
        <w:pStyle w:val="ListBullet"/>
      </w:pPr>
      <w:r>
        <w:t>Attendance ring uses success/warning/danger semantics; the ring itself can be indigo only as neutral progress.</w:t>
      </w:r>
    </w:p>
    <w:p>
      <w:pPr>
        <w:pStyle w:val="Heading2"/>
      </w:pPr>
      <w:r>
        <w:t>QR check-in</w:t>
      </w:r>
    </w:p>
    <w:p>
      <w:pPr>
        <w:pStyle w:val="ListBullet"/>
      </w:pPr>
      <w:r>
        <w:t>Use a mostly neutral camera screen with an ink scan bracket.</w:t>
      </w:r>
    </w:p>
    <w:p>
      <w:pPr>
        <w:pStyle w:val="ListBullet"/>
      </w:pPr>
      <w:r>
        <w:t>Success uses #16A34A check; invalid uses #DC2626 inline error.</w:t>
      </w:r>
    </w:p>
    <w:p>
      <w:pPr>
        <w:pStyle w:val="ListBullet"/>
      </w:pPr>
      <w:r>
        <w:t>Manual code button stays secondary so scanning remains primary.</w:t>
      </w:r>
    </w:p>
    <w:p>
      <w:pPr>
        <w:pStyle w:val="Heading2"/>
      </w:pPr>
      <w:r>
        <w:t>Lecturer and admin</w:t>
      </w:r>
    </w:p>
    <w:p>
      <w:pPr>
        <w:pStyle w:val="ListBullet"/>
      </w:pPr>
      <w:r>
        <w:t>Same shell, denser tables. Keep admin actions neutral with red reserved for destructive confirmation.</w:t>
      </w:r>
    </w:p>
    <w:p>
      <w:pPr>
        <w:pStyle w:val="ListBullet"/>
      </w:pPr>
      <w:r>
        <w:t>Lecturer live status uses Present/Late/Absent badges; do not recolor the whole row.</w:t>
      </w:r>
    </w:p>
    <w:p>
      <w:pPr>
        <w:pStyle w:val="Heading1"/>
      </w:pPr>
      <w:r>
        <w:t>7. Copy-paste CSS tokens</w:t>
      </w:r>
    </w:p>
    <w:p>
      <w:r>
        <w:rPr>
          <w:rFonts w:ascii="Consolas" w:hAnsi="Consolas" w:eastAsia="Consolas"/>
          <w:sz w:val="18"/>
        </w:rPr>
        <w:t>:root{</w:t>
      </w:r>
    </w:p>
    <w:p>
      <w:r>
        <w:rPr>
          <w:rFonts w:ascii="Consolas" w:hAnsi="Consolas" w:eastAsia="Consolas"/>
          <w:sz w:val="18"/>
        </w:rPr>
        <w:t>--att-bg:#F8FAFC; --att-surface:#FFFFFF; --att-text:#0F172A; --att-muted:#64748B; --att-border:#E2E8F0;</w:t>
      </w:r>
    </w:p>
    <w:p>
      <w:r>
        <w:rPr>
          <w:rFonts w:ascii="Consolas" w:hAnsi="Consolas" w:eastAsia="Consolas"/>
          <w:sz w:val="18"/>
        </w:rPr>
        <w:t>--att-primary:#4F46E5; --att-primary-hover:#4338CA; --att-primary-soft:#EEF2FF;</w:t>
      </w:r>
    </w:p>
    <w:p>
      <w:r>
        <w:rPr>
          <w:rFonts w:ascii="Consolas" w:hAnsi="Consolas" w:eastAsia="Consolas"/>
          <w:sz w:val="18"/>
        </w:rPr>
        <w:t>--att-success:#16A34A; --att-warning:#D97706; --att-danger:#DC2626; --att-info:#0284C7;</w:t>
      </w:r>
    </w:p>
    <w:p>
      <w:r>
        <w:rPr>
          <w:rFonts w:ascii="Consolas" w:hAnsi="Consolas" w:eastAsia="Consolas"/>
          <w:sz w:val="18"/>
        </w:rPr>
        <w:t>--att-sidebar:#0F172A; --att-sidebar-text:#CBD5E1; --att-sidebar-active:#1E293B;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  <w:t>.btn-primary{background:var(--att-primary);color:white;border-radius:8px;min-height:44px}</w:t>
      </w:r>
    </w:p>
    <w:p>
      <w:r>
        <w:rPr>
          <w:rFonts w:ascii="Consolas" w:hAnsi="Consolas" w:eastAsia="Consolas"/>
          <w:sz w:val="18"/>
        </w:rPr>
        <w:t>.btn-primary:hover{background:var(--att-primary-hover)}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Calm indigo attendance UI kit</dc:title>
  <dc:subject/>
  <dc:creator>Kimi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