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v2.16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r>
        <w:tc>
          <w:tcPr>
            <w:tcW w:type="dxa" w:w="950"/>
          </w:tcPr>
          <w:p>
            <w:pPr>
              <w:pStyle w:val="Compact"/>
            </w:pPr>
            <w:r>
              <w:t xml:space="preserve">v2.12</w:t>
            </w:r>
          </w:p>
        </w:tc>
        <w:tc>
          <w:tcPr>
            <w:tcW w:type="dxa" w:w="9130"/>
          </w:tcPr>
          <w:p>
            <w:pPr>
              <w:pStyle w:val="Compact"/>
            </w:pPr>
            <w:r>
              <w:t xml:space="preserve">cross-account access (§4.11). Infrastructure can use assets in other AWS accounts (S3, SQS, SNS, KMS, DynamoDB, secrets, events, private APIs) through approved sharing agreements. Both sides are generated with tag conditions, inside the organization by default, with expiry, revocation and audit.</w:t>
            </w:r>
          </w:p>
        </w:tc>
      </w:tr>
      <w:tr>
        <w:tc>
          <w:tcPr>
            <w:tcW w:type="dxa" w:w="950"/>
          </w:tcPr>
          <w:p>
            <w:pPr>
              <w:pStyle w:val="Compact"/>
            </w:pPr>
            <w:r>
              <w:t xml:space="preserve">v2.13</w:t>
            </w:r>
          </w:p>
        </w:tc>
        <w:tc>
          <w:tcPr>
            <w:tcW w:type="dxa" w:w="9130"/>
          </w:tcPr>
          <w:p>
            <w:pPr>
              <w:pStyle w:val="Compact"/>
            </w:pPr>
            <w:r>
              <w:t xml:space="preserve">sharing by tags (§4.11.1). Providers set</w:t>
            </w:r>
            <w:r>
              <w:t xml:space="preserve"> </w:t>
            </w:r>
            <w:r>
              <w:rPr>
                <w:rStyle w:val="VerbatimChar"/>
              </w:rPr>
              <w:t xml:space="preserve">org:share-scope</w:t>
            </w:r>
            <w:r>
              <w:t xml:space="preserve"> </w:t>
            </w:r>
            <w:r>
              <w:t xml:space="preserve">(product / portfolio / organization) and</w:t>
            </w:r>
            <w:r>
              <w:t xml:space="preserve"> </w:t>
            </w:r>
            <w:r>
              <w:rPr>
                <w:rStyle w:val="VerbatimChar"/>
              </w:rPr>
              <w:t xml:space="preserve">org:share-access</w:t>
            </w:r>
            <w:r>
              <w:t xml:space="preserve"> </w:t>
            </w:r>
            <w:r>
              <w:t xml:space="preserve">on a resource, and any consumer in any account whose tags match (same environment, inside the organization) can connect self-service. Agreements remain for everything tags cannot express.</w:t>
            </w:r>
          </w:p>
        </w:tc>
      </w:tr>
      <w:tr>
        <w:tc>
          <w:tcPr>
            <w:tcW w:type="dxa" w:w="950"/>
          </w:tcPr>
          <w:p>
            <w:pPr>
              <w:pStyle w:val="Compact"/>
            </w:pPr>
            <w:r>
              <w:t xml:space="preserve">v2.14</w:t>
            </w:r>
          </w:p>
        </w:tc>
        <w:tc>
          <w:tcPr>
            <w:tcW w:type="dxa" w:w="9130"/>
          </w:tcPr>
          <w:p>
            <w:pPr>
              <w:pStyle w:val="Compact"/>
            </w:pPr>
            <w:r>
              <w:t xml:space="preserve">all sharing is granted through a sharing approval workflow (§4.11.6). Covers share offers, access requests, agreements, renewal and revocation, with risk-based routing, optional auto-approval within an approved tag offer, recertification and audit.</w:t>
            </w:r>
          </w:p>
        </w:tc>
      </w:tr>
      <w:tr>
        <w:tc>
          <w:tcPr>
            <w:tcW w:type="dxa" w:w="950"/>
          </w:tcPr>
          <w:p>
            <w:pPr>
              <w:pStyle w:val="Compact"/>
            </w:pPr>
            <w:r>
              <w:t xml:space="preserve">v2.15</w:t>
            </w:r>
          </w:p>
        </w:tc>
        <w:tc>
          <w:tcPr>
            <w:tcW w:type="dxa" w:w="9130"/>
          </w:tcPr>
          <w:p>
            <w:pPr>
              <w:pStyle w:val="Compact"/>
            </w:pPr>
            <w:r>
              <w:t xml:space="preserve">Appendix A (§19): a complete set of approval and workflow diagrams (landscape, release in default mode, release decision flow, override, sharing routing, access request, infrastructure change request, configuration change, DR failover, recertification, application release) plus an approval summary table.</w:t>
            </w:r>
          </w:p>
        </w:tc>
      </w:tr>
      <w:tr>
        <w:tc>
          <w:tcPr>
            <w:tcW w:type="dxa" w:w="950"/>
          </w:tcPr>
          <w:p>
            <w:pPr>
              <w:pStyle w:val="Compact"/>
            </w:pPr>
            <w:r>
              <w:t xml:space="preserve">v2.16</w:t>
            </w:r>
          </w:p>
        </w:tc>
        <w:tc>
          <w:tcPr>
            <w:tcW w:type="dxa" w:w="9130"/>
          </w:tcPr>
          <w:p>
            <w:pPr>
              <w:pStyle w:val="Compact"/>
            </w:pPr>
            <w:r>
              <w:t xml:space="preserve">cost centers are admin-configurable for the whole organization (§4.2.1): an org default, then per portfolio, per product and optional project overrides, with inheritance, validation, audit and automatic re-tagging.</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4292"/>
        <w:gridCol w:w="5788"/>
      </w:tblGrid>
      <w:tr>
        <w:trPr>
          <w:tblHeader w:val="on"/>
        </w:trPr>
        <w:tc>
          <w:tcPr>
            <w:tcW w:type="dxa" w:w="4292"/>
          </w:tcPr>
          <w:p>
            <w:pPr>
              <w:pStyle w:val="Compact"/>
            </w:pPr>
            <w:r>
              <w:t xml:space="preserve">Method &amp; path</w:t>
            </w:r>
          </w:p>
        </w:tc>
        <w:tc>
          <w:tcPr>
            <w:tcW w:type="dxa" w:w="5788"/>
          </w:tcPr>
          <w:p>
            <w:pPr>
              <w:pStyle w:val="Compact"/>
            </w:pPr>
            <w:r>
              <w:t xml:space="preserve">Purpose</w:t>
            </w:r>
          </w:p>
        </w:tc>
      </w:tr>
      <w:tr>
        <w:tc>
          <w:tcPr>
            <w:tcW w:type="dxa" w:w="4292"/>
          </w:tcPr>
          <w:p>
            <w:pPr>
              <w:pStyle w:val="Compact"/>
            </w:pPr>
            <w:r>
              <w:rPr>
                <w:rStyle w:val="VerbatimChar"/>
              </w:rPr>
              <w:t xml:space="preserve">GET /v1/org-registry</w:t>
            </w:r>
          </w:p>
        </w:tc>
        <w:tc>
          <w:tcPr>
            <w:tcW w:type="dxa" w:w="5788"/>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4292"/>
          </w:tcPr>
          <w:p>
            <w:pPr>
              <w:pStyle w:val="Compact"/>
            </w:pPr>
            <w:r>
              <w:rPr>
                <w:rStyle w:val="VerbatimChar"/>
              </w:rPr>
              <w:t xml:space="preserve">GET /v1/catalog</w:t>
            </w:r>
          </w:p>
        </w:tc>
        <w:tc>
          <w:tcPr>
            <w:tcW w:type="dxa" w:w="5788"/>
          </w:tcPr>
          <w:p>
            <w:pPr>
              <w:pStyle w:val="Compact"/>
            </w:pPr>
            <w:r>
              <w:t xml:space="preserve">Services that can be selected, their settings and valid connections.</w:t>
            </w:r>
          </w:p>
        </w:tc>
      </w:tr>
      <w:tr>
        <w:tc>
          <w:tcPr>
            <w:tcW w:type="dxa" w:w="4292"/>
          </w:tcPr>
          <w:p>
            <w:pPr>
              <w:pStyle w:val="Compact"/>
            </w:pPr>
            <w:r>
              <w:rPr>
                <w:rStyle w:val="VerbatimChar"/>
              </w:rPr>
              <w:t xml:space="preserve">GET /v1/environments</w:t>
            </w:r>
          </w:p>
        </w:tc>
        <w:tc>
          <w:tcPr>
            <w:tcW w:type="dxa" w:w="5788"/>
          </w:tcPr>
          <w:p>
            <w:pPr>
              <w:pStyle w:val="Compact"/>
            </w:pPr>
            <w:r>
              <w:t xml:space="preserve">Active environments in promotion order (read-only for normal users).</w:t>
            </w:r>
          </w:p>
        </w:tc>
      </w:tr>
      <w:tr>
        <w:tc>
          <w:tcPr>
            <w:tcW w:type="dxa" w:w="4292"/>
          </w:tcPr>
          <w:p>
            <w:pPr>
              <w:pStyle w:val="Compact"/>
            </w:pPr>
            <w:r>
              <w:rPr>
                <w:rStyle w:val="VerbatimChar"/>
              </w:rPr>
              <w:t xml:space="preserve">GET/POST/PUT /v1/admin/environments</w:t>
            </w:r>
          </w:p>
        </w:tc>
        <w:tc>
          <w:tcPr>
            <w:tcW w:type="dxa" w:w="5788"/>
          </w:tcPr>
          <w:p>
            <w:pPr>
              <w:pStyle w:val="Compact"/>
            </w:pPr>
            <w:r>
              <w:rPr>
                <w:b/>
                <w:bCs/>
              </w:rPr>
              <w:t xml:space="preserve">Admin:</w:t>
            </w:r>
            <w:r>
              <w:t xml:space="preserve"> </w:t>
            </w:r>
            <w:r>
              <w:t xml:space="preserve">create, rename (display name), reorder, set profiles, deactivate environments.</w:t>
            </w:r>
          </w:p>
        </w:tc>
      </w:tr>
      <w:tr>
        <w:tc>
          <w:tcPr>
            <w:tcW w:type="dxa" w:w="4292"/>
          </w:tcPr>
          <w:p>
            <w:pPr>
              <w:pStyle w:val="Compact"/>
            </w:pPr>
            <w:r>
              <w:rPr>
                <w:rStyle w:val="VerbatimChar"/>
              </w:rPr>
              <w:t xml:space="preserve">GET/POST/PUT/DELETE /v1/admin/account-bindings</w:t>
            </w:r>
          </w:p>
        </w:tc>
        <w:tc>
          <w:tcPr>
            <w:tcW w:type="dxa" w:w="5788"/>
          </w:tcPr>
          <w:p>
            <w:pPr>
              <w:pStyle w:val="Compact"/>
            </w:pPr>
            <w:r>
              <w:rPr>
                <w:b/>
                <w:bCs/>
              </w:rPr>
              <w:t xml:space="preserve">Admin:</w:t>
            </w:r>
            <w:r>
              <w:t xml:space="preserve"> </w:t>
            </w:r>
            <w:r>
              <w:t xml:space="preserve">map an AWS account ID to an environment for a portfolio/product/region.</w:t>
            </w:r>
          </w:p>
        </w:tc>
      </w:tr>
      <w:tr>
        <w:tc>
          <w:tcPr>
            <w:tcW w:type="dxa" w:w="4292"/>
          </w:tcPr>
          <w:p>
            <w:pPr>
              <w:pStyle w:val="Compact"/>
            </w:pPr>
            <w:r>
              <w:rPr>
                <w:rStyle w:val="VerbatimChar"/>
              </w:rPr>
              <w:t xml:space="preserve">POST /v1/admin/account-bindings/{id}:validate</w:t>
            </w:r>
          </w:p>
        </w:tc>
        <w:tc>
          <w:tcPr>
            <w:tcW w:type="dxa" w:w="5788"/>
          </w:tcPr>
          <w:p>
            <w:pPr>
              <w:pStyle w:val="Compact"/>
            </w:pPr>
            <w:r>
              <w:rPr>
                <w:b/>
                <w:bCs/>
              </w:rPr>
              <w:t xml:space="preserve">Admin:</w:t>
            </w:r>
            <w:r>
              <w:t xml:space="preserve"> </w:t>
            </w:r>
            <w:r>
              <w:t xml:space="preserve">run the onboarding checks (§5.5.3) and report the result.</w:t>
            </w:r>
          </w:p>
        </w:tc>
      </w:tr>
      <w:tr>
        <w:tc>
          <w:tcPr>
            <w:tcW w:type="dxa" w:w="4292"/>
          </w:tcPr>
          <w:p>
            <w:pPr>
              <w:pStyle w:val="Compact"/>
            </w:pPr>
            <w:r>
              <w:rPr>
                <w:rStyle w:val="VerbatimChar"/>
              </w:rPr>
              <w:t xml:space="preserve">POST /v1/projects:preview</w:t>
            </w:r>
          </w:p>
        </w:tc>
        <w:tc>
          <w:tcPr>
            <w:tcW w:type="dxa" w:w="5788"/>
          </w:tcPr>
          <w:p>
            <w:pPr>
              <w:pStyle w:val="Compact"/>
            </w:pPr>
            <w:r>
              <w:t xml:space="preserve">Validate + synthesize, no side effects. Returns files, resolved tags and target accounts per environment.</w:t>
            </w:r>
          </w:p>
        </w:tc>
      </w:tr>
      <w:tr>
        <w:tc>
          <w:tcPr>
            <w:tcW w:type="dxa" w:w="4292"/>
          </w:tcPr>
          <w:p>
            <w:pPr>
              <w:pStyle w:val="Compact"/>
            </w:pPr>
            <w:r>
              <w:rPr>
                <w:rStyle w:val="VerbatimChar"/>
              </w:rPr>
              <w:t xml:space="preserve">POST /v1/projects</w:t>
            </w:r>
          </w:p>
        </w:tc>
        <w:tc>
          <w:tcPr>
            <w:tcW w:type="dxa" w:w="5788"/>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4292"/>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5788"/>
          </w:tcPr>
          <w:p>
            <w:pPr>
              <w:pStyle w:val="Compact"/>
            </w:pPr>
            <w:r>
              <w:t xml:space="preserve">Job + per-environment status (JSON / SSE).</w:t>
            </w:r>
          </w:p>
        </w:tc>
      </w:tr>
      <w:tr>
        <w:tc>
          <w:tcPr>
            <w:tcW w:type="dxa" w:w="4292"/>
          </w:tcPr>
          <w:p>
            <w:pPr>
              <w:pStyle w:val="Compact"/>
            </w:pPr>
            <w:r>
              <w:rPr>
                <w:rStyle w:val="VerbatimChar"/>
              </w:rPr>
              <w:t xml:space="preserve">GET /v1/projects/{id}/releases</w:t>
            </w:r>
          </w:p>
        </w:tc>
        <w:tc>
          <w:tcPr>
            <w:tcW w:type="dxa" w:w="5788"/>
          </w:tcPr>
          <w:p>
            <w:pPr>
              <w:pStyle w:val="Compact"/>
            </w:pPr>
            <w:r>
              <w:t xml:space="preserve">Release console: pipeline view and history per environment (§8.5).</w:t>
            </w:r>
          </w:p>
        </w:tc>
      </w:tr>
      <w:tr>
        <w:tc>
          <w:tcPr>
            <w:tcW w:type="dxa" w:w="4292"/>
          </w:tcPr>
          <w:p>
            <w:pPr>
              <w:pStyle w:val="Compact"/>
            </w:pPr>
            <w:r>
              <w:rPr>
                <w:rStyle w:val="VerbatimChar"/>
              </w:rPr>
              <w:t xml:space="preserve">GET /v1/approvals?mine=true</w:t>
            </w:r>
          </w:p>
        </w:tc>
        <w:tc>
          <w:tcPr>
            <w:tcW w:type="dxa" w:w="5788"/>
          </w:tcPr>
          <w:p>
            <w:pPr>
              <w:pStyle w:val="Compact"/>
            </w:pPr>
            <w:r>
              <w:t xml:space="preserve">Reviewer’s approval inbox.</w:t>
            </w:r>
          </w:p>
        </w:tc>
      </w:tr>
      <w:tr>
        <w:tc>
          <w:tcPr>
            <w:tcW w:type="dxa" w:w="4292"/>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5788"/>
          </w:tcPr>
          <w:p>
            <w:pPr>
              <w:pStyle w:val="Compact"/>
            </w:pPr>
            <w:r>
              <w:t xml:space="preserve">Approve/reject in the UI; the platform submits it to GitHub as the reviewer.</w:t>
            </w:r>
          </w:p>
        </w:tc>
      </w:tr>
      <w:tr>
        <w:tc>
          <w:tcPr>
            <w:tcW w:type="dxa" w:w="4292"/>
          </w:tcPr>
          <w:p>
            <w:pPr>
              <w:pStyle w:val="Compact"/>
            </w:pPr>
            <w:r>
              <w:rPr>
                <w:rStyle w:val="VerbatimChar"/>
              </w:rPr>
              <w:t xml:space="preserve">POST /v1/projects/{id}/environments/{env}:promote</w:t>
            </w:r>
          </w:p>
        </w:tc>
        <w:tc>
          <w:tcPr>
            <w:tcW w:type="dxa" w:w="5788"/>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4292"/>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5788"/>
          </w:tcPr>
          <w:p>
            <w:pPr>
              <w:pStyle w:val="Compact"/>
            </w:pPr>
            <w:r>
              <w:t xml:space="preserve">Request / decide a high-risk change override.</w:t>
            </w:r>
          </w:p>
        </w:tc>
      </w:tr>
      <w:tr>
        <w:tc>
          <w:tcPr>
            <w:tcW w:type="dxa" w:w="4292"/>
          </w:tcPr>
          <w:p>
            <w:pPr>
              <w:pStyle w:val="Compact"/>
            </w:pPr>
            <w:r>
              <w:rPr>
                <w:rStyle w:val="VerbatimChar"/>
              </w:rPr>
              <w:t xml:space="preserve">GET /v1/shareable-resources</w:t>
            </w:r>
          </w:p>
        </w:tc>
        <w:tc>
          <w:tcPr>
            <w:tcW w:type="dxa" w:w="5788"/>
          </w:tcPr>
          <w:p>
            <w:pPr>
              <w:pStyle w:val="Compact"/>
            </w:pPr>
            <w:r>
              <w:t xml:space="preserve">Catalog of resources other projects have marked shareable (§4.11).</w:t>
            </w:r>
          </w:p>
        </w:tc>
      </w:tr>
      <w:tr>
        <w:tc>
          <w:tcPr>
            <w:tcW w:type="dxa" w:w="4292"/>
          </w:tcPr>
          <w:p>
            <w:pPr>
              <w:pStyle w:val="Compact"/>
            </w:pPr>
            <w:r>
              <w:rPr>
                <w:rStyle w:val="VerbatimChar"/>
              </w:rPr>
              <w:t xml:space="preserve">POST /v1/sharing-requests</w:t>
            </w:r>
          </w:p>
        </w:tc>
        <w:tc>
          <w:tcPr>
            <w:tcW w:type="dxa" w:w="5788"/>
          </w:tcPr>
          <w:p>
            <w:pPr>
              <w:pStyle w:val="Compact"/>
            </w:pPr>
            <w:r>
              <w:t xml:space="preserve">Create a sharing request: share offer, access request, agreement, renewal or revocation (§4.11.6).</w:t>
            </w:r>
          </w:p>
        </w:tc>
      </w:tr>
      <w:tr>
        <w:tc>
          <w:tcPr>
            <w:tcW w:type="dxa" w:w="4292"/>
          </w:tcPr>
          <w:p>
            <w:pPr>
              <w:pStyle w:val="Compact"/>
            </w:pPr>
            <w:r>
              <w:rPr>
                <w:rStyle w:val="VerbatimChar"/>
              </w:rPr>
              <w:t xml:space="preserve">GET /v1/sharing-requests?mine=true</w:t>
            </w:r>
            <w:r>
              <w:t xml:space="preserve"> </w:t>
            </w:r>
            <w:r>
              <w:t xml:space="preserve">/</w:t>
            </w:r>
            <w:r>
              <w:t xml:space="preserve"> </w:t>
            </w:r>
            <w:r>
              <w:rPr>
                <w:rStyle w:val="VerbatimChar"/>
              </w:rPr>
              <w:t xml:space="preserve">POST /v1/sharing-requests/{id}:approve</w:t>
            </w:r>
            <w:r>
              <w:t xml:space="preserve"> </w:t>
            </w:r>
            <w:r>
              <w:t xml:space="preserve">/</w:t>
            </w:r>
            <w:r>
              <w:t xml:space="preserve"> </w:t>
            </w:r>
            <w:r>
              <w:rPr>
                <w:rStyle w:val="VerbatimChar"/>
              </w:rPr>
              <w:t xml:space="preserve">:reject</w:t>
            </w:r>
          </w:p>
        </w:tc>
        <w:tc>
          <w:tcPr>
            <w:tcW w:type="dxa" w:w="5788"/>
          </w:tcPr>
          <w:p>
            <w:pPr>
              <w:pStyle w:val="Compact"/>
            </w:pPr>
            <w:r>
              <w:t xml:space="preserve">Sharing approval inbox and decisions.</w:t>
            </w:r>
          </w:p>
        </w:tc>
      </w:tr>
      <w:tr>
        <w:tc>
          <w:tcPr>
            <w:tcW w:type="dxa" w:w="4292"/>
          </w:tcPr>
          <w:p>
            <w:pPr>
              <w:pStyle w:val="Compact"/>
            </w:pPr>
            <w:r>
              <w:rPr>
                <w:rStyle w:val="VerbatimChar"/>
              </w:rPr>
              <w:t xml:space="preserve">POST /v1/github/webhooks</w:t>
            </w:r>
          </w:p>
        </w:tc>
        <w:tc>
          <w:tcPr>
            <w:tcW w:type="dxa" w:w="5788"/>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505"/>
        <w:gridCol w:w="1376"/>
        <w:gridCol w:w="1399"/>
        <w:gridCol w:w="5800"/>
      </w:tblGrid>
      <w:tr>
        <w:trPr>
          <w:tblHeader w:val="on"/>
        </w:trPr>
        <w:tc>
          <w:tcPr>
            <w:tcW w:type="dxa" w:w="1505"/>
          </w:tcPr>
          <w:p>
            <w:pPr>
              <w:pStyle w:val="Compact"/>
            </w:pPr>
            <w:r>
              <w:t xml:space="preserve">Entity</w:t>
            </w:r>
          </w:p>
        </w:tc>
        <w:tc>
          <w:tcPr>
            <w:tcW w:type="dxa" w:w="1376"/>
          </w:tcPr>
          <w:p>
            <w:pPr>
              <w:pStyle w:val="Compact"/>
            </w:pPr>
            <w:r>
              <w:t xml:space="preserve">PK</w:t>
            </w:r>
          </w:p>
        </w:tc>
        <w:tc>
          <w:tcPr>
            <w:tcW w:type="dxa" w:w="1399"/>
          </w:tcPr>
          <w:p>
            <w:pPr>
              <w:pStyle w:val="Compact"/>
            </w:pPr>
            <w:r>
              <w:t xml:space="preserve">SK</w:t>
            </w:r>
          </w:p>
        </w:tc>
        <w:tc>
          <w:tcPr>
            <w:tcW w:type="dxa" w:w="5800"/>
          </w:tcPr>
          <w:p>
            <w:pPr>
              <w:pStyle w:val="Compact"/>
            </w:pPr>
            <w:r>
              <w:t xml:space="preserve">Key attributes</w:t>
            </w:r>
          </w:p>
        </w:tc>
      </w:tr>
      <w:tr>
        <w:tc>
          <w:tcPr>
            <w:tcW w:type="dxa" w:w="1505"/>
          </w:tcPr>
          <w:p>
            <w:pPr>
              <w:pStyle w:val="Compact"/>
            </w:pPr>
            <w:r>
              <w:t xml:space="preserve">Organization settings</w:t>
            </w:r>
          </w:p>
        </w:tc>
        <w:tc>
          <w:tcPr>
            <w:tcW w:type="dxa" w:w="1376"/>
          </w:tcPr>
          <w:p>
            <w:pPr>
              <w:pStyle w:val="Compact"/>
            </w:pPr>
            <w:r>
              <w:rPr>
                <w:rStyle w:val="VerbatimChar"/>
              </w:rPr>
              <w:t xml:space="preserve">CFG#ORG</w:t>
            </w:r>
          </w:p>
        </w:tc>
        <w:tc>
          <w:tcPr>
            <w:tcW w:type="dxa" w:w="1399"/>
          </w:tcPr>
          <w:p>
            <w:pPr>
              <w:pStyle w:val="Compact"/>
            </w:pPr>
            <w:r>
              <w:rPr>
                <w:rStyle w:val="VerbatimChar"/>
              </w:rPr>
              <w:t xml:space="preserve">META</w:t>
            </w:r>
          </w:p>
        </w:tc>
        <w:tc>
          <w:tcPr>
            <w:tcW w:type="dxa" w:w="5800"/>
          </w:tcPr>
          <w:p>
            <w:pPr>
              <w:pStyle w:val="Compact"/>
            </w:pPr>
            <w:r>
              <w:rPr>
                <w:b/>
                <w:bCs/>
              </w:rPr>
              <w:t xml:space="preserve">default cost center</w:t>
            </w:r>
            <w:r>
              <w:t xml:space="preserve">, cost center format rule, version</w:t>
            </w:r>
          </w:p>
        </w:tc>
      </w:tr>
      <w:tr>
        <w:tc>
          <w:tcPr>
            <w:tcW w:type="dxa" w:w="1505"/>
          </w:tcPr>
          <w:p>
            <w:pPr>
              <w:pStyle w:val="Compact"/>
            </w:pPr>
            <w:r>
              <w:t xml:space="preserve">Portfolio</w:t>
            </w:r>
          </w:p>
        </w:tc>
        <w:tc>
          <w:tcPr>
            <w:tcW w:type="dxa" w:w="1376"/>
          </w:tcPr>
          <w:p>
            <w:pPr>
              <w:pStyle w:val="Compact"/>
            </w:pPr>
            <w:r>
              <w:rPr>
                <w:rStyle w:val="VerbatimChar"/>
              </w:rPr>
              <w:t xml:space="preserve">REG#PORTFOLIO</w:t>
            </w:r>
          </w:p>
        </w:tc>
        <w:tc>
          <w:tcPr>
            <w:tcW w:type="dxa" w:w="1399"/>
          </w:tcPr>
          <w:p>
            <w:pPr>
              <w:pStyle w:val="Compact"/>
            </w:pPr>
            <w:r>
              <w:rPr>
                <w:rStyle w:val="VerbatimChar"/>
              </w:rPr>
              <w:t xml:space="preserve">PF#{id}</w:t>
            </w:r>
          </w:p>
        </w:tc>
        <w:tc>
          <w:tcPr>
            <w:tcW w:type="dxa" w:w="5800"/>
          </w:tcPr>
          <w:p>
            <w:pPr>
              <w:pStyle w:val="Compact"/>
            </w:pPr>
            <w:r>
              <w:t xml:space="preserve">displayName, status, owner group,</w:t>
            </w:r>
            <w:r>
              <w:t xml:space="preserve"> </w:t>
            </w:r>
            <w:r>
              <w:rPr>
                <w:b/>
                <w:bCs/>
              </w:rPr>
              <w:t xml:space="preserve">costCenter</w:t>
            </w:r>
            <w:r>
              <w:t xml:space="preserve"> </w:t>
            </w:r>
            <w:r>
              <w:t xml:space="preserve">(optional; inherits the org default)</w:t>
            </w:r>
          </w:p>
        </w:tc>
      </w:tr>
      <w:tr>
        <w:tc>
          <w:tcPr>
            <w:tcW w:type="dxa" w:w="1505"/>
          </w:tcPr>
          <w:p>
            <w:pPr>
              <w:pStyle w:val="Compact"/>
            </w:pPr>
            <w:r>
              <w:t xml:space="preserve">Product/Platform</w:t>
            </w:r>
          </w:p>
        </w:tc>
        <w:tc>
          <w:tcPr>
            <w:tcW w:type="dxa" w:w="1376"/>
          </w:tcPr>
          <w:p>
            <w:pPr>
              <w:pStyle w:val="Compact"/>
            </w:pPr>
            <w:r>
              <w:rPr>
                <w:rStyle w:val="VerbatimChar"/>
              </w:rPr>
              <w:t xml:space="preserve">REG#PF#{portfolioId}</w:t>
            </w:r>
          </w:p>
        </w:tc>
        <w:tc>
          <w:tcPr>
            <w:tcW w:type="dxa" w:w="1399"/>
          </w:tcPr>
          <w:p>
            <w:pPr>
              <w:pStyle w:val="Compact"/>
            </w:pPr>
            <w:r>
              <w:rPr>
                <w:rStyle w:val="VerbatimChar"/>
              </w:rPr>
              <w:t xml:space="preserve">PR#{id}</w:t>
            </w:r>
          </w:p>
        </w:tc>
        <w:tc>
          <w:tcPr>
            <w:tcW w:type="dxa" w:w="5800"/>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(optional; inherits the portfolio’s), classification ceiling, allowed envs, entitled IdP groups, GitHub access team (repo maintain role), GitHub reviewer teams per env</w:t>
            </w:r>
          </w:p>
        </w:tc>
      </w:tr>
      <w:tr>
        <w:tc>
          <w:tcPr>
            <w:tcW w:type="dxa" w:w="1505"/>
          </w:tcPr>
          <w:p>
            <w:pPr>
              <w:pStyle w:val="Compact"/>
            </w:pPr>
            <w:r>
              <w:t xml:space="preserve">Environment</w:t>
            </w:r>
          </w:p>
        </w:tc>
        <w:tc>
          <w:tcPr>
            <w:tcW w:type="dxa" w:w="1376"/>
          </w:tcPr>
          <w:p>
            <w:pPr>
              <w:pStyle w:val="Compact"/>
            </w:pPr>
            <w:r>
              <w:rPr>
                <w:rStyle w:val="VerbatimChar"/>
              </w:rPr>
              <w:t xml:space="preserve">CFG#ENV</w:t>
            </w:r>
          </w:p>
        </w:tc>
        <w:tc>
          <w:tcPr>
            <w:tcW w:type="dxa" w:w="1399"/>
          </w:tcPr>
          <w:p>
            <w:pPr>
              <w:pStyle w:val="Compact"/>
            </w:pPr>
            <w:r>
              <w:rPr>
                <w:rStyle w:val="VerbatimChar"/>
              </w:rPr>
              <w:t xml:space="preserve">ENV#{envId}</w:t>
            </w:r>
          </w:p>
        </w:tc>
        <w:tc>
          <w:tcPr>
            <w:tcW w:type="dxa" w:w="5800"/>
          </w:tcPr>
          <w:p>
            <w:pPr>
              <w:pStyle w:val="Compact"/>
            </w:pPr>
            <w:r>
              <w:t xml:space="preserve">displayName, order, tier, OU, required-gate flag, protection profile, guardrail profile, status, version</w:t>
            </w:r>
          </w:p>
        </w:tc>
      </w:tr>
      <w:tr>
        <w:tc>
          <w:tcPr>
            <w:tcW w:type="dxa" w:w="1505"/>
          </w:tcPr>
          <w:p>
            <w:pPr>
              <w:pStyle w:val="Compact"/>
            </w:pPr>
            <w:r>
              <w:t xml:space="preserve">Account binding</w:t>
            </w:r>
          </w:p>
        </w:tc>
        <w:tc>
          <w:tcPr>
            <w:tcW w:type="dxa" w:w="1376"/>
          </w:tcPr>
          <w:p>
            <w:pPr>
              <w:pStyle w:val="Compact"/>
            </w:pPr>
            <w:r>
              <w:rPr>
                <w:rStyle w:val="VerbatimChar"/>
              </w:rPr>
              <w:t xml:space="preserve">CFG#BIND#{envId}</w:t>
            </w:r>
          </w:p>
        </w:tc>
        <w:tc>
          <w:tcPr>
            <w:tcW w:type="dxa" w:w="1399"/>
          </w:tcPr>
          <w:p>
            <w:pPr>
              <w:pStyle w:val="Compact"/>
            </w:pPr>
            <w:r>
              <w:rPr>
                <w:rStyle w:val="VerbatimChar"/>
              </w:rPr>
              <w:t xml:space="preserve">{scope}#{scopeId}#{region}</w:t>
            </w:r>
          </w:p>
        </w:tc>
        <w:tc>
          <w:tcPr>
            <w:tcW w:type="dxa" w:w="5800"/>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505"/>
          </w:tcPr>
          <w:p>
            <w:pPr>
              <w:pStyle w:val="Compact"/>
            </w:pPr>
            <w:r>
              <w:t xml:space="preserve">Account index (uniqueness)</w:t>
            </w:r>
          </w:p>
        </w:tc>
        <w:tc>
          <w:tcPr>
            <w:tcW w:type="dxa" w:w="1376"/>
          </w:tcPr>
          <w:p>
            <w:pPr>
              <w:pStyle w:val="Compact"/>
            </w:pPr>
            <w:r>
              <w:rPr>
                <w:rStyle w:val="VerbatimChar"/>
              </w:rPr>
              <w:t xml:space="preserve">CFG#ACCT#{accountId}</w:t>
            </w:r>
          </w:p>
        </w:tc>
        <w:tc>
          <w:tcPr>
            <w:tcW w:type="dxa" w:w="1399"/>
          </w:tcPr>
          <w:p>
            <w:pPr>
              <w:pStyle w:val="Compact"/>
            </w:pPr>
            <w:r>
              <w:rPr>
                <w:rStyle w:val="VerbatimChar"/>
              </w:rPr>
              <w:t xml:space="preserve">META</w:t>
            </w:r>
          </w:p>
        </w:tc>
        <w:tc>
          <w:tcPr>
            <w:tcW w:type="dxa" w:w="5800"/>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505"/>
          </w:tcPr>
          <w:p>
            <w:pPr>
              <w:pStyle w:val="Compact"/>
            </w:pPr>
            <w:r>
              <w:t xml:space="preserve">Project</w:t>
            </w:r>
          </w:p>
        </w:tc>
        <w:tc>
          <w:tcPr>
            <w:tcW w:type="dxa" w:w="1376"/>
          </w:tcPr>
          <w:p>
            <w:pPr>
              <w:pStyle w:val="Compact"/>
            </w:pPr>
            <w:r>
              <w:rPr>
                <w:rStyle w:val="VerbatimChar"/>
              </w:rPr>
              <w:t xml:space="preserve">PROJECT#{name}</w:t>
            </w:r>
          </w:p>
        </w:tc>
        <w:tc>
          <w:tcPr>
            <w:tcW w:type="dxa" w:w="1399"/>
          </w:tcPr>
          <w:p>
            <w:pPr>
              <w:pStyle w:val="Compact"/>
            </w:pPr>
            <w:r>
              <w:rPr>
                <w:rStyle w:val="VerbatimChar"/>
              </w:rPr>
              <w:t xml:space="preserve">META</w:t>
            </w:r>
          </w:p>
        </w:tc>
        <w:tc>
          <w:tcPr>
            <w:tcW w:type="dxa" w:w="5800"/>
          </w:tcPr>
          <w:p>
            <w:pPr>
              <w:pStyle w:val="Compact"/>
            </w:pPr>
            <w:r>
              <w:t xml:space="preserve">ownership IDs, repo ID, enabled envs, bootstrap stack IDs per env, catalog version</w:t>
            </w:r>
          </w:p>
        </w:tc>
      </w:tr>
      <w:tr>
        <w:tc>
          <w:tcPr>
            <w:tcW w:type="dxa" w:w="1505"/>
          </w:tcPr>
          <w:p>
            <w:pPr>
              <w:pStyle w:val="Compact"/>
            </w:pPr>
            <w:r>
              <w:t xml:space="preserve">Job</w:t>
            </w:r>
          </w:p>
        </w:tc>
        <w:tc>
          <w:tcPr>
            <w:tcW w:type="dxa" w:w="1376"/>
          </w:tcPr>
          <w:p>
            <w:pPr>
              <w:pStyle w:val="Compact"/>
            </w:pPr>
            <w:r>
              <w:rPr>
                <w:rStyle w:val="VerbatimChar"/>
              </w:rPr>
              <w:t xml:space="preserve">JOB#{jobId}</w:t>
            </w:r>
          </w:p>
        </w:tc>
        <w:tc>
          <w:tcPr>
            <w:tcW w:type="dxa" w:w="1399"/>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800"/>
          </w:tcPr>
          <w:p>
            <w:pPr>
              <w:pStyle w:val="Compact"/>
            </w:pPr>
            <w:r>
              <w:t xml:space="preserve">state, per-step / per-env status, errors, undo state</w:t>
            </w:r>
          </w:p>
        </w:tc>
      </w:tr>
      <w:tr>
        <w:tc>
          <w:tcPr>
            <w:tcW w:type="dxa" w:w="1505"/>
          </w:tcPr>
          <w:p>
            <w:pPr>
              <w:pStyle w:val="Compact"/>
            </w:pPr>
            <w:r>
              <w:t xml:space="preserve">Idempotency</w:t>
            </w:r>
          </w:p>
        </w:tc>
        <w:tc>
          <w:tcPr>
            <w:tcW w:type="dxa" w:w="1376"/>
          </w:tcPr>
          <w:p>
            <w:pPr>
              <w:pStyle w:val="Compact"/>
            </w:pPr>
            <w:r>
              <w:rPr>
                <w:rStyle w:val="VerbatimChar"/>
              </w:rPr>
              <w:t xml:space="preserve">IDEMP#{requestId}</w:t>
            </w:r>
          </w:p>
        </w:tc>
        <w:tc>
          <w:tcPr>
            <w:tcW w:type="dxa" w:w="1399"/>
          </w:tcPr>
          <w:p>
            <w:pPr>
              <w:pStyle w:val="Compact"/>
            </w:pPr>
            <w:r>
              <w:rPr>
                <w:rStyle w:val="VerbatimChar"/>
              </w:rPr>
              <w:t xml:space="preserve">META</w:t>
            </w:r>
          </w:p>
        </w:tc>
        <w:tc>
          <w:tcPr>
            <w:tcW w:type="dxa" w:w="5800"/>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(resolved, with where it comes from, §4.2.1),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3"/>
      </w:pPr>
      <w:r>
        <w:t xml:space="preserve">4.2.1 Cost centers (admin-configurable for the whole organization)</w:t>
      </w:r>
    </w:p>
    <w:p>
      <w:pPr>
        <w:pStyle w:val="FirstParagraph"/>
      </w:pPr>
      <w:r>
        <w:t xml:space="preserve">Platform admins maintain cost centers in the admin screen (</w:t>
      </w:r>
      <w:r>
        <w:rPr>
          <w:b/>
          <w:bCs/>
        </w:rPr>
        <w:t xml:space="preserve">Admin → Cost centers</w:t>
      </w:r>
      <w:r>
        <w:t xml:space="preserve">). Nothing is hardcoded and nothing comes from an external finance system unless imported.</w:t>
      </w:r>
    </w:p>
    <w:tbl>
      <w:tblPr>
        <w:tblStyle w:val="Table"/>
        <w:tblW w:type="dxa" w:w="10080"/>
        <w:tblLayout w:type="fixed"/>
        <w:tblLook w:firstRow="1" w:lastRow="0" w:firstColumn="0" w:lastColumn="0" w:noHBand="0" w:noVBand="0" w:val="0020"/>
      </w:tblPr>
      <w:tblGrid>
        <w:gridCol w:w="1717"/>
        <w:gridCol w:w="3418"/>
        <w:gridCol w:w="4945"/>
      </w:tblGrid>
      <w:tr>
        <w:trPr>
          <w:tblHeader w:val="on"/>
        </w:trPr>
        <w:tc>
          <w:tcPr>
            <w:tcW w:type="dxa" w:w="1717"/>
          </w:tcPr>
          <w:p>
            <w:pPr>
              <w:pStyle w:val="Compact"/>
            </w:pPr>
            <w:r>
              <w:t xml:space="preserve">Level</w:t>
            </w:r>
          </w:p>
        </w:tc>
        <w:tc>
          <w:tcPr>
            <w:tcW w:type="dxa" w:w="3418"/>
          </w:tcPr>
          <w:p>
            <w:pPr>
              <w:pStyle w:val="Compact"/>
            </w:pPr>
            <w:r>
              <w:t xml:space="preserve">Set by</w:t>
            </w:r>
          </w:p>
        </w:tc>
        <w:tc>
          <w:tcPr>
            <w:tcW w:type="dxa" w:w="4945"/>
          </w:tcPr>
          <w:p>
            <w:pPr>
              <w:pStyle w:val="Compact"/>
            </w:pPr>
            <w:r>
              <w:t xml:space="preserve">Rule</w:t>
            </w:r>
          </w:p>
        </w:tc>
      </w:tr>
      <w:tr>
        <w:tc>
          <w:tcPr>
            <w:tcW w:type="dxa" w:w="1717"/>
          </w:tcPr>
          <w:p>
            <w:pPr>
              <w:pStyle w:val="Compact"/>
            </w:pPr>
            <w:r>
              <w:rPr>
                <w:b/>
                <w:bCs/>
              </w:rPr>
              <w:t xml:space="preserve">Organization default</w:t>
            </w:r>
          </w:p>
        </w:tc>
        <w:tc>
          <w:tcPr>
            <w:tcW w:type="dxa" w:w="3418"/>
          </w:tcPr>
          <w:p>
            <w:pPr>
              <w:pStyle w:val="Compact"/>
            </w:pPr>
            <w:r>
              <w:t xml:space="preserve">Platform admin</w:t>
            </w:r>
          </w:p>
        </w:tc>
        <w:tc>
          <w:tcPr>
            <w:tcW w:type="dxa" w:w="4945"/>
          </w:tcPr>
          <w:p>
            <w:pPr>
              <w:pStyle w:val="Compact"/>
            </w:pPr>
            <w:r>
              <w:t xml:space="preserve">Required. Used when nothing more specific is set</w:t>
            </w:r>
          </w:p>
        </w:tc>
      </w:tr>
      <w:tr>
        <w:tc>
          <w:tcPr>
            <w:tcW w:type="dxa" w:w="1717"/>
          </w:tcPr>
          <w:p>
            <w:pPr>
              <w:pStyle w:val="Compact"/>
            </w:pPr>
            <w:r>
              <w:rPr>
                <w:b/>
                <w:bCs/>
              </w:rPr>
              <w:t xml:space="preserve">Portfolio</w:t>
            </w:r>
          </w:p>
        </w:tc>
        <w:tc>
          <w:tcPr>
            <w:tcW w:type="dxa" w:w="3418"/>
          </w:tcPr>
          <w:p>
            <w:pPr>
              <w:pStyle w:val="Compact"/>
            </w:pPr>
            <w:r>
              <w:t xml:space="preserve">Platform admin</w:t>
            </w:r>
          </w:p>
        </w:tc>
        <w:tc>
          <w:tcPr>
            <w:tcW w:type="dxa" w:w="4945"/>
          </w:tcPr>
          <w:p>
            <w:pPr>
              <w:pStyle w:val="Compact"/>
            </w:pPr>
            <w:r>
              <w:t xml:space="preserve">Optional. Overrides the org default for everything in the portfolio</w:t>
            </w:r>
          </w:p>
        </w:tc>
      </w:tr>
      <w:tr>
        <w:tc>
          <w:tcPr>
            <w:tcW w:type="dxa" w:w="1717"/>
          </w:tcPr>
          <w:p>
            <w:pPr>
              <w:pStyle w:val="Compact"/>
            </w:pPr>
            <w:r>
              <w:rPr>
                <w:b/>
                <w:bCs/>
              </w:rPr>
              <w:t xml:space="preserve">Product / Platform</w:t>
            </w:r>
          </w:p>
        </w:tc>
        <w:tc>
          <w:tcPr>
            <w:tcW w:type="dxa" w:w="3418"/>
          </w:tcPr>
          <w:p>
            <w:pPr>
              <w:pStyle w:val="Compact"/>
            </w:pPr>
            <w:r>
              <w:t xml:space="preserve">Platform admin</w:t>
            </w:r>
          </w:p>
        </w:tc>
        <w:tc>
          <w:tcPr>
            <w:tcW w:type="dxa" w:w="4945"/>
          </w:tcPr>
          <w:p>
            <w:pPr>
              <w:pStyle w:val="Compact"/>
            </w:pPr>
            <w:r>
              <w:t xml:space="preserve">Optional. Overrides the portfolio value for that product</w:t>
            </w:r>
          </w:p>
        </w:tc>
      </w:tr>
      <w:tr>
        <w:tc>
          <w:tcPr>
            <w:tcW w:type="dxa" w:w="1717"/>
          </w:tcPr>
          <w:p>
            <w:pPr>
              <w:pStyle w:val="Compact"/>
            </w:pPr>
            <w:r>
              <w:rPr>
                <w:b/>
                <w:bCs/>
              </w:rPr>
              <w:t xml:space="preserve">Project override</w:t>
            </w:r>
          </w:p>
        </w:tc>
        <w:tc>
          <w:tcPr>
            <w:tcW w:type="dxa" w:w="3418"/>
          </w:tcPr>
          <w:p>
            <w:pPr>
              <w:pStyle w:val="Compact"/>
            </w:pPr>
            <w:r>
              <w:t xml:space="preserve">Requested in the project; approved by a platform admin (finance)</w:t>
            </w:r>
          </w:p>
        </w:tc>
        <w:tc>
          <w:tcPr>
            <w:tcW w:type="dxa" w:w="4945"/>
          </w:tcPr>
          <w:p>
            <w:pPr>
              <w:pStyle w:val="Compact"/>
            </w:pPr>
            <w:r>
              <w:t xml:space="preserve">Optional, for exceptions (e.g. a project funded by another budget)</w:t>
            </w:r>
          </w:p>
        </w:tc>
      </w:tr>
    </w:tbl>
    <w:p>
      <w:pPr>
        <w:pStyle w:val="Compact"/>
        <w:numPr>
          <w:ilvl w:val="0"/>
          <w:numId w:val="1006"/>
        </w:numPr>
      </w:pPr>
      <w:r>
        <w:rPr>
          <w:b/>
          <w:bCs/>
        </w:rPr>
        <w:t xml:space="preserve">Resolution:</w:t>
      </w:r>
      <w:r>
        <w:t xml:space="preserve"> </w:t>
      </w:r>
      <w:r>
        <w:t xml:space="preserve">the effective cost center is project override → product → portfolio → org default. The UI always shows the resolved value and</w:t>
      </w:r>
      <w:r>
        <w:t xml:space="preserve"> </w:t>
      </w:r>
      <w:r>
        <w:rPr>
          <w:b/>
          <w:bCs/>
        </w:rPr>
        <w:t xml:space="preserve">where it comes from</w:t>
      </w:r>
      <w:r>
        <w:t xml:space="preserve"> </w:t>
      </w:r>
      <w:r>
        <w:t xml:space="preserve">(e.g. </w:t>
      </w:r>
      <w:r>
        <w:t xml:space="preserve">“CC-4400 · inherited from Payments”</w:t>
      </w:r>
      <w:r>
        <w:t xml:space="preserve">).</w:t>
      </w:r>
    </w:p>
    <w:p>
      <w:pPr>
        <w:pStyle w:val="Compact"/>
        <w:numPr>
          <w:ilvl w:val="0"/>
          <w:numId w:val="1006"/>
        </w:numPr>
      </w:pPr>
      <w:r>
        <w:rPr>
          <w:b/>
          <w:bCs/>
        </w:rPr>
        <w:t xml:space="preserve">Validation:</w:t>
      </w:r>
      <w:r>
        <w:t xml:space="preserve"> </w:t>
      </w:r>
      <w:r>
        <w:t xml:space="preserve">a format rule set in organization settings (default</w:t>
      </w:r>
      <w:r>
        <w:t xml:space="preserve"> </w:t>
      </w:r>
      <w:r>
        <w:rPr>
          <w:rStyle w:val="VerbatimChar"/>
        </w:rPr>
        <w:t xml:space="preserve">^CC-[0-9]{4}$</w:t>
      </w:r>
      <w:r>
        <w:t xml:space="preserve">). Values can also be bulk-imported by CSV/REST, with the same validation.</w:t>
      </w:r>
    </w:p>
    <w:p>
      <w:pPr>
        <w:pStyle w:val="Compact"/>
        <w:numPr>
          <w:ilvl w:val="0"/>
          <w:numId w:val="1006"/>
        </w:numPr>
      </w:pPr>
      <w:r>
        <w:rPr>
          <w:b/>
          <w:bCs/>
        </w:rPr>
        <w:t xml:space="preserve">Propagation:</w:t>
      </w:r>
      <w:r>
        <w:t xml:space="preserve"> </w:t>
      </w:r>
      <w:r>
        <w:t xml:space="preserve">changing a cost center opens</w:t>
      </w:r>
      <w:r>
        <w:t xml:space="preserve"> </w:t>
      </w:r>
      <w:r>
        <w:rPr>
          <w:b/>
          <w:bCs/>
        </w:rPr>
        <w:t xml:space="preserve">tag-update PRs</w:t>
      </w:r>
      <w:r>
        <w:t xml:space="preserve"> </w:t>
      </w:r>
      <w:r>
        <w:t xml:space="preserve">on every affected infrastructure repo. Normal deploys update the stack tags, and CloudFormation re-tags the resources. Nothing is re-tagged by hand. The admin screen shows how many projects a change affects before saving.</w:t>
      </w:r>
    </w:p>
    <w:p>
      <w:pPr>
        <w:pStyle w:val="Compact"/>
        <w:numPr>
          <w:ilvl w:val="0"/>
          <w:numId w:val="1006"/>
        </w:numPr>
      </w:pPr>
      <w:r>
        <w:rPr>
          <w:b/>
          <w:bCs/>
        </w:rPr>
        <w:t xml:space="preserve">Governance:</w:t>
      </w:r>
      <w:r>
        <w:t xml:space="preserve"> </w:t>
      </w:r>
      <w:r>
        <w:t xml:space="preserve">every change is versioned and audited (who, when, old → new). Tag Policies (§4.7) get the list of valid cost centers automatically.</w:t>
      </w:r>
      <w:r>
        <w:t xml:space="preserve"> </w:t>
      </w:r>
      <w:r>
        <w:rPr>
          <w:rStyle w:val="VerbatimChar"/>
        </w:rPr>
        <w:t xml:space="preserve">org:cost-center</w:t>
      </w:r>
      <w:r>
        <w:t xml:space="preserve"> </w:t>
      </w:r>
      <w:r>
        <w:t xml:space="preserve">is activated as a cost allocation tag, so Cost Explorer and the CUR report spend per cost center.</w:t>
      </w:r>
    </w:p>
    <w:p>
      <w:pPr>
        <w:pStyle w:val="Compact"/>
        <w:numPr>
          <w:ilvl w:val="0"/>
          <w:numId w:val="1006"/>
        </w:numPr>
      </w:pPr>
      <w:r>
        <w:rPr>
          <w:b/>
          <w:bCs/>
        </w:rPr>
        <w:t xml:space="preserve">Permissions:</w:t>
      </w:r>
      <w:r>
        <w:t xml:space="preserve"> </w:t>
      </w:r>
      <w:r>
        <w:t xml:space="preserve">cost centers are billing metadata, not a security boundary. They are never used in IAM conditions (§4.5), so changing one never affects access.</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355"/>
        <w:gridCol w:w="1865"/>
        <w:gridCol w:w="2408"/>
        <w:gridCol w:w="950"/>
        <w:gridCol w:w="3502"/>
      </w:tblGrid>
      <w:tr>
        <w:trPr>
          <w:tblHeader w:val="on"/>
        </w:trPr>
        <w:tc>
          <w:tcPr>
            <w:tcW w:type="dxa" w:w="1355"/>
          </w:tcPr>
          <w:p>
            <w:pPr>
              <w:pStyle w:val="Compact"/>
            </w:pPr>
            <w:r>
              <w:t xml:space="preserve">Key</w:t>
            </w:r>
          </w:p>
        </w:tc>
        <w:tc>
          <w:tcPr>
            <w:tcW w:type="dxa" w:w="1865"/>
          </w:tcPr>
          <w:p>
            <w:pPr>
              <w:pStyle w:val="Compact"/>
            </w:pPr>
            <w:r>
              <w:t xml:space="preserve">Example</w:t>
            </w:r>
          </w:p>
        </w:tc>
        <w:tc>
          <w:tcPr>
            <w:tcW w:type="dxa" w:w="2408"/>
          </w:tcPr>
          <w:p>
            <w:pPr>
              <w:pStyle w:val="Compact"/>
            </w:pPr>
            <w:r>
              <w:t xml:space="preserve">Set by</w:t>
            </w:r>
          </w:p>
        </w:tc>
        <w:tc>
          <w:tcPr>
            <w:tcW w:type="dxa" w:w="950"/>
          </w:tcPr>
          <w:p>
            <w:pPr>
              <w:pStyle w:val="Compact"/>
            </w:pPr>
            <w:r>
              <w:t xml:space="preserve">Required</w:t>
            </w:r>
          </w:p>
        </w:tc>
        <w:tc>
          <w:tcPr>
            <w:tcW w:type="dxa" w:w="3502"/>
          </w:tcPr>
          <w:p>
            <w:pPr>
              <w:pStyle w:val="Compact"/>
            </w:pPr>
            <w:r>
              <w:t xml:space="preserve">Used for</w:t>
            </w:r>
          </w:p>
        </w:tc>
      </w:tr>
      <w:tr>
        <w:tc>
          <w:tcPr>
            <w:tcW w:type="dxa" w:w="1355"/>
          </w:tcPr>
          <w:p>
            <w:pPr>
              <w:pStyle w:val="Compact"/>
            </w:pPr>
            <w:r>
              <w:rPr>
                <w:rStyle w:val="VerbatimChar"/>
              </w:rPr>
              <w:t xml:space="preserve">org:portfolio</w:t>
            </w:r>
          </w:p>
        </w:tc>
        <w:tc>
          <w:tcPr>
            <w:tcW w:type="dxa" w:w="1865"/>
          </w:tcPr>
          <w:p>
            <w:pPr>
              <w:pStyle w:val="Compact"/>
            </w:pPr>
            <w:r>
              <w:rPr>
                <w:rStyle w:val="VerbatimChar"/>
              </w:rPr>
              <w:t xml:space="preserve">pf-payments</w:t>
            </w:r>
          </w:p>
        </w:tc>
        <w:tc>
          <w:tcPr>
            <w:tcW w:type="dxa" w:w="2408"/>
          </w:tcPr>
          <w:p>
            <w:pPr>
              <w:pStyle w:val="Compact"/>
            </w:pPr>
            <w:r>
              <w:t xml:space="preserve">Platform (from registry)</w:t>
            </w:r>
          </w:p>
        </w:tc>
        <w:tc>
          <w:tcPr>
            <w:tcW w:type="dxa" w:w="950"/>
          </w:tcPr>
          <w:p>
            <w:pPr>
              <w:pStyle w:val="Compact"/>
            </w:pPr>
            <w:r>
              <w:t xml:space="preserve">Yes</w:t>
            </w:r>
          </w:p>
        </w:tc>
        <w:tc>
          <w:tcPr>
            <w:tcW w:type="dxa" w:w="3502"/>
          </w:tcPr>
          <w:p>
            <w:pPr>
              <w:pStyle w:val="Compact"/>
            </w:pPr>
            <w:r>
              <w:t xml:space="preserve">Cost, guardrails</w:t>
            </w:r>
          </w:p>
        </w:tc>
      </w:tr>
      <w:tr>
        <w:tc>
          <w:tcPr>
            <w:tcW w:type="dxa" w:w="1355"/>
          </w:tcPr>
          <w:p>
            <w:pPr>
              <w:pStyle w:val="Compact"/>
            </w:pPr>
            <w:r>
              <w:rPr>
                <w:rStyle w:val="VerbatimChar"/>
              </w:rPr>
              <w:t xml:space="preserve">org:product</w:t>
            </w:r>
          </w:p>
        </w:tc>
        <w:tc>
          <w:tcPr>
            <w:tcW w:type="dxa" w:w="1865"/>
          </w:tcPr>
          <w:p>
            <w:pPr>
              <w:pStyle w:val="Compact"/>
            </w:pPr>
            <w:r>
              <w:rPr>
                <w:rStyle w:val="VerbatimChar"/>
              </w:rPr>
              <w:t xml:space="preserve">pr-invoicing</w:t>
            </w:r>
          </w:p>
        </w:tc>
        <w:tc>
          <w:tcPr>
            <w:tcW w:type="dxa" w:w="2408"/>
          </w:tcPr>
          <w:p>
            <w:pPr>
              <w:pStyle w:val="Compact"/>
            </w:pPr>
            <w:r>
              <w:t xml:space="preserve">Platform</w:t>
            </w:r>
          </w:p>
        </w:tc>
        <w:tc>
          <w:tcPr>
            <w:tcW w:type="dxa" w:w="950"/>
          </w:tcPr>
          <w:p>
            <w:pPr>
              <w:pStyle w:val="Compact"/>
            </w:pPr>
            <w:r>
              <w:t xml:space="preserve">Yes</w:t>
            </w:r>
          </w:p>
        </w:tc>
        <w:tc>
          <w:tcPr>
            <w:tcW w:type="dxa" w:w="3502"/>
          </w:tcPr>
          <w:p>
            <w:pPr>
              <w:pStyle w:val="Compact"/>
            </w:pPr>
            <w:r>
              <w:t xml:space="preserve">Cost, sharing within a product</w:t>
            </w:r>
          </w:p>
        </w:tc>
      </w:tr>
      <w:tr>
        <w:tc>
          <w:tcPr>
            <w:tcW w:type="dxa" w:w="1355"/>
          </w:tcPr>
          <w:p>
            <w:pPr>
              <w:pStyle w:val="Compact"/>
            </w:pPr>
            <w:r>
              <w:rPr>
                <w:rStyle w:val="VerbatimChar"/>
              </w:rPr>
              <w:t xml:space="preserve">org:project</w:t>
            </w:r>
          </w:p>
        </w:tc>
        <w:tc>
          <w:tcPr>
            <w:tcW w:type="dxa" w:w="1865"/>
          </w:tcPr>
          <w:p>
            <w:pPr>
              <w:pStyle w:val="Compact"/>
            </w:pPr>
            <w:r>
              <w:rPr>
                <w:rStyle w:val="VerbatimChar"/>
              </w:rPr>
              <w:t xml:space="preserve">invoice-ingest</w:t>
            </w:r>
          </w:p>
        </w:tc>
        <w:tc>
          <w:tcPr>
            <w:tcW w:type="dxa" w:w="2408"/>
          </w:tcPr>
          <w:p>
            <w:pPr>
              <w:pStyle w:val="Compact"/>
            </w:pPr>
            <w:r>
              <w:t xml:space="preserve">Platform</w:t>
            </w:r>
          </w:p>
        </w:tc>
        <w:tc>
          <w:tcPr>
            <w:tcW w:type="dxa" w:w="950"/>
          </w:tcPr>
          <w:p>
            <w:pPr>
              <w:pStyle w:val="Compact"/>
            </w:pPr>
            <w:r>
              <w:t xml:space="preserve">Yes</w:t>
            </w:r>
          </w:p>
        </w:tc>
        <w:tc>
          <w:tcPr>
            <w:tcW w:type="dxa" w:w="3502"/>
          </w:tcPr>
          <w:p>
            <w:pPr>
              <w:pStyle w:val="Compact"/>
            </w:pPr>
            <w:r>
              <w:rPr>
                <w:b/>
                <w:bCs/>
              </w:rPr>
              <w:t xml:space="preserve">Primary permission key</w:t>
            </w:r>
          </w:p>
        </w:tc>
      </w:tr>
      <w:tr>
        <w:tc>
          <w:tcPr>
            <w:tcW w:type="dxa" w:w="1355"/>
          </w:tcPr>
          <w:p>
            <w:pPr>
              <w:pStyle w:val="Compact"/>
            </w:pPr>
            <w:r>
              <w:rPr>
                <w:rStyle w:val="VerbatimChar"/>
              </w:rPr>
              <w:t xml:space="preserve">org:environment</w:t>
            </w:r>
          </w:p>
        </w:tc>
        <w:tc>
          <w:tcPr>
            <w:tcW w:type="dxa" w:w="1865"/>
          </w:tcPr>
          <w:p>
            <w:pPr>
              <w:pStyle w:val="Compact"/>
            </w:pPr>
            <w:r>
              <w:rPr>
                <w:rStyle w:val="VerbatimChar"/>
              </w:rPr>
              <w:t xml:space="preserve">dev</w:t>
            </w:r>
          </w:p>
        </w:tc>
        <w:tc>
          <w:tcPr>
            <w:tcW w:type="dxa" w:w="2408"/>
          </w:tcPr>
          <w:p>
            <w:pPr>
              <w:pStyle w:val="Compact"/>
            </w:pPr>
            <w:r>
              <w:t xml:space="preserve">Platform (per account)</w:t>
            </w:r>
          </w:p>
        </w:tc>
        <w:tc>
          <w:tcPr>
            <w:tcW w:type="dxa" w:w="950"/>
          </w:tcPr>
          <w:p>
            <w:pPr>
              <w:pStyle w:val="Compact"/>
            </w:pPr>
            <w:r>
              <w:t xml:space="preserve">Yes</w:t>
            </w:r>
          </w:p>
        </w:tc>
        <w:tc>
          <w:tcPr>
            <w:tcW w:type="dxa" w:w="3502"/>
          </w:tcPr>
          <w:p>
            <w:pPr>
              <w:pStyle w:val="Compact"/>
            </w:pPr>
            <w:r>
              <w:t xml:space="preserve">Must match the account’s environment</w:t>
            </w:r>
          </w:p>
        </w:tc>
      </w:tr>
      <w:tr>
        <w:tc>
          <w:tcPr>
            <w:tcW w:type="dxa" w:w="1355"/>
          </w:tcPr>
          <w:p>
            <w:pPr>
              <w:pStyle w:val="Compact"/>
            </w:pPr>
            <w:r>
              <w:rPr>
                <w:rStyle w:val="VerbatimChar"/>
              </w:rPr>
              <w:t xml:space="preserve">org:cost-center</w:t>
            </w:r>
          </w:p>
        </w:tc>
        <w:tc>
          <w:tcPr>
            <w:tcW w:type="dxa" w:w="1865"/>
          </w:tcPr>
          <w:p>
            <w:pPr>
              <w:pStyle w:val="Compact"/>
            </w:pPr>
            <w:r>
              <w:rPr>
                <w:rStyle w:val="VerbatimChar"/>
              </w:rPr>
              <w:t xml:space="preserve">CC-4410</w:t>
            </w:r>
          </w:p>
        </w:tc>
        <w:tc>
          <w:tcPr>
            <w:tcW w:type="dxa" w:w="2408"/>
          </w:tcPr>
          <w:p>
            <w:pPr>
              <w:pStyle w:val="Compact"/>
            </w:pPr>
            <w:r>
              <w:t xml:space="preserve">Platform (resolved from the cost center hierarchy, §4.2.1)</w:t>
            </w:r>
          </w:p>
        </w:tc>
        <w:tc>
          <w:tcPr>
            <w:tcW w:type="dxa" w:w="950"/>
          </w:tcPr>
          <w:p>
            <w:pPr>
              <w:pStyle w:val="Compact"/>
            </w:pPr>
            <w:r>
              <w:t xml:space="preserve">Yes</w:t>
            </w:r>
          </w:p>
        </w:tc>
        <w:tc>
          <w:tcPr>
            <w:tcW w:type="dxa" w:w="3502"/>
          </w:tcPr>
          <w:p>
            <w:pPr>
              <w:pStyle w:val="Compact"/>
            </w:pPr>
            <w:r>
              <w:t xml:space="preserve">Billing (activated as a cost allocation tag)</w:t>
            </w:r>
          </w:p>
        </w:tc>
      </w:tr>
      <w:tr>
        <w:tc>
          <w:tcPr>
            <w:tcW w:type="dxa" w:w="1355"/>
          </w:tcPr>
          <w:p>
            <w:pPr>
              <w:pStyle w:val="Compact"/>
            </w:pPr>
            <w:r>
              <w:rPr>
                <w:rStyle w:val="VerbatimChar"/>
              </w:rPr>
              <w:t xml:space="preserve">org:data-classification</w:t>
            </w:r>
          </w:p>
        </w:tc>
        <w:tc>
          <w:tcPr>
            <w:tcW w:type="dxa" w:w="1865"/>
          </w:tcPr>
          <w:p>
            <w:pPr>
              <w:pStyle w:val="Compact"/>
            </w:pPr>
            <w:r>
              <w:rPr>
                <w:rStyle w:val="VerbatimChar"/>
              </w:rPr>
              <w:t xml:space="preserve">confidential</w:t>
            </w:r>
          </w:p>
        </w:tc>
        <w:tc>
          <w:tcPr>
            <w:tcW w:type="dxa" w:w="2408"/>
          </w:tcPr>
          <w:p>
            <w:pPr>
              <w:pStyle w:val="Compact"/>
            </w:pPr>
            <w:r>
              <w:t xml:space="preserve">User (≤ product ceiling)</w:t>
            </w:r>
          </w:p>
        </w:tc>
        <w:tc>
          <w:tcPr>
            <w:tcW w:type="dxa" w:w="950"/>
          </w:tcPr>
          <w:p>
            <w:pPr>
              <w:pStyle w:val="Compact"/>
            </w:pPr>
            <w:r>
              <w:t xml:space="preserve">Yes</w:t>
            </w:r>
          </w:p>
        </w:tc>
        <w:tc>
          <w:tcPr>
            <w:tcW w:type="dxa" w:w="3502"/>
          </w:tcPr>
          <w:p>
            <w:pPr>
              <w:pStyle w:val="Compact"/>
            </w:pPr>
            <w:r>
              <w:t xml:space="preserve">SCP gates (e.g. not in sandbox)</w:t>
            </w:r>
          </w:p>
        </w:tc>
      </w:tr>
      <w:tr>
        <w:tc>
          <w:tcPr>
            <w:tcW w:type="dxa" w:w="1355"/>
          </w:tcPr>
          <w:p>
            <w:pPr>
              <w:pStyle w:val="Compact"/>
            </w:pPr>
            <w:r>
              <w:rPr>
                <w:rStyle w:val="VerbatimChar"/>
              </w:rPr>
              <w:t xml:space="preserve">org:managed-by</w:t>
            </w:r>
          </w:p>
        </w:tc>
        <w:tc>
          <w:tcPr>
            <w:tcW w:type="dxa" w:w="1865"/>
          </w:tcPr>
          <w:p>
            <w:pPr>
              <w:pStyle w:val="Compact"/>
            </w:pPr>
            <w:r>
              <w:rPr>
                <w:rStyle w:val="VerbatimChar"/>
              </w:rPr>
              <w:t xml:space="preserve">cloudinfra</w:t>
            </w:r>
          </w:p>
        </w:tc>
        <w:tc>
          <w:tcPr>
            <w:tcW w:type="dxa" w:w="2408"/>
          </w:tcPr>
          <w:p>
            <w:pPr>
              <w:pStyle w:val="Compact"/>
            </w:pPr>
            <w:r>
              <w:t xml:space="preserve">Platform</w:t>
            </w:r>
          </w:p>
        </w:tc>
        <w:tc>
          <w:tcPr>
            <w:tcW w:type="dxa" w:w="950"/>
          </w:tcPr>
          <w:p>
            <w:pPr>
              <w:pStyle w:val="Compact"/>
            </w:pPr>
            <w:r>
              <w:t xml:space="preserve">Yes</w:t>
            </w:r>
          </w:p>
        </w:tc>
        <w:tc>
          <w:tcPr>
            <w:tcW w:type="dxa" w:w="3502"/>
          </w:tcPr>
          <w:p>
            <w:pPr>
              <w:pStyle w:val="Compact"/>
            </w:pPr>
            <w:r>
              <w:t xml:space="preserve">Marks resources only the platform pipeline may change</w:t>
            </w:r>
          </w:p>
        </w:tc>
      </w:tr>
      <w:tr>
        <w:tc>
          <w:tcPr>
            <w:tcW w:type="dxa" w:w="1355"/>
          </w:tcPr>
          <w:p>
            <w:pPr>
              <w:pStyle w:val="Compact"/>
            </w:pPr>
            <w:r>
              <w:rPr>
                <w:rStyle w:val="VerbatimChar"/>
              </w:rPr>
              <w:t xml:space="preserve">org:share-scope</w:t>
            </w:r>
          </w:p>
        </w:tc>
        <w:tc>
          <w:tcPr>
            <w:tcW w:type="dxa" w:w="1865"/>
          </w:tcPr>
          <w:p>
            <w:pPr>
              <w:pStyle w:val="Compact"/>
            </w:pPr>
            <w:r>
              <w:rPr>
                <w:rStyle w:val="VerbatimChar"/>
              </w:rPr>
              <w:t xml:space="preserve">none</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2408"/>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none</w:t>
            </w:r>
            <w:r>
              <w:t xml:space="preserve">)</w:t>
            </w:r>
          </w:p>
        </w:tc>
        <w:tc>
          <w:tcPr>
            <w:tcW w:type="dxa" w:w="3502"/>
          </w:tcPr>
          <w:p>
            <w:pPr>
              <w:pStyle w:val="Compact"/>
            </w:pPr>
            <w:r>
              <w:rPr>
                <w:b/>
                <w:bCs/>
              </w:rPr>
              <w:t xml:space="preserve">Sharing by tags</w:t>
            </w:r>
            <w:r>
              <w:t xml:space="preserve">: who outside the project may use the resource, across accounts (§4.11.1)</w:t>
            </w:r>
          </w:p>
        </w:tc>
      </w:tr>
      <w:tr>
        <w:tc>
          <w:tcPr>
            <w:tcW w:type="dxa" w:w="1355"/>
          </w:tcPr>
          <w:p>
            <w:pPr>
              <w:pStyle w:val="Compact"/>
            </w:pPr>
            <w:r>
              <w:rPr>
                <w:rStyle w:val="VerbatimChar"/>
              </w:rPr>
              <w:t xml:space="preserve">org:share-access</w:t>
            </w:r>
          </w:p>
        </w:tc>
        <w:tc>
          <w:tcPr>
            <w:tcW w:type="dxa" w:w="1865"/>
          </w:tcPr>
          <w:p>
            <w:pPr>
              <w:pStyle w:val="Compact"/>
            </w:pPr>
            <w:r>
              <w:rPr>
                <w:rStyle w:val="VerbatimChar"/>
              </w:rPr>
              <w:t xml:space="preserve">read</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2408"/>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read</w:t>
            </w:r>
            <w:r>
              <w:t xml:space="preserve">)</w:t>
            </w:r>
          </w:p>
        </w:tc>
        <w:tc>
          <w:tcPr>
            <w:tcW w:type="dxa" w:w="3502"/>
          </w:tcPr>
          <w:p>
            <w:pPr>
              <w:pStyle w:val="Compact"/>
            </w:pPr>
            <w:r>
              <w:t xml:space="preserve">What shared consumers may do (§4.11.1)</w:t>
            </w:r>
          </w:p>
        </w:tc>
      </w:tr>
      <w:tr>
        <w:tc>
          <w:tcPr>
            <w:tcW w:type="dxa" w:w="1355"/>
          </w:tcPr>
          <w:p>
            <w:pPr>
              <w:pStyle w:val="Compact"/>
            </w:pPr>
            <w:r>
              <w:rPr>
                <w:rStyle w:val="VerbatimChar"/>
              </w:rPr>
              <w:t xml:space="preserve">org:share-approval</w:t>
            </w:r>
          </w:p>
        </w:tc>
        <w:tc>
          <w:tcPr>
            <w:tcW w:type="dxa" w:w="1865"/>
          </w:tcPr>
          <w:p>
            <w:pPr>
              <w:pStyle w:val="Compact"/>
            </w:pPr>
            <w:r>
              <w:rPr>
                <w:rStyle w:val="VerbatimChar"/>
              </w:rPr>
              <w:t xml:space="preserve">required</w:t>
            </w:r>
            <w:r>
              <w:t xml:space="preserve"> </w:t>
            </w:r>
            <w:r>
              <w:t xml:space="preserve">(default) /</w:t>
            </w:r>
            <w:r>
              <w:t xml:space="preserve"> </w:t>
            </w:r>
            <w:r>
              <w:rPr>
                <w:rStyle w:val="VerbatimChar"/>
              </w:rPr>
              <w:t xml:space="preserve">auto</w:t>
            </w:r>
          </w:p>
        </w:tc>
        <w:tc>
          <w:tcPr>
            <w:tcW w:type="dxa" w:w="2408"/>
          </w:tcPr>
          <w:p>
            <w:pPr>
              <w:pStyle w:val="Compact"/>
            </w:pPr>
            <w:r>
              <w:t xml:space="preserve">Provider (UI, approved offer)</w:t>
            </w:r>
          </w:p>
        </w:tc>
        <w:tc>
          <w:tcPr>
            <w:tcW w:type="dxa" w:w="950"/>
          </w:tcPr>
          <w:p>
            <w:pPr>
              <w:pStyle w:val="Compact"/>
            </w:pPr>
            <w:r>
              <w:t xml:space="preserve">No</w:t>
            </w:r>
          </w:p>
        </w:tc>
        <w:tc>
          <w:tcPr>
            <w:tcW w:type="dxa" w:w="3502"/>
          </w:tcPr>
          <w:p>
            <w:pPr>
              <w:pStyle w:val="Compact"/>
            </w:pPr>
            <w:r>
              <w:t xml:space="preserve">Whether each consumer access request needs the provider’s approval or is auto-approved within the tag rule (§4.11.6)</w:t>
            </w:r>
          </w:p>
        </w:tc>
      </w:tr>
      <w:tr>
        <w:tc>
          <w:tcPr>
            <w:tcW w:type="dxa" w:w="1355"/>
          </w:tcPr>
          <w:p>
            <w:pPr>
              <w:pStyle w:val="Compact"/>
            </w:pPr>
            <w:r>
              <w:rPr>
                <w:rStyle w:val="VerbatimChar"/>
              </w:rPr>
              <w:t xml:space="preserve">org:resilience</w:t>
            </w:r>
          </w:p>
        </w:tc>
        <w:tc>
          <w:tcPr>
            <w:tcW w:type="dxa" w:w="1865"/>
          </w:tcPr>
          <w:p>
            <w:pPr>
              <w:pStyle w:val="Compact"/>
            </w:pPr>
            <w:r>
              <w:rPr>
                <w:rStyle w:val="VerbatimChar"/>
              </w:rPr>
              <w:t xml:space="preserve">dr</w:t>
            </w:r>
          </w:p>
        </w:tc>
        <w:tc>
          <w:tcPr>
            <w:tcW w:type="dxa" w:w="2408"/>
          </w:tcPr>
          <w:p>
            <w:pPr>
              <w:pStyle w:val="Compact"/>
            </w:pPr>
            <w:r>
              <w:t xml:space="preserve">Platform (project setting)</w:t>
            </w:r>
          </w:p>
        </w:tc>
        <w:tc>
          <w:tcPr>
            <w:tcW w:type="dxa" w:w="950"/>
          </w:tcPr>
          <w:p>
            <w:pPr>
              <w:pStyle w:val="Compact"/>
            </w:pPr>
            <w:r>
              <w:t xml:space="preserve">Yes</w:t>
            </w:r>
          </w:p>
        </w:tc>
        <w:tc>
          <w:tcPr>
            <w:tcW w:type="dxa" w:w="3502"/>
          </w:tcPr>
          <w:p>
            <w:pPr>
              <w:pStyle w:val="Compact"/>
            </w:pPr>
            <w:r>
              <w:t xml:space="preserve">Reporting, cost, DR drill scheduling (§10)</w:t>
            </w:r>
          </w:p>
        </w:tc>
      </w:tr>
      <w:tr>
        <w:tc>
          <w:tcPr>
            <w:tcW w:type="dxa" w:w="1355"/>
          </w:tcPr>
          <w:p>
            <w:pPr>
              <w:pStyle w:val="Compact"/>
            </w:pPr>
            <w:r>
              <w:rPr>
                <w:rStyle w:val="VerbatimChar"/>
              </w:rPr>
              <w:t xml:space="preserve">org:region-role</w:t>
            </w:r>
          </w:p>
        </w:tc>
        <w:tc>
          <w:tcPr>
            <w:tcW w:type="dxa" w:w="1865"/>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2408"/>
          </w:tcPr>
          <w:p>
            <w:pPr>
              <w:pStyle w:val="Compact"/>
            </w:pPr>
            <w:r>
              <w:t xml:space="preserve">Platform (per region)</w:t>
            </w:r>
          </w:p>
        </w:tc>
        <w:tc>
          <w:tcPr>
            <w:tcW w:type="dxa" w:w="950"/>
          </w:tcPr>
          <w:p>
            <w:pPr>
              <w:pStyle w:val="Compact"/>
            </w:pPr>
            <w:r>
              <w:t xml:space="preserve">Yes</w:t>
            </w:r>
          </w:p>
        </w:tc>
        <w:tc>
          <w:tcPr>
            <w:tcW w:type="dxa" w:w="3502"/>
          </w:tcPr>
          <w:p>
            <w:pPr>
              <w:pStyle w:val="Compact"/>
            </w:pPr>
            <w:r>
              <w:t xml:space="preserve">Operations and failover tooling (§10)</w:t>
            </w:r>
          </w:p>
        </w:tc>
      </w:tr>
      <w:tr>
        <w:tc>
          <w:tcPr>
            <w:tcW w:type="dxa" w:w="1355"/>
          </w:tcPr>
          <w:p>
            <w:pPr>
              <w:pStyle w:val="Compact"/>
            </w:pPr>
            <w:r>
              <w:rPr>
                <w:rStyle w:val="VerbatimChar"/>
              </w:rPr>
              <w:t xml:space="preserve">org:expires-on</w:t>
            </w:r>
          </w:p>
        </w:tc>
        <w:tc>
          <w:tcPr>
            <w:tcW w:type="dxa" w:w="1865"/>
          </w:tcPr>
          <w:p>
            <w:pPr>
              <w:pStyle w:val="Compact"/>
            </w:pPr>
            <w:r>
              <w:rPr>
                <w:rStyle w:val="VerbatimChar"/>
              </w:rPr>
              <w:t xml:space="preserve">2026-11-01</w:t>
            </w:r>
          </w:p>
        </w:tc>
        <w:tc>
          <w:tcPr>
            <w:tcW w:type="dxa" w:w="2408"/>
          </w:tcPr>
          <w:p>
            <w:pPr>
              <w:pStyle w:val="Compact"/>
            </w:pPr>
            <w:r>
              <w:t xml:space="preserve">Platform (sandbox only)</w:t>
            </w:r>
          </w:p>
        </w:tc>
        <w:tc>
          <w:tcPr>
            <w:tcW w:type="dxa" w:w="950"/>
          </w:tcPr>
          <w:p>
            <w:pPr>
              <w:pStyle w:val="Compact"/>
            </w:pPr>
            <w:r>
              <w:t xml:space="preserve">Sandbox only</w:t>
            </w:r>
          </w:p>
        </w:tc>
        <w:tc>
          <w:tcPr>
            <w:tcW w:type="dxa" w:w="3502"/>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 other projects</w:t>
      </w:r>
      <w:r>
        <w:t xml:space="preserve"> </w:t>
      </w:r>
      <w:r>
        <w:t xml:space="preserve">is done by share tags or by agreement (§4.11). For example, 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when:</w:t>
      </w:r>
      <w:r>
        <w:t xml:space="preserve"> </w:t>
      </w:r>
      <w:r>
        <w:t xml:space="preserve">1. The target resource carries</w:t>
      </w:r>
      <w:r>
        <w:t xml:space="preserve"> </w:t>
      </w:r>
      <w:r>
        <w:rPr>
          <w:rStyle w:val="VerbatimChar"/>
        </w:rPr>
        <w:t xml:space="preserve">org:share-scope=product</w:t>
      </w:r>
      <w:r>
        <w:t xml:space="preserve"> </w:t>
      </w:r>
      <w:r>
        <w:t xml:space="preserve">(or wider).</w:t>
      </w:r>
      <w:r>
        <w:t xml:space="preserve"> </w:t>
      </w:r>
      <w:r>
        <w:t xml:space="preserve">2. The access is within its</w:t>
      </w:r>
      <w:r>
        <w:t xml:space="preserve"> </w:t>
      </w:r>
      <w:r>
        <w:rPr>
          <w:rStyle w:val="VerbatimChar"/>
        </w:rPr>
        <w:t xml:space="preserve">org:share-access</w:t>
      </w:r>
      <w:r>
        <w:t xml:space="preserve"> </w:t>
      </w:r>
      <w:r>
        <w:t xml:space="preserve">level (read by default).</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7"/>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7"/>
        </w:numPr>
      </w:pPr>
      <w:r>
        <w:t xml:space="preserve">Resource Explorer / Tag Editor views per product.</w:t>
      </w:r>
    </w:p>
    <w:p>
      <w:pPr>
        <w:pStyle w:val="Compact"/>
        <w:numPr>
          <w:ilvl w:val="0"/>
          <w:numId w:val="1007"/>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Sharing with other projects / accounts</w:t>
            </w:r>
          </w:p>
        </w:tc>
        <w:tc>
          <w:tcPr>
            <w:tcW w:type="dxa" w:w="5982"/>
          </w:tcPr>
          <w:p>
            <w:pPr>
              <w:pStyle w:val="Compact"/>
            </w:pPr>
            <w:r>
              <w:rPr>
                <w:b/>
                <w:bCs/>
              </w:rPr>
              <w:t xml:space="preserve">By tags</w:t>
            </w:r>
            <w:r>
              <w:t xml:space="preserve"> </w:t>
            </w:r>
            <w:r>
              <w:t xml:space="preserve">(§4.11.1): the resource policy allows principals whose</w:t>
            </w:r>
            <w:r>
              <w:t xml:space="preserve"> </w:t>
            </w:r>
            <w:r>
              <w:rPr>
                <w:rStyle w:val="VerbatimChar"/>
              </w:rPr>
              <w:t xml:space="preserve">org:product</w:t>
            </w:r>
            <w:r>
              <w:t xml:space="preserve"> </w:t>
            </w:r>
            <w:r>
              <w:t xml:space="preserve">/</w:t>
            </w:r>
            <w:r>
              <w:t xml:space="preserve"> </w:t>
            </w:r>
            <w:r>
              <w:rPr>
                <w:rStyle w:val="VerbatimChar"/>
              </w:rPr>
              <w:t xml:space="preserve">org:portfolio</w:t>
            </w:r>
            <w:r>
              <w:t xml:space="preserve"> </w:t>
            </w:r>
            <w:r>
              <w:t xml:space="preserve">tags match the resource’s</w:t>
            </w:r>
            <w:r>
              <w:t xml:space="preserve"> </w:t>
            </w:r>
            <w:r>
              <w:rPr>
                <w:rStyle w:val="VerbatimChar"/>
              </w:rPr>
              <w:t xml:space="preserve">org:share-scope</w:t>
            </w:r>
            <w:r>
              <w:t xml:space="preserve">, same environment, inside the organization, limited to</w:t>
            </w:r>
            <w:r>
              <w:t xml:space="preserve"> </w:t>
            </w:r>
            <w:r>
              <w:rPr>
                <w:rStyle w:val="VerbatimChar"/>
              </w:rPr>
              <w:t xml:space="preserve">org:share-access</w:t>
            </w:r>
            <w:r>
              <w:t xml:space="preserve"> </w:t>
            </w:r>
            <w:r>
              <w:t xml:space="preserve">actions.</w:t>
            </w:r>
            <w:r>
              <w:t xml:space="preserve"> </w:t>
            </w:r>
            <w:r>
              <w:rPr>
                <w:b/>
                <w:bCs/>
              </w:rPr>
              <w:t xml:space="preserve">By agreement</w:t>
            </w:r>
            <w:r>
              <w:t xml:space="preserve"> </w:t>
            </w:r>
            <w:r>
              <w:t xml:space="preserve">(§4.11.2) for anything else</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8"/>
        </w:numPr>
      </w:pPr>
      <w:r>
        <w:rPr>
          <w:b/>
          <w:bCs/>
        </w:rPr>
        <w:t xml:space="preserve">Synthesis-time linter:</w:t>
      </w:r>
    </w:p>
    <w:p>
      <w:pPr>
        <w:pStyle w:val="Compact"/>
        <w:numPr>
          <w:ilvl w:val="1"/>
          <w:numId w:val="1009"/>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9"/>
        </w:numPr>
      </w:pPr>
      <w:r>
        <w:t xml:space="preserve">every runtime role has the boundary and tag conditions;</w:t>
      </w:r>
    </w:p>
    <w:p>
      <w:pPr>
        <w:pStyle w:val="Compact"/>
        <w:numPr>
          <w:ilvl w:val="1"/>
          <w:numId w:val="1009"/>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8"/>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8"/>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2"/>
      </w:pPr>
      <w:r>
        <w:t xml:space="preserve">4.11 Sharing across projects and accounts: by tags or by agreement</w:t>
      </w:r>
    </w:p>
    <w:p>
      <w:pPr>
        <w:pStyle w:val="FirstParagraph"/>
      </w:pPr>
      <w:r>
        <w:t xml:space="preserve">Infrastructure created by the platform often needs assets owned by</w:t>
      </w:r>
      <w:r>
        <w:t xml:space="preserve"> </w:t>
      </w:r>
      <w:r>
        <w:rPr>
          <w:b/>
          <w:bCs/>
        </w:rPr>
        <w:t xml:space="preserve">other projects</w:t>
      </w:r>
      <w:r>
        <w:t xml:space="preserve">, in the same or in</w:t>
      </w:r>
      <w:r>
        <w:t xml:space="preserve"> </w:t>
      </w:r>
      <w:r>
        <w:rPr>
          <w:b/>
          <w:bCs/>
        </w:rPr>
        <w:t xml:space="preserve">other AWS accounts</w:t>
      </w:r>
      <w:r>
        <w:t xml:space="preserve">: a central data-lake bucket, a shared SQS queue, another product’s KMS-encrypted dataset. Sharing is supported in two ways, and both</w:t>
      </w:r>
      <w:r>
        <w:t xml:space="preserve"> </w:t>
      </w:r>
      <w:r>
        <w:rPr>
          <w:b/>
          <w:bCs/>
        </w:rPr>
        <w:t xml:space="preserve">keep the tag-based isolation of §4.10</w:t>
      </w:r>
      <w:r>
        <w:t xml:space="preserve">:</w:t>
      </w:r>
    </w:p>
    <w:tbl>
      <w:tblPr>
        <w:tblStyle w:val="Table"/>
        <w:tblW w:type="dxa" w:w="10080"/>
        <w:tblLayout w:type="fixed"/>
        <w:tblLook w:firstRow="1" w:lastRow="0" w:firstColumn="0" w:lastColumn="0" w:noHBand="0" w:noVBand="0" w:val="0020"/>
      </w:tblPr>
      <w:tblGrid>
        <w:gridCol w:w="957"/>
        <w:gridCol w:w="2881"/>
        <w:gridCol w:w="3302"/>
        <w:gridCol w:w="2940"/>
      </w:tblGrid>
      <w:tr>
        <w:trPr>
          <w:tblHeader w:val="on"/>
        </w:trPr>
        <w:tc>
          <w:tcPr>
            <w:tcW w:type="dxa" w:w="957"/>
          </w:tcPr>
          <w:p>
            <w:pPr>
              <w:pStyle w:val="Compact"/>
            </w:pPr>
            <w:r>
              <w:t xml:space="preserve">Way</w:t>
            </w:r>
          </w:p>
        </w:tc>
        <w:tc>
          <w:tcPr>
            <w:tcW w:type="dxa" w:w="2881"/>
          </w:tcPr>
          <w:p>
            <w:pPr>
              <w:pStyle w:val="Compact"/>
            </w:pPr>
            <w:r>
              <w:t xml:space="preserve">How it is decided</w:t>
            </w:r>
          </w:p>
        </w:tc>
        <w:tc>
          <w:tcPr>
            <w:tcW w:type="dxa" w:w="3302"/>
          </w:tcPr>
          <w:p>
            <w:pPr>
              <w:pStyle w:val="Compact"/>
            </w:pPr>
            <w:r>
              <w:t xml:space="preserve">Approval per consumer</w:t>
            </w:r>
          </w:p>
        </w:tc>
        <w:tc>
          <w:tcPr>
            <w:tcW w:type="dxa" w:w="2940"/>
          </w:tcPr>
          <w:p>
            <w:pPr>
              <w:pStyle w:val="Compact"/>
            </w:pPr>
            <w:r>
              <w:t xml:space="preserve">Use for</w:t>
            </w:r>
          </w:p>
        </w:tc>
      </w:tr>
      <w:tr>
        <w:tc>
          <w:tcPr>
            <w:tcW w:type="dxa" w:w="957"/>
          </w:tcPr>
          <w:p>
            <w:pPr>
              <w:pStyle w:val="Compact"/>
            </w:pPr>
            <w:r>
              <w:rPr>
                <w:b/>
                <w:bCs/>
              </w:rPr>
              <w:t xml:space="preserve">1. Sharing by tags</w:t>
            </w:r>
            <w:r>
              <w:t xml:space="preserve"> </w:t>
            </w:r>
            <w:r>
              <w:t xml:space="preserve">(default)</w:t>
            </w:r>
          </w:p>
        </w:tc>
        <w:tc>
          <w:tcPr>
            <w:tcW w:type="dxa" w:w="2881"/>
          </w:tcPr>
          <w:p>
            <w:pPr>
              <w:pStyle w:val="Compact"/>
            </w:pPr>
            <w:r>
              <w:t xml:space="preserve">The provider puts</w:t>
            </w:r>
            <w:r>
              <w:t xml:space="preserve"> </w:t>
            </w:r>
            <w:r>
              <w:rPr>
                <w:b/>
                <w:bCs/>
              </w:rPr>
              <w:t xml:space="preserve">share tags</w:t>
            </w:r>
            <w:r>
              <w:t xml:space="preserve"> </w:t>
            </w:r>
            <w:r>
              <w:t xml:space="preserve">on its resource. They define which consumers</w:t>
            </w:r>
            <w:r>
              <w:t xml:space="preserve"> </w:t>
            </w:r>
            <w:r>
              <w:rPr>
                <w:i/>
                <w:iCs/>
              </w:rPr>
              <w:t xml:space="preserve">can</w:t>
            </w:r>
            <w:r>
              <w:t xml:space="preserve"> </w:t>
            </w:r>
            <w:r>
              <w:t xml:space="preserve">be granted access (matching tags, any account of the organization).</w:t>
            </w:r>
          </w:p>
        </w:tc>
        <w:tc>
          <w:tcPr>
            <w:tcW w:type="dxa" w:w="3302"/>
          </w:tcPr>
          <w:p>
            <w:pPr>
              <w:pStyle w:val="Compact"/>
            </w:pPr>
            <w:r>
              <w:rPr>
                <w:b/>
                <w:bCs/>
              </w:rPr>
              <w:t xml:space="preserve">Yes, through the sharing approval workflow (§4.11.6).</w:t>
            </w:r>
            <w:r>
              <w:t xml:space="preserve"> </w:t>
            </w:r>
            <w:r>
              <w:t xml:space="preserve">The offer (share tags) is approved once; each consumer’s access request is approved by the provider, or auto-approved if the provider chose</w:t>
            </w:r>
            <w:r>
              <w:t xml:space="preserve"> </w:t>
            </w:r>
            <w:r>
              <w:rPr>
                <w:rStyle w:val="VerbatimChar"/>
              </w:rPr>
              <w:t xml:space="preserve">org:share-approval=auto</w:t>
            </w:r>
          </w:p>
        </w:tc>
        <w:tc>
          <w:tcPr>
            <w:tcW w:type="dxa" w:w="2940"/>
          </w:tcPr>
          <w:p>
            <w:pPr>
              <w:pStyle w:val="Compact"/>
            </w:pPr>
            <w:r>
              <w:t xml:space="preserve">Common, predictable sharing: within a product, within a portfolio, organization-wide reference data</w:t>
            </w:r>
          </w:p>
        </w:tc>
      </w:tr>
      <w:tr>
        <w:tc>
          <w:tcPr>
            <w:tcW w:type="dxa" w:w="957"/>
          </w:tcPr>
          <w:p>
            <w:pPr>
              <w:pStyle w:val="Compact"/>
            </w:pPr>
            <w:r>
              <w:rPr>
                <w:b/>
                <w:bCs/>
              </w:rPr>
              <w:t xml:space="preserve">2. Sharing by agreement</w:t>
            </w:r>
          </w:p>
        </w:tc>
        <w:tc>
          <w:tcPr>
            <w:tcW w:type="dxa" w:w="2881"/>
          </w:tcPr>
          <w:p>
            <w:pPr>
              <w:pStyle w:val="Compact"/>
            </w:pPr>
            <w:r>
              <w:t xml:space="preserve">An explicit record naming one provider resource and one consumer</w:t>
            </w:r>
          </w:p>
        </w:tc>
        <w:tc>
          <w:tcPr>
            <w:tcW w:type="dxa" w:w="3302"/>
          </w:tcPr>
          <w:p>
            <w:pPr>
              <w:pStyle w:val="Compact"/>
            </w:pPr>
            <w:r>
              <w:rPr>
                <w:b/>
                <w:bCs/>
              </w:rPr>
              <w:t xml:space="preserve">Yes, through the same workflow</w:t>
            </w:r>
            <w:r>
              <w:t xml:space="preserve"> </w:t>
            </w:r>
            <w:r>
              <w:t xml:space="preserve">(provider owner, plus security / platform admin where required)</w:t>
            </w:r>
          </w:p>
        </w:tc>
        <w:tc>
          <w:tcPr>
            <w:tcW w:type="dxa" w:w="2940"/>
          </w:tcPr>
          <w:p>
            <w:pPr>
              <w:pStyle w:val="Compact"/>
            </w:pPr>
            <w:r>
              <w:t xml:space="preserve">Anything the tag rules cannot express: one specific consumer, write access across products, outside the organization, exceptions</w:t>
            </w:r>
          </w:p>
        </w:tc>
      </w:tr>
    </w:tbl>
    <w:p>
      <w:pPr>
        <w:pStyle w:val="BodyText"/>
      </w:pPr>
      <w:r>
        <w:t xml:space="preserve">In both cases the platform</w:t>
      </w:r>
      <w:r>
        <w:t xml:space="preserve"> </w:t>
      </w:r>
      <w:r>
        <w:rPr>
          <w:b/>
          <w:bCs/>
        </w:rPr>
        <w:t xml:space="preserve">generates</w:t>
      </w:r>
      <w:r>
        <w:t xml:space="preserve"> </w:t>
      </w:r>
      <w:r>
        <w:t xml:space="preserve">the permissions on both sides. Nobody hand-edits a policy.</w:t>
      </w:r>
    </w:p>
    <w:p>
      <w:pPr>
        <w:pStyle w:val="Heading3"/>
      </w:pPr>
      <w:r>
        <w:t xml:space="preserve">4.11.1 Sharing by tags</w:t>
      </w:r>
    </w:p>
    <w:p>
      <w:pPr>
        <w:pStyle w:val="FirstParagraph"/>
      </w:pPr>
      <w:r>
        <w:rPr>
          <w:b/>
          <w:bCs/>
        </w:rPr>
        <w:t xml:space="preserve">Share tags on the provider resource</w:t>
      </w:r>
      <w:r>
        <w:t xml:space="preserve"> </w:t>
      </w:r>
      <w:r>
        <w:t xml:space="preserve">(set in the platform UI, deployed through the provider’s normal infrastructure PR, gates and approvals):</w:t>
      </w:r>
    </w:p>
    <w:tbl>
      <w:tblPr>
        <w:tblStyle w:val="Table"/>
        <w:tblW w:type="dxa" w:w="10080"/>
        <w:tblLayout w:type="fixed"/>
        <w:tblLook w:firstRow="1" w:lastRow="0" w:firstColumn="0" w:lastColumn="0" w:noHBand="0" w:noVBand="0" w:val="0020"/>
      </w:tblPr>
      <w:tblGrid>
        <w:gridCol w:w="1561"/>
        <w:gridCol w:w="2793"/>
        <w:gridCol w:w="5726"/>
      </w:tblGrid>
      <w:tr>
        <w:trPr>
          <w:tblHeader w:val="on"/>
        </w:trPr>
        <w:tc>
          <w:tcPr>
            <w:tcW w:type="dxa" w:w="1561"/>
          </w:tcPr>
          <w:p>
            <w:pPr>
              <w:pStyle w:val="Compact"/>
            </w:pPr>
            <w:r>
              <w:t xml:space="preserve">Tag</w:t>
            </w:r>
          </w:p>
        </w:tc>
        <w:tc>
          <w:tcPr>
            <w:tcW w:type="dxa" w:w="2793"/>
          </w:tcPr>
          <w:p>
            <w:pPr>
              <w:pStyle w:val="Compact"/>
            </w:pPr>
            <w:r>
              <w:t xml:space="preserve">Values</w:t>
            </w:r>
          </w:p>
        </w:tc>
        <w:tc>
          <w:tcPr>
            <w:tcW w:type="dxa" w:w="5726"/>
          </w:tcPr>
          <w:p>
            <w:pPr>
              <w:pStyle w:val="Compact"/>
            </w:pPr>
            <w:r>
              <w:t xml:space="preserve">Meaning</w:t>
            </w:r>
          </w:p>
        </w:tc>
      </w:tr>
      <w:tr>
        <w:tc>
          <w:tcPr>
            <w:tcW w:type="dxa" w:w="1561"/>
          </w:tcPr>
          <w:p>
            <w:pPr>
              <w:pStyle w:val="Compact"/>
            </w:pPr>
            <w:r>
              <w:rPr>
                <w:rStyle w:val="VerbatimChar"/>
              </w:rPr>
              <w:t xml:space="preserve">org:share-scope</w:t>
            </w:r>
          </w:p>
        </w:tc>
        <w:tc>
          <w:tcPr>
            <w:tcW w:type="dxa" w:w="2793"/>
          </w:tcPr>
          <w:p>
            <w:pPr>
              <w:pStyle w:val="Compact"/>
            </w:pPr>
            <w:r>
              <w:rPr>
                <w:rStyle w:val="VerbatimChar"/>
              </w:rPr>
              <w:t xml:space="preserve">none</w:t>
            </w:r>
            <w:r>
              <w:t xml:space="preserve"> </w:t>
            </w:r>
            <w:r>
              <w:t xml:space="preserve">(default) |</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5726"/>
          </w:tcPr>
          <w:p>
            <w:pPr>
              <w:pStyle w:val="Compact"/>
            </w:pPr>
            <w:r>
              <w:rPr>
                <w:b/>
                <w:bCs/>
              </w:rPr>
              <w:t xml:space="preserve">Who</w:t>
            </w:r>
            <w:r>
              <w:t xml:space="preserve"> </w:t>
            </w:r>
            <w:r>
              <w:t xml:space="preserve">may use the resource: principals whose</w:t>
            </w:r>
            <w:r>
              <w:t xml:space="preserve"> </w:t>
            </w:r>
            <w:r>
              <w:rPr>
                <w:rStyle w:val="VerbatimChar"/>
              </w:rPr>
              <w:t xml:space="preserve">org:product</w:t>
            </w:r>
            <w:r>
              <w:t xml:space="preserve"> </w:t>
            </w:r>
            <w:r>
              <w:t xml:space="preserve">(or</w:t>
            </w:r>
            <w:r>
              <w:t xml:space="preserve"> </w:t>
            </w:r>
            <w:r>
              <w:rPr>
                <w:rStyle w:val="VerbatimChar"/>
              </w:rPr>
              <w:t xml:space="preserve">org:portfolio</w:t>
            </w:r>
            <w:r>
              <w:t xml:space="preserve">) equals the resource’s value, or any platform principal in the organization</w:t>
            </w:r>
          </w:p>
        </w:tc>
      </w:tr>
      <w:tr>
        <w:tc>
          <w:tcPr>
            <w:tcW w:type="dxa" w:w="1561"/>
          </w:tcPr>
          <w:p>
            <w:pPr>
              <w:pStyle w:val="Compact"/>
            </w:pPr>
            <w:r>
              <w:rPr>
                <w:rStyle w:val="VerbatimChar"/>
              </w:rPr>
              <w:t xml:space="preserve">org:share-access</w:t>
            </w:r>
          </w:p>
        </w:tc>
        <w:tc>
          <w:tcPr>
            <w:tcW w:type="dxa" w:w="2793"/>
          </w:tcPr>
          <w:p>
            <w:pPr>
              <w:pStyle w:val="Compact"/>
            </w:pPr>
            <w:r>
              <w:rPr>
                <w:rStyle w:val="VerbatimChar"/>
              </w:rPr>
              <w:t xml:space="preserve">read</w:t>
            </w:r>
            <w:r>
              <w:t xml:space="preserve"> </w:t>
            </w:r>
            <w:r>
              <w:t xml:space="preserve">(default) |</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5726"/>
          </w:tcPr>
          <w:p>
            <w:pPr>
              <w:pStyle w:val="Compact"/>
            </w:pPr>
            <w:r>
              <w:rPr>
                <w:b/>
                <w:bCs/>
              </w:rPr>
              <w:t xml:space="preserve">What</w:t>
            </w:r>
            <w:r>
              <w:t xml:space="preserve"> </w:t>
            </w:r>
            <w:r>
              <w:t xml:space="preserve">they may do; mapped to exact actions per service (§6.8.1)</w:t>
            </w:r>
          </w:p>
        </w:tc>
      </w:tr>
      <w:tr>
        <w:tc>
          <w:tcPr>
            <w:tcW w:type="dxa" w:w="1561"/>
          </w:tcPr>
          <w:p>
            <w:pPr>
              <w:pStyle w:val="Compact"/>
            </w:pPr>
            <w:r>
              <w:rPr>
                <w:rStyle w:val="VerbatimChar"/>
              </w:rPr>
              <w:t xml:space="preserve">org:environment</w:t>
            </w:r>
            <w:r>
              <w:t xml:space="preserve"> </w:t>
            </w:r>
            <w:r>
              <w:t xml:space="preserve">(existing)</w:t>
            </w:r>
          </w:p>
        </w:tc>
        <w:tc>
          <w:tcPr>
            <w:tcW w:type="dxa" w:w="2793"/>
          </w:tcPr>
          <w:p>
            <w:pPr>
              <w:pStyle w:val="Compact"/>
            </w:pPr>
            <w:r>
              <w:t xml:space="preserve">—</w:t>
            </w:r>
          </w:p>
        </w:tc>
        <w:tc>
          <w:tcPr>
            <w:tcW w:type="dxa" w:w="5726"/>
          </w:tcPr>
          <w:p>
            <w:pPr>
              <w:pStyle w:val="Compact"/>
            </w:pPr>
            <w:r>
              <w:t xml:space="preserve">Sharing by tags is</w:t>
            </w:r>
            <w:r>
              <w:t xml:space="preserve"> </w:t>
            </w:r>
            <w:r>
              <w:rPr>
                <w:b/>
                <w:bCs/>
              </w:rPr>
              <w:t xml:space="preserve">always same-environment</w:t>
            </w:r>
            <w:r>
              <w:t xml:space="preserve">: the consumer’s</w:t>
            </w:r>
            <w:r>
              <w:t xml:space="preserve"> </w:t>
            </w:r>
            <w:r>
              <w:rPr>
                <w:rStyle w:val="VerbatimChar"/>
              </w:rPr>
              <w:t xml:space="preserve">org:environment</w:t>
            </w:r>
            <w:r>
              <w:t xml:space="preserve"> </w:t>
            </w:r>
            <w:r>
              <w:t xml:space="preserve">must equal the resource’s. Never configurable by tag.</w:t>
            </w:r>
          </w:p>
        </w:tc>
      </w:tr>
    </w:tbl>
    <w:p>
      <w:pPr>
        <w:pStyle w:val="BodyText"/>
      </w:pPr>
      <w:r>
        <w:rPr>
          <w:b/>
          <w:bCs/>
        </w:rPr>
        <w:t xml:space="preserve">The rule AWS evaluates</w:t>
      </w:r>
      <w:r>
        <w:t xml:space="preserve"> </w:t>
      </w:r>
      <w:r>
        <w:t xml:space="preserve">for a consumer principal</w:t>
      </w:r>
      <w:r>
        <w:t xml:space="preserve"> </w:t>
      </w:r>
      <w:r>
        <w:rPr>
          <w:i/>
          <w:iCs/>
        </w:rPr>
        <w:t xml:space="preserve">P</w:t>
      </w:r>
      <w:r>
        <w:t xml:space="preserve"> </w:t>
      </w:r>
      <w:r>
        <w:t xml:space="preserve">and a provider resource</w:t>
      </w:r>
      <w:r>
        <w:t xml:space="preserve"> </w:t>
      </w:r>
      <w:r>
        <w:rPr>
          <w:i/>
          <w:iCs/>
        </w:rPr>
        <w:t xml:space="preserve">R</w:t>
      </w:r>
      <w:r>
        <w:t xml:space="preserve">:</w:t>
      </w:r>
    </w:p>
    <w:p>
      <w:pPr>
        <w:pStyle w:val="BlockText"/>
      </w:pPr>
      <w:r>
        <w:t xml:space="preserve">allow the</w:t>
      </w:r>
      <w:r>
        <w:t xml:space="preserve"> </w:t>
      </w:r>
      <w:r>
        <w:rPr>
          <w:rStyle w:val="VerbatimChar"/>
        </w:rPr>
        <w:t xml:space="preserve">org:share-access</w:t>
      </w:r>
      <w:r>
        <w:t xml:space="preserve"> </w:t>
      </w:r>
      <w:r>
        <w:t xml:space="preserve">actions</w:t>
      </w:r>
      <w:r>
        <w:t xml:space="preserve"> </w:t>
      </w:r>
      <w:r>
        <w:rPr>
          <w:b/>
          <w:bCs/>
        </w:rPr>
        <w:t xml:space="preserve">if</w:t>
      </w:r>
      <w:r>
        <w:t xml:space="preserve"> </w:t>
      </w:r>
      <w:r>
        <w:t xml:space="preserve">P’s</w:t>
      </w:r>
      <w:r>
        <w:t xml:space="preserve"> </w:t>
      </w:r>
      <w:r>
        <w:rPr>
          <w:rStyle w:val="VerbatimChar"/>
        </w:rPr>
        <w:t xml:space="preserve">org:environment</w:t>
      </w:r>
      <w:r>
        <w:t xml:space="preserve"> </w:t>
      </w:r>
      <w:r>
        <w:t xml:space="preserve">= R’s</w:t>
      </w:r>
      <w:r>
        <w:t xml:space="preserve"> </w:t>
      </w:r>
      <w:r>
        <w:rPr>
          <w:rStyle w:val="VerbatimChar"/>
        </w:rPr>
        <w:t xml:space="preserve">org:environment</w:t>
      </w:r>
      <w:r>
        <w:t xml:space="preserve"> </w:t>
      </w:r>
      <w:r>
        <w:rPr>
          <w:b/>
          <w:bCs/>
        </w:rPr>
        <w:t xml:space="preserve">and</w:t>
      </w:r>
      <w:r>
        <w:t xml:space="preserve"> </w:t>
      </w:r>
      <w:r>
        <w:t xml:space="preserve">P is in the organization (</w:t>
      </w:r>
      <w:r>
        <w:rPr>
          <w:rStyle w:val="VerbatimChar"/>
        </w:rPr>
        <w:t xml:space="preserve">aws:PrincipalOrgID</w:t>
      </w:r>
      <w:r>
        <w:t xml:space="preserve">)</w:t>
      </w:r>
      <w:r>
        <w:t xml:space="preserve"> </w:t>
      </w:r>
      <w:r>
        <w:rPr>
          <w:b/>
          <w:bCs/>
        </w:rPr>
        <w:t xml:space="preserve">and</w:t>
      </w:r>
      <w:r>
        <w:t xml:space="preserve"> </w:t>
      </w:r>
      <w:r>
        <w:t xml:space="preserve">(</w:t>
      </w:r>
      <w:r>
        <w:rPr>
          <w:rStyle w:val="VerbatimChar"/>
        </w:rPr>
        <w:t xml:space="preserve">org:share-scope = product</w:t>
      </w:r>
      <w:r>
        <w:t xml:space="preserve"> </w:t>
      </w:r>
      <w:r>
        <w:t xml:space="preserve">and P’s</w:t>
      </w:r>
      <w:r>
        <w:t xml:space="preserve"> </w:t>
      </w:r>
      <w:r>
        <w:rPr>
          <w:rStyle w:val="VerbatimChar"/>
        </w:rPr>
        <w:t xml:space="preserve">org:product</w:t>
      </w:r>
      <w:r>
        <w:t xml:space="preserve"> </w:t>
      </w:r>
      <w:r>
        <w:t xml:space="preserve">= R’s</w:t>
      </w:r>
      <w:r>
        <w:t xml:space="preserve"> </w:t>
      </w:r>
      <w:r>
        <w:rPr>
          <w:rStyle w:val="VerbatimChar"/>
        </w:rPr>
        <w:t xml:space="preserve">org:product</w:t>
      </w:r>
      <w:r>
        <w:t xml:space="preserve">)</w:t>
      </w:r>
      <w:r>
        <w:t xml:space="preserve"> </w:t>
      </w:r>
      <w:r>
        <w:rPr>
          <w:b/>
          <w:bCs/>
        </w:rPr>
        <w:t xml:space="preserve">or</w:t>
      </w:r>
      <w:r>
        <w:t xml:space="preserve"> </w:t>
      </w:r>
      <w:r>
        <w:t xml:space="preserve">(</w:t>
      </w:r>
      <w:r>
        <w:rPr>
          <w:rStyle w:val="VerbatimChar"/>
        </w:rPr>
        <w:t xml:space="preserve">org:share-scope = portfolio</w:t>
      </w:r>
      <w:r>
        <w:t xml:space="preserve"> </w:t>
      </w:r>
      <w:r>
        <w:t xml:space="preserve">and P’s</w:t>
      </w:r>
      <w:r>
        <w:t xml:space="preserve"> </w:t>
      </w:r>
      <w:r>
        <w:rPr>
          <w:rStyle w:val="VerbatimChar"/>
        </w:rPr>
        <w:t xml:space="preserve">org:portfolio</w:t>
      </w:r>
      <w:r>
        <w:t xml:space="preserve"> </w:t>
      </w:r>
      <w:r>
        <w:t xml:space="preserve">= R’s</w:t>
      </w:r>
      <w:r>
        <w:t xml:space="preserve"> </w:t>
      </w:r>
      <w:r>
        <w:rPr>
          <w:rStyle w:val="VerbatimChar"/>
        </w:rPr>
        <w:t xml:space="preserve">org:portfolio</w:t>
      </w:r>
      <w:r>
        <w:t xml:space="preserve">)</w:t>
      </w:r>
      <w:r>
        <w:t xml:space="preserve"> </w:t>
      </w:r>
      <w:r>
        <w:rPr>
          <w:b/>
          <w:bCs/>
        </w:rPr>
        <w:t xml:space="preserve">or</w:t>
      </w:r>
      <w:r>
        <w:t xml:space="preserve"> </w:t>
      </w:r>
      <w:r>
        <w:t xml:space="preserve">(</w:t>
      </w:r>
      <w:r>
        <w:rPr>
          <w:rStyle w:val="VerbatimChar"/>
        </w:rPr>
        <w:t xml:space="preserve">org:share-scope = organization</w:t>
      </w:r>
      <w:r>
        <w:t xml:space="preserve">)</w:t>
      </w:r>
    </w:p>
    <w:p>
      <w:pPr>
        <w:pStyle w:val="FirstParagraph"/>
      </w:pPr>
      <w:r>
        <w:t xml:space="preserve">The rule needs no consumer ARNs or account IDs. It works</w:t>
      </w:r>
      <w:r>
        <w:t xml:space="preserve"> </w:t>
      </w:r>
      <w:r>
        <w:rPr>
          <w:b/>
          <w:bCs/>
        </w:rPr>
        <w:t xml:space="preserve">across accounts</w:t>
      </w:r>
      <w:r>
        <w:t xml:space="preserve">, because AWS evaluates the caller’s principal tags (</w:t>
      </w:r>
      <w:r>
        <w:rPr>
          <w:rStyle w:val="VerbatimChar"/>
        </w:rPr>
        <w:t xml:space="preserve">aws:PrincipalTag/...</w:t>
      </w:r>
      <w:r>
        <w:t xml:space="preserve">) in the resource account’s policy. A new project or account in the same product gets access automatically, and a project that moves to another product loses it automatically.</w:t>
      </w:r>
    </w:p>
    <w:p>
      <w:pPr>
        <w:pStyle w:val="BodyText"/>
      </w:pPr>
      <w:r>
        <w:rPr>
          <w:b/>
          <w:bCs/>
        </w:rPr>
        <w:t xml:space="preserve">What the platform generates:</w:t>
      </w:r>
    </w:p>
    <w:tbl>
      <w:tblPr>
        <w:tblStyle w:val="Table"/>
        <w:tblW w:type="dxa" w:w="10080"/>
        <w:tblLayout w:type="fixed"/>
        <w:tblLook w:firstRow="1" w:lastRow="0" w:firstColumn="0" w:lastColumn="0" w:noHBand="0" w:noVBand="0" w:val="0020"/>
      </w:tblPr>
      <w:tblGrid>
        <w:gridCol w:w="4149"/>
        <w:gridCol w:w="5931"/>
      </w:tblGrid>
      <w:tr>
        <w:trPr>
          <w:tblHeader w:val="on"/>
        </w:trPr>
        <w:tc>
          <w:tcPr>
            <w:tcW w:type="dxa" w:w="4149"/>
          </w:tcPr>
          <w:p>
            <w:pPr>
              <w:pStyle w:val="Compact"/>
            </w:pPr>
            <w:r>
              <w:t xml:space="preserve">Side</w:t>
            </w:r>
          </w:p>
        </w:tc>
        <w:tc>
          <w:tcPr>
            <w:tcW w:type="dxa" w:w="5931"/>
          </w:tcPr>
          <w:p>
            <w:pPr>
              <w:pStyle w:val="Compact"/>
            </w:pPr>
            <w:r>
              <w:t xml:space="preserve">Generated from the tags</w:t>
            </w:r>
          </w:p>
        </w:tc>
      </w:tr>
      <w:tr>
        <w:tc>
          <w:tcPr>
            <w:tcW w:type="dxa" w:w="4149"/>
          </w:tcPr>
          <w:p>
            <w:pPr>
              <w:pStyle w:val="Compact"/>
            </w:pPr>
            <w:r>
              <w:rPr>
                <w:b/>
                <w:bCs/>
              </w:rPr>
              <w:t xml:space="preserve">Provider resource policy</w:t>
            </w:r>
            <w:r>
              <w:t xml:space="preserve"> </w:t>
            </w:r>
            <w:r>
              <w:t xml:space="preserve">(S3, SQS, SNS, KMS, Secrets Manager, DynamoDB, EventBridge, Lambda, ECR, Kinesis, OpenSearch, …)</w:t>
            </w:r>
          </w:p>
        </w:tc>
        <w:tc>
          <w:tcPr>
            <w:tcW w:type="dxa" w:w="5931"/>
          </w:tcPr>
          <w:p>
            <w:pPr>
              <w:pStyle w:val="Compact"/>
            </w:pPr>
            <w:r>
              <w:t xml:space="preserve">An Allow for the share rule above, with the resource’s</w:t>
            </w:r>
            <w:r>
              <w:t xml:space="preserve"> </w:t>
            </w:r>
            <w:r>
              <w:rPr>
                <w:b/>
                <w:bCs/>
              </w:rPr>
              <w:t xml:space="preserve">own tag values written in</w:t>
            </w:r>
            <w:r>
              <w:t xml:space="preserve"> </w:t>
            </w:r>
            <w:r>
              <w:t xml:space="preserve">at synthesis time (e.g. </w:t>
            </w:r>
            <w:r>
              <w:rPr>
                <w:rStyle w:val="VerbatimChar"/>
              </w:rPr>
              <w:t xml:space="preserve">aws:PrincipalTag/org:product = "pr-invoicing"</w:t>
            </w:r>
            <w:r>
              <w:t xml:space="preserve">). The §4.10 deny statements are widened only to the same scope. For</w:t>
            </w:r>
            <w:r>
              <w:t xml:space="preserve"> </w:t>
            </w:r>
            <w:r>
              <w:rPr>
                <w:rStyle w:val="VerbatimChar"/>
              </w:rPr>
              <w:t xml:space="preserve">read</w:t>
            </w:r>
            <w:r>
              <w:t xml:space="preserve"> </w:t>
            </w:r>
            <w:r>
              <w:t xml:space="preserve">sharing, an extra deny blocks every write action for anyone but the owning project.</w:t>
            </w:r>
          </w:p>
        </w:tc>
      </w:tr>
      <w:tr>
        <w:tc>
          <w:tcPr>
            <w:tcW w:type="dxa" w:w="4149"/>
          </w:tcPr>
          <w:p>
            <w:pPr>
              <w:pStyle w:val="Compact"/>
            </w:pPr>
            <w:r>
              <w:rPr>
                <w:b/>
                <w:bCs/>
              </w:rPr>
              <w:t xml:space="preserve">Provider KMS key</w:t>
            </w:r>
            <w:r>
              <w:t xml:space="preserve"> </w:t>
            </w:r>
            <w:r>
              <w:t xml:space="preserve">(if the data is encrypted)</w:t>
            </w:r>
          </w:p>
        </w:tc>
        <w:tc>
          <w:tcPr>
            <w:tcW w:type="dxa" w:w="5931"/>
          </w:tcPr>
          <w:p>
            <w:pPr>
              <w:pStyle w:val="Compact"/>
            </w:pPr>
            <w:r>
              <w:t xml:space="preserve">Key policy grant for the same share rule, limited with</w:t>
            </w:r>
            <w:r>
              <w:t xml:space="preserve"> </w:t>
            </w:r>
            <w:r>
              <w:rPr>
                <w:rStyle w:val="VerbatimChar"/>
              </w:rPr>
              <w:t xml:space="preserve">kms:ViaService</w:t>
            </w:r>
            <w:r>
              <w:t xml:space="preserve"> </w:t>
            </w:r>
            <w:r>
              <w:t xml:space="preserve">to the service in use</w:t>
            </w:r>
          </w:p>
        </w:tc>
      </w:tr>
      <w:tr>
        <w:tc>
          <w:tcPr>
            <w:tcW w:type="dxa" w:w="4149"/>
          </w:tcPr>
          <w:p>
            <w:pPr>
              <w:pStyle w:val="Compact"/>
            </w:pPr>
            <w:r>
              <w:rPr>
                <w:b/>
                <w:bCs/>
              </w:rPr>
              <w:t xml:space="preserve">Cross-account role</w:t>
            </w:r>
            <w:r>
              <w:t xml:space="preserve"> </w:t>
            </w:r>
            <w:r>
              <w:t xml:space="preserve">(pattern B, for services without resource policies)</w:t>
            </w:r>
          </w:p>
        </w:tc>
        <w:tc>
          <w:tcPr>
            <w:tcW w:type="dxa" w:w="5931"/>
          </w:tcPr>
          <w:p>
            <w:pPr>
              <w:pStyle w:val="Compact"/>
            </w:pPr>
            <w:r>
              <w:t xml:space="preserve">Trust policy: any principal in the organization</w:t>
            </w:r>
            <w:r>
              <w:t xml:space="preserve"> </w:t>
            </w:r>
            <w:r>
              <w:rPr>
                <w:b/>
                <w:bCs/>
              </w:rPr>
              <w:t xml:space="preserve">with matching</w:t>
            </w:r>
            <w:r>
              <w:rPr>
                <w:b/>
                <w:bCs/>
              </w:rPr>
              <w:t xml:space="preserve"> </w:t>
            </w:r>
            <w:r>
              <w:rPr>
                <w:rStyle w:val="VerbatimChar"/>
                <w:b/>
                <w:bCs/>
              </w:rPr>
              <w:t xml:space="preserve">org:product</w:t>
            </w:r>
            <w:r>
              <w:rPr>
                <w:b/>
                <w:bCs/>
              </w:rPr>
              <w:t xml:space="preserve"> </w:t>
            </w:r>
            <w:r>
              <w:rPr>
                <w:b/>
                <w:bCs/>
              </w:rPr>
              <w:t xml:space="preserve">/</w:t>
            </w:r>
            <w:r>
              <w:rPr>
                <w:b/>
                <w:bCs/>
              </w:rPr>
              <w:t xml:space="preserve"> </w:t>
            </w:r>
            <w:r>
              <w:rPr>
                <w:rStyle w:val="VerbatimChar"/>
                <w:b/>
                <w:bCs/>
              </w:rPr>
              <w:t xml:space="preserve">org:portfolio</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tags</w:t>
            </w:r>
            <w:r>
              <w:t xml:space="preserve">, instead of named consumer roles</w:t>
            </w:r>
          </w:p>
        </w:tc>
      </w:tr>
      <w:tr>
        <w:tc>
          <w:tcPr>
            <w:tcW w:type="dxa" w:w="4149"/>
          </w:tcPr>
          <w:p>
            <w:pPr>
              <w:pStyle w:val="Compact"/>
            </w:pPr>
            <w:r>
              <w:rPr>
                <w:b/>
                <w:bCs/>
              </w:rPr>
              <w:t xml:space="preserve">Consumer side</w:t>
            </w:r>
          </w:p>
        </w:tc>
        <w:tc>
          <w:tcPr>
            <w:tcW w:type="dxa" w:w="5931"/>
          </w:tcPr>
          <w:p>
            <w:pPr>
              <w:pStyle w:val="Compact"/>
            </w:pPr>
            <w:r>
              <w:t xml:space="preserve">When a consumer draws a connection to a shared resource (picked from the</w:t>
            </w:r>
            <w:r>
              <w:t xml:space="preserve"> </w:t>
            </w:r>
            <w:r>
              <w:rPr>
                <w:b/>
                <w:bCs/>
              </w:rPr>
              <w:t xml:space="preserve">shareable-resource catalog</w:t>
            </w:r>
            <w:r>
              <w:t xml:space="preserve">, which is built from share tags), the platform checks the tags match, then raises an</w:t>
            </w:r>
            <w:r>
              <w:t xml:space="preserve"> </w:t>
            </w:r>
            <w:r>
              <w:rPr>
                <w:b/>
                <w:bCs/>
              </w:rPr>
              <w:t xml:space="preserve">access request</w:t>
            </w:r>
            <w:r>
              <w:t xml:space="preserve"> </w:t>
            </w:r>
            <w:r>
              <w:t xml:space="preserve">in the sharing approval workflow (§4.11.6). Only after approval does it generate the exact-ARN statements and the contract binding (auto-approved, with a notification to the provider, if the resource is tagged</w:t>
            </w:r>
            <w:r>
              <w:t xml:space="preserve"> </w:t>
            </w:r>
            <w:r>
              <w:rPr>
                <w:rStyle w:val="VerbatimChar"/>
              </w:rPr>
              <w:t xml:space="preserve">org:share-approval=auto</w:t>
            </w:r>
            <w:r>
              <w:t xml:space="preserve">). Because only the platform creates runtime roles and their policies,</w:t>
            </w:r>
            <w:r>
              <w:t xml:space="preserve"> </w:t>
            </w:r>
            <w:r>
              <w:rPr>
                <w:b/>
                <w:bCs/>
              </w:rPr>
              <w:t xml:space="preserve">no consumer can use a shared resource without an approved request</w:t>
            </w:r>
            <w:r>
              <w:t xml:space="preserve">, even when the tags would match. The consumer’s boundary allows cross-project access only to resources whose</w:t>
            </w:r>
            <w:r>
              <w:t xml:space="preserve"> </w:t>
            </w:r>
            <w:r>
              <w:rPr>
                <w:rStyle w:val="VerbatimChar"/>
              </w:rPr>
              <w:t xml:space="preserve">aws:ResourceTag/org:share-scope</w:t>
            </w:r>
            <w:r>
              <w:t xml:space="preserve"> </w:t>
            </w:r>
            <w:r>
              <w:t xml:space="preserve">and product/portfolio match the consumer’s tags (where the service supports resource-tag conditions), and only inside the organization.</w:t>
            </w:r>
          </w:p>
        </w:tc>
      </w:tr>
    </w:tbl>
    <w:p>
      <w:pPr>
        <w:pStyle w:val="BodyText"/>
      </w:pPr>
      <w:r>
        <w:rPr>
          <w:b/>
          <w:bCs/>
        </w:rPr>
        <w:t xml:space="preserve">Example: generated statements for a bucket tagged</w:t>
      </w:r>
      <w:r>
        <w:rPr>
          <w:b/>
          <w:bCs/>
        </w:rPr>
        <w:t xml:space="preserve"> </w:t>
      </w:r>
      <w:r>
        <w:rPr>
          <w:rStyle w:val="VerbatimChar"/>
          <w:b/>
          <w:bCs/>
        </w:rPr>
        <w:t xml:space="preserve">org:product=pr-invoicing</w:t>
      </w:r>
      <w:r>
        <w:rPr>
          <w:b/>
          <w:bCs/>
        </w:rPr>
        <w:t xml:space="preserve">,</w:t>
      </w:r>
      <w:r>
        <w:rPr>
          <w:b/>
          <w:bCs/>
        </w:rPr>
        <w:t xml:space="preserve"> </w:t>
      </w:r>
      <w:r>
        <w:rPr>
          <w:rStyle w:val="VerbatimChar"/>
          <w:b/>
          <w:bCs/>
        </w:rPr>
        <w:t xml:space="preserve">org:share-scope=product</w:t>
      </w:r>
      <w:r>
        <w:rPr>
          <w:b/>
          <w:bCs/>
        </w:rPr>
        <w:t xml:space="preserve">,</w:t>
      </w:r>
      <w:r>
        <w:rPr>
          <w:b/>
          <w:bCs/>
        </w:rPr>
        <w:t xml:space="preserve"> </w:t>
      </w:r>
      <w:r>
        <w:rPr>
          <w:rStyle w:val="VerbatimChar"/>
          <w:b/>
          <w:bCs/>
        </w:rPr>
        <w:t xml:space="preserve">org:share-access=read</w:t>
      </w:r>
      <w:r>
        <w:rPr>
          <w:b/>
          <w:bCs/>
        </w:rPr>
        <w:t xml:space="preserve">,</w:t>
      </w:r>
      <w:r>
        <w:rPr>
          <w:b/>
          <w:bCs/>
        </w:rPr>
        <w:t xml:space="preserve"> </w:t>
      </w:r>
      <w:r>
        <w:rPr>
          <w:rStyle w:val="VerbatimChar"/>
          <w:b/>
          <w:bCs/>
        </w:rPr>
        <w:t xml:space="preserve">org:environment=prod</w:t>
      </w:r>
      <w:r>
        <w:rPr>
          <w:b/>
          <w:bCs/>
        </w:rPr>
        <w:t xml:space="preserve"> </w:t>
      </w:r>
      <w:r>
        <w:rPr>
          <w:b/>
          <w:bCs/>
        </w:rPr>
        <w:t xml:space="preserve">(illustrative):</w:t>
      </w:r>
    </w:p>
    <w:p>
      <w:pPr>
        <w:pStyle w:val="SourceCode"/>
      </w:pPr>
      <w:r>
        <w:rPr>
          <w:rStyle w:val="VerbatimChar"/>
        </w:rPr>
        <w:t xml:space="preserve">[</w:t>
      </w:r>
      <w:r>
        <w:br/>
      </w:r>
      <w:r>
        <w:rPr>
          <w:rStyle w:val="VerbatimChar"/>
        </w:rPr>
        <w:t xml:space="preserve">  { "Sid": "ShareByTagRead", "Effect": "Allow", "Principal": "*",</w:t>
      </w:r>
      <w:r>
        <w:br/>
      </w:r>
      <w:r>
        <w:rPr>
          <w:rStyle w:val="VerbatimChar"/>
        </w:rPr>
        <w:t xml:space="preserve">    "Action": ["s3:GetObject", "s3:ListBucket"],</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"StringEquals": { "aws:PrincipalOrgID": "o-exampleorg",</w:t>
      </w:r>
      <w:r>
        <w:br/>
      </w:r>
      <w:r>
        <w:rPr>
          <w:rStyle w:val="VerbatimChar"/>
        </w:rPr>
        <w:t xml:space="preserve">                                     "aws:PrincipalTag/org:product": "pr-invoicing",</w:t>
      </w:r>
      <w:r>
        <w:br/>
      </w:r>
      <w:r>
        <w:rPr>
          <w:rStyle w:val="VerbatimChar"/>
        </w:rPr>
        <w:t xml:space="preserve">                                     "aws:PrincipalTag/org:environment": "prod" } } },</w:t>
      </w:r>
      <w:r>
        <w:br/>
      </w:r>
      <w:r>
        <w:rPr>
          <w:rStyle w:val="VerbatimChar"/>
        </w:rPr>
        <w:t xml:space="preserve">  { "Sid": "DenyOutsideShareScope", "Effect": "Deny", "Principal": "*", "Action": "s3:*",</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"StringNotEquals": { "aws:PrincipalTag/org:product": "pr-invoicing" },</w:t>
      </w:r>
      <w:r>
        <w:br/>
      </w:r>
      <w:r>
        <w:rPr>
          <w:rStyle w:val="VerbatimChar"/>
        </w:rPr>
        <w:t xml:space="preserve">                   "BoolIfExists": { "aws:PrincipalIsAWSService": "false" } } },</w:t>
      </w:r>
      <w:r>
        <w:br/>
      </w:r>
      <w:r>
        <w:rPr>
          <w:rStyle w:val="VerbatimChar"/>
        </w:rPr>
        <w:t xml:space="preserve">  { "Sid": "DenyWritesExceptOwner", "Effect": "Deny", "Principal": "*",</w:t>
      </w:r>
      <w:r>
        <w:br/>
      </w:r>
      <w:r>
        <w:rPr>
          <w:rStyle w:val="VerbatimChar"/>
        </w:rPr>
        <w:t xml:space="preserve">    "Action": ["s3:PutObject", "s3:DeleteObject", "s3:PutObjectAcl"],</w:t>
      </w:r>
      <w:r>
        <w:br/>
      </w:r>
      <w:r>
        <w:rPr>
          <w:rStyle w:val="VerbatimChar"/>
        </w:rPr>
        <w:t xml:space="preserve">    "Resource": "arn:aws:s3:::invoice-ingest--uploads-555555555555-us-east-1/*",</w:t>
      </w:r>
      <w:r>
        <w:br/>
      </w:r>
      <w:r>
        <w:rPr>
          <w:rStyle w:val="VerbatimChar"/>
        </w:rPr>
        <w:t xml:space="preserve">    "Condition": { "StringNotEquals": { "aws:PrincipalTag/org:project": "invoice-ingest" },</w:t>
      </w:r>
      <w:r>
        <w:br/>
      </w:r>
      <w:r>
        <w:rPr>
          <w:rStyle w:val="VerbatimChar"/>
        </w:rPr>
        <w:t xml:space="preserve">                   "BoolIfExists": { "aws:PrincipalIsAWSService": "false" } } }</w:t>
      </w:r>
      <w:r>
        <w:br/>
      </w:r>
      <w:r>
        <w:rPr>
          <w:rStyle w:val="VerbatimChar"/>
        </w:rPr>
        <w:t xml:space="preserve">]</w:t>
      </w:r>
    </w:p>
    <w:p>
      <w:pPr>
        <w:pStyle w:val="FirstParagraph"/>
      </w:pPr>
      <w:r>
        <w:t xml:space="preserve">The environment deny statement from §4.10.2 stays unchanged, and the service-linked-role and break-glass exceptions apply as before.</w:t>
      </w:r>
    </w:p>
    <w:p>
      <w:pPr>
        <w:pStyle w:val="BodyText"/>
      </w:pPr>
      <w:r>
        <w:rPr>
          <w:b/>
          <w:bCs/>
        </w:rPr>
        <w:t xml:space="preserve">Guardrails on share tags:</w:t>
      </w:r>
      <w:r>
        <w:t xml:space="preserve"> </w:t>
      </w:r>
      <w:r>
        <w:t xml:space="preserve">- Share tags are</w:t>
      </w:r>
      <w:r>
        <w:t xml:space="preserve"> </w:t>
      </w:r>
      <w:r>
        <w:rPr>
          <w:rStyle w:val="VerbatimChar"/>
        </w:rPr>
        <w:t xml:space="preserve">org:*</w:t>
      </w:r>
      <w:r>
        <w:t xml:space="preserve"> </w:t>
      </w:r>
      <w:r>
        <w:t xml:space="preserve">tags, so</w:t>
      </w:r>
      <w:r>
        <w:t xml:space="preserve"> </w:t>
      </w:r>
      <w:r>
        <w:rPr>
          <w:b/>
          <w:bCs/>
        </w:rPr>
        <w:t xml:space="preserve">only the platform pipeline can set or change them</w:t>
      </w:r>
      <w:r>
        <w:t xml:space="preserve"> </w:t>
      </w:r>
      <w:r>
        <w:t xml:space="preserve">(SCP §4.7). Changing a share tag is an infrastructure change with the normal gates and approvals.</w:t>
      </w:r>
      <w:r>
        <w:t xml:space="preserve"> </w:t>
      </w:r>
      <w:r>
        <w:t xml:space="preserve">-</w:t>
      </w:r>
      <w:r>
        <w:t xml:space="preserve"> </w:t>
      </w:r>
      <w:r>
        <w:rPr>
          <w:b/>
          <w:bCs/>
        </w:rPr>
        <w:t xml:space="preserve">Classification limits</w:t>
      </w:r>
      <w:r>
        <w:t xml:space="preserve"> </w:t>
      </w:r>
      <w:r>
        <w:t xml:space="preserve">(defaults, configurable, D37):</w:t>
      </w:r>
      <w:r>
        <w:t xml:space="preserve"> </w:t>
      </w:r>
      <w:r>
        <w:t xml:space="preserve">-</w:t>
      </w:r>
      <w:r>
        <w:t xml:space="preserve"> </w:t>
      </w:r>
      <w:r>
        <w:rPr>
          <w:rStyle w:val="VerbatimChar"/>
        </w:rPr>
        <w:t xml:space="preserve">public</w:t>
      </w:r>
      <w:r>
        <w:t xml:space="preserve">/</w:t>
      </w:r>
      <w:r>
        <w:rPr>
          <w:rStyle w:val="VerbatimChar"/>
        </w:rPr>
        <w:t xml:space="preserve">internal</w:t>
      </w:r>
      <w:r>
        <w:t xml:space="preserve"> </w:t>
      </w:r>
      <w:r>
        <w:t xml:space="preserve">data: any scope.</w:t>
      </w:r>
      <w:r>
        <w:t xml:space="preserve"> </w:t>
      </w:r>
      <w:r>
        <w:t xml:space="preserve">-</w:t>
      </w:r>
      <w:r>
        <w:t xml:space="preserve"> </w:t>
      </w:r>
      <w:r>
        <w:rPr>
          <w:rStyle w:val="VerbatimChar"/>
        </w:rPr>
        <w:t xml:space="preserve">confidential</w:t>
      </w:r>
      <w:r>
        <w:t xml:space="preserve">: up to</w:t>
      </w:r>
      <w:r>
        <w:t xml:space="preserve"> </w:t>
      </w:r>
      <w:r>
        <w:rPr>
          <w:rStyle w:val="VerbatimChar"/>
        </w:rPr>
        <w:t xml:space="preserve">product</w:t>
      </w:r>
      <w:r>
        <w:t xml:space="preserve">.</w:t>
      </w:r>
      <w:r>
        <w:t xml:space="preserve"> </w:t>
      </w:r>
      <w:r>
        <w:t xml:space="preserve">-</w:t>
      </w:r>
      <w:r>
        <w:t xml:space="preserve"> </w:t>
      </w:r>
      <w:r>
        <w:rPr>
          <w:rStyle w:val="VerbatimChar"/>
        </w:rPr>
        <w:t xml:space="preserve">restricted</w:t>
      </w:r>
      <w:r>
        <w:t xml:space="preserve">:</w:t>
      </w:r>
      <w:r>
        <w:t xml:space="preserve"> </w:t>
      </w:r>
      <w:r>
        <w:rPr>
          <w:rStyle w:val="VerbatimChar"/>
        </w:rPr>
        <w:t xml:space="preserve">none</w:t>
      </w:r>
      <w:r>
        <w:t xml:space="preserve">, so agreements only.</w:t>
      </w:r>
      <w:r>
        <w:t xml:space="preserve"> </w:t>
      </w:r>
      <w:r>
        <w:t xml:space="preserve">-</w:t>
      </w:r>
      <w:r>
        <w:t xml:space="preserve"> </w:t>
      </w:r>
      <w:r>
        <w:rPr>
          <w:b/>
          <w:bCs/>
        </w:rPr>
        <w:t xml:space="preserve">Every change to share tags is a share-offer request</w:t>
      </w:r>
      <w:r>
        <w:t xml:space="preserve"> </w:t>
      </w:r>
      <w:r>
        <w:t xml:space="preserve">in the approval workflow (§4.11.6). It needs a security reviewer when widening scope beyond</w:t>
      </w:r>
      <w:r>
        <w:t xml:space="preserve"> </w:t>
      </w:r>
      <w:r>
        <w:rPr>
          <w:rStyle w:val="VerbatimChar"/>
        </w:rPr>
        <w:t xml:space="preserve">product</w:t>
      </w:r>
      <w:r>
        <w:t xml:space="preserve"> </w:t>
      </w:r>
      <w:r>
        <w:t xml:space="preserve">or granting anything other than</w:t>
      </w:r>
      <w:r>
        <w:t xml:space="preserve"> </w:t>
      </w:r>
      <w:r>
        <w:rPr>
          <w:rStyle w:val="VerbatimChar"/>
        </w:rPr>
        <w:t xml:space="preserve">read</w:t>
      </w:r>
      <w:r>
        <w:t xml:space="preserve">.</w:t>
      </w:r>
      <w:r>
        <w:t xml:space="preserve"> </w:t>
      </w:r>
      <w:r>
        <w:t xml:space="preserve">-</w:t>
      </w:r>
      <w:r>
        <w:t xml:space="preserve"> </w:t>
      </w:r>
      <w:r>
        <w:rPr>
          <w:b/>
          <w:bCs/>
        </w:rPr>
        <w:t xml:space="preserve">Tag Policies</w:t>
      </w:r>
      <w:r>
        <w:t xml:space="preserve"> </w:t>
      </w:r>
      <w:r>
        <w:t xml:space="preserve">enforce the allowed values. The</w:t>
      </w:r>
      <w:r>
        <w:t xml:space="preserve"> </w:t>
      </w:r>
      <w:r>
        <w:rPr>
          <w:b/>
          <w:bCs/>
        </w:rPr>
        <w:t xml:space="preserve">shareable-resource catalog</w:t>
      </w:r>
      <w:r>
        <w:t xml:space="preserve"> </w:t>
      </w:r>
      <w:r>
        <w:t xml:space="preserve">in the UI lists every resource with a share scope, its owner, access level and classification.</w:t>
      </w:r>
      <w:r>
        <w:t xml:space="preserve"> </w:t>
      </w:r>
      <w:r>
        <w:t xml:space="preserve">-</w:t>
      </w:r>
      <w:r>
        <w:t xml:space="preserve"> </w:t>
      </w:r>
      <w:r>
        <w:rPr>
          <w:b/>
          <w:bCs/>
        </w:rPr>
        <w:t xml:space="preserve">IAM Access Analyzer:</w:t>
      </w:r>
      <w:r>
        <w:t xml:space="preserve"> </w:t>
      </w:r>
      <w:r>
        <w:t xml:space="preserve">archive rules are generated from the share tags, so expected access (e.g. </w:t>
      </w:r>
      <w:r>
        <w:t xml:space="preserve">“principals in o-exampleorg with product pr-invoicing, read”</w:t>
      </w:r>
      <w:r>
        <w:t xml:space="preserve">) is archived automatically, and anything else alerts.</w:t>
      </w:r>
      <w:r>
        <w:t xml:space="preserve"> </w:t>
      </w:r>
      <w:r>
        <w:t xml:space="preserve">-</w:t>
      </w:r>
      <w:r>
        <w:t xml:space="preserve"> </w:t>
      </w:r>
      <w:r>
        <w:rPr>
          <w:b/>
          <w:bCs/>
        </w:rPr>
        <w:t xml:space="preserve">Revoking</w:t>
      </w:r>
      <w:r>
        <w:t xml:space="preserve"> </w:t>
      </w:r>
      <w:r>
        <w:t xml:space="preserve">= setting</w:t>
      </w:r>
      <w:r>
        <w:t xml:space="preserve"> </w:t>
      </w:r>
      <w:r>
        <w:rPr>
          <w:rStyle w:val="VerbatimChar"/>
        </w:rPr>
        <w:t xml:space="preserve">org:share-scope=none</w:t>
      </w:r>
      <w:r>
        <w:t xml:space="preserve">. The next deploy regenerates the policies and access stops for everyone at once. The consumers’ connections are flagged in their projects.</w:t>
      </w:r>
    </w:p>
    <w:p>
      <w:pPr>
        <w:pStyle w:val="Heading3"/>
      </w:pPr>
      <w:r>
        <w:t xml:space="preserve">4.11.2 Sharing by agreement (explicit, for everything tags don’t cover)</w:t>
      </w:r>
    </w:p>
    <w:p>
      <w:pPr>
        <w:pStyle w:val="FirstParagraph"/>
      </w:pPr>
      <w:r>
        <w:t xml:space="preserve">A sharing agreement is a record in the platform registry, created and approved in the UI:</w:t>
      </w:r>
    </w:p>
    <w:tbl>
      <w:tblPr>
        <w:tblStyle w:val="Table"/>
        <w:tblW w:type="dxa" w:w="10080"/>
        <w:tblLayout w:type="fixed"/>
        <w:tblLook w:firstRow="1" w:lastRow="0" w:firstColumn="0" w:lastColumn="0" w:noHBand="0" w:noVBand="0" w:val="0020"/>
      </w:tblPr>
      <w:tblGrid>
        <w:gridCol w:w="1743"/>
        <w:gridCol w:w="8337"/>
      </w:tblGrid>
      <w:tr>
        <w:trPr>
          <w:tblHeader w:val="on"/>
        </w:trPr>
        <w:tc>
          <w:tcPr>
            <w:tcW w:type="dxa" w:w="1743"/>
          </w:tcPr>
          <w:p>
            <w:pPr>
              <w:pStyle w:val="Compact"/>
            </w:pPr>
            <w:r>
              <w:t xml:space="preserve">Field</w:t>
            </w:r>
          </w:p>
        </w:tc>
        <w:tc>
          <w:tcPr>
            <w:tcW w:type="dxa" w:w="8337"/>
          </w:tcPr>
          <w:p>
            <w:pPr>
              <w:pStyle w:val="Compact"/>
            </w:pPr>
            <w:r>
              <w:t xml:space="preserve">Example</w:t>
            </w:r>
          </w:p>
        </w:tc>
      </w:tr>
      <w:tr>
        <w:tc>
          <w:tcPr>
            <w:tcW w:type="dxa" w:w="1743"/>
          </w:tcPr>
          <w:p>
            <w:pPr>
              <w:pStyle w:val="Compact"/>
            </w:pPr>
            <w:r>
              <w:t xml:space="preserve">Provider</w:t>
            </w:r>
          </w:p>
        </w:tc>
        <w:tc>
          <w:tcPr>
            <w:tcW w:type="dxa" w:w="8337"/>
          </w:tcPr>
          <w:p>
            <w:pPr>
              <w:pStyle w:val="Compact"/>
            </w:pPr>
            <w:r>
              <w:t xml:space="preserve">Project</w:t>
            </w:r>
            <w:r>
              <w:t xml:space="preserve"> </w:t>
            </w:r>
            <w:r>
              <w:rPr>
                <w:rStyle w:val="VerbatimChar"/>
              </w:rPr>
              <w:t xml:space="preserve">datalake-core</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666666666666</w:t>
            </w:r>
            <w:r>
              <w:t xml:space="preserve"> </w:t>
            </w:r>
            <w:r>
              <w:t xml:space="preserve">/ resource</w:t>
            </w:r>
            <w:r>
              <w:t xml:space="preserve"> </w:t>
            </w:r>
            <w:r>
              <w:rPr>
                <w:rStyle w:val="VerbatimChar"/>
              </w:rPr>
              <w:t xml:space="preserve">arn:aws:s3:::datalake-core--curated-666666666666-us-east-1</w:t>
            </w:r>
            <w:r>
              <w:t xml:space="preserve"> </w:t>
            </w:r>
            <w:r>
              <w:t xml:space="preserve">(or</w:t>
            </w:r>
            <w:r>
              <w:t xml:space="preserve"> </w:t>
            </w:r>
            <w:r>
              <w:t xml:space="preserve">“non-platform resource”</w:t>
            </w:r>
            <w:r>
              <w:t xml:space="preserve"> </w:t>
            </w:r>
            <w:r>
              <w:t xml:space="preserve">+ ARN)</w:t>
            </w:r>
          </w:p>
        </w:tc>
      </w:tr>
      <w:tr>
        <w:tc>
          <w:tcPr>
            <w:tcW w:type="dxa" w:w="1743"/>
          </w:tcPr>
          <w:p>
            <w:pPr>
              <w:pStyle w:val="Compact"/>
            </w:pPr>
            <w:r>
              <w:t xml:space="preserve">Consumer</w:t>
            </w:r>
          </w:p>
        </w:tc>
        <w:tc>
          <w:tcPr>
            <w:tcW w:type="dxa" w:w="8337"/>
          </w:tcPr>
          <w:p>
            <w:pPr>
              <w:pStyle w:val="Compact"/>
            </w:pPr>
            <w:r>
              <w:t xml:space="preserve">Project</w:t>
            </w:r>
            <w:r>
              <w:t xml:space="preserve"> </w:t>
            </w:r>
            <w:r>
              <w:rPr>
                <w:rStyle w:val="VerbatimChar"/>
              </w:rPr>
              <w:t xml:space="preserve">invoice-ingest</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555555555555</w:t>
            </w:r>
            <w:r>
              <w:t xml:space="preserve"> </w:t>
            </w:r>
            <w:r>
              <w:t xml:space="preserve">/ component (slot)</w:t>
            </w:r>
            <w:r>
              <w:t xml:space="preserve"> </w:t>
            </w:r>
            <w:r>
              <w:rPr>
                <w:rStyle w:val="VerbatimChar"/>
              </w:rPr>
              <w:t xml:space="preserve">processor</w:t>
            </w:r>
          </w:p>
        </w:tc>
      </w:tr>
      <w:tr>
        <w:tc>
          <w:tcPr>
            <w:tcW w:type="dxa" w:w="1743"/>
          </w:tcPr>
          <w:p>
            <w:pPr>
              <w:pStyle w:val="Compact"/>
            </w:pPr>
            <w:r>
              <w:t xml:space="preserve">Access</w:t>
            </w:r>
          </w:p>
        </w:tc>
        <w:tc>
          <w:tcPr>
            <w:tcW w:type="dxa" w:w="8337"/>
          </w:tcPr>
          <w:p>
            <w:pPr>
              <w:pStyle w:val="Compact"/>
            </w:pP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r>
              <w:t xml:space="preserve"> </w:t>
            </w:r>
            <w:r>
              <w:t xml:space="preserve">(mapped to exact actions per service from the Service Authorization Reference, §6.8.1)</w:t>
            </w:r>
          </w:p>
        </w:tc>
      </w:tr>
      <w:tr>
        <w:tc>
          <w:tcPr>
            <w:tcW w:type="dxa" w:w="1743"/>
          </w:tcPr>
          <w:p>
            <w:pPr>
              <w:pStyle w:val="Compact"/>
            </w:pPr>
            <w:r>
              <w:t xml:space="preserve">Scope</w:t>
            </w:r>
          </w:p>
        </w:tc>
        <w:tc>
          <w:tcPr>
            <w:tcW w:type="dxa" w:w="8337"/>
          </w:tcPr>
          <w:p>
            <w:pPr>
              <w:pStyle w:val="Compact"/>
            </w:pPr>
            <w:r>
              <w:t xml:space="preserve">Optional prefix / key condition (e.g. </w:t>
            </w:r>
            <w:r>
              <w:rPr>
                <w:rStyle w:val="VerbatimChar"/>
              </w:rPr>
              <w:t xml:space="preserve">s3:prefix = invoices/</w:t>
            </w:r>
            <w:r>
              <w:t xml:space="preserve">)</w:t>
            </w:r>
          </w:p>
        </w:tc>
      </w:tr>
      <w:tr>
        <w:tc>
          <w:tcPr>
            <w:tcW w:type="dxa" w:w="1743"/>
          </w:tcPr>
          <w:p>
            <w:pPr>
              <w:pStyle w:val="Compact"/>
            </w:pPr>
            <w:r>
              <w:t xml:space="preserve">Data classification</w:t>
            </w:r>
          </w:p>
        </w:tc>
        <w:tc>
          <w:tcPr>
            <w:tcW w:type="dxa" w:w="8337"/>
          </w:tcPr>
          <w:p>
            <w:pPr>
              <w:pStyle w:val="Compact"/>
            </w:pPr>
            <w:r>
              <w:t xml:space="preserve">Must be ≤ the consumer project’s classification ceiling</w:t>
            </w:r>
          </w:p>
        </w:tc>
      </w:tr>
      <w:tr>
        <w:tc>
          <w:tcPr>
            <w:tcW w:type="dxa" w:w="1743"/>
          </w:tcPr>
          <w:p>
            <w:pPr>
              <w:pStyle w:val="Compact"/>
            </w:pPr>
            <w:r>
              <w:t xml:space="preserve">Expiry / review date</w:t>
            </w:r>
          </w:p>
        </w:tc>
        <w:tc>
          <w:tcPr>
            <w:tcW w:type="dxa" w:w="8337"/>
          </w:tcPr>
          <w:p>
            <w:pPr>
              <w:pStyle w:val="Compact"/>
            </w:pPr>
            <w:r>
              <w:t xml:space="preserve">Required, e.g. 12 months; recertified quarterly</w:t>
            </w:r>
          </w:p>
        </w:tc>
      </w:tr>
      <w:tr>
        <w:tc>
          <w:tcPr>
            <w:tcW w:type="dxa" w:w="1743"/>
          </w:tcPr>
          <w:p>
            <w:pPr>
              <w:pStyle w:val="Compact"/>
            </w:pPr>
            <w:r>
              <w:t xml:space="preserve">Approvals</w:t>
            </w:r>
          </w:p>
        </w:tc>
        <w:tc>
          <w:tcPr>
            <w:tcW w:type="dxa" w:w="8337"/>
          </w:tcPr>
          <w:p>
            <w:pPr>
              <w:pStyle w:val="Compact"/>
            </w:pPr>
            <w:r>
              <w:t xml:space="preserve">Consumer owner (request) +</w:t>
            </w:r>
            <w:r>
              <w:t xml:space="preserve"> </w:t>
            </w:r>
            <w:r>
              <w:rPr>
                <w:b/>
                <w:bCs/>
              </w:rPr>
              <w:t xml:space="preserve">provider owner</w:t>
            </w:r>
            <w:r>
              <w:t xml:space="preserve"> </w:t>
            </w:r>
            <w:r>
              <w:t xml:space="preserve">+ security reviewer for PROD or</w:t>
            </w:r>
            <w:r>
              <w:t xml:space="preserve"> </w:t>
            </w:r>
            <w:r>
              <w:rPr>
                <w:rStyle w:val="VerbatimChar"/>
              </w:rPr>
              <w:t xml:space="preserve">confidential</w:t>
            </w:r>
            <w:r>
              <w:t xml:space="preserve">+ data</w:t>
            </w:r>
          </w:p>
        </w:tc>
      </w:tr>
    </w:tbl>
    <w:p>
      <w:pPr>
        <w:pStyle w:val="BodyText"/>
      </w:pPr>
      <w:r>
        <w:rPr>
          <w:b/>
          <w:bCs/>
        </w:rPr>
        <w:t xml:space="preserve">Rules enforced on every agreement:</w:t>
      </w:r>
      <w:r>
        <w:t xml:space="preserve"> </w:t>
      </w:r>
      <w:r>
        <w:t xml:space="preserve">-</w:t>
      </w:r>
      <w:r>
        <w:t xml:space="preserve"> </w:t>
      </w:r>
      <w:r>
        <w:rPr>
          <w:b/>
          <w:bCs/>
        </w:rPr>
        <w:t xml:space="preserve">Same environment tier only:</w:t>
      </w:r>
      <w:r>
        <w:t xml:space="preserve"> </w:t>
      </w:r>
      <w:r>
        <w:t xml:space="preserve">DEV↔DEV, PROD↔PROD. PROD resources are never shared with non-PROD. Any other combination needs a security exception.</w:t>
      </w:r>
      <w:r>
        <w:t xml:space="preserve"> </w:t>
      </w:r>
      <w:r>
        <w:t xml:space="preserve">-</w:t>
      </w:r>
      <w:r>
        <w:t xml:space="preserve"> </w:t>
      </w:r>
      <w:r>
        <w:rPr>
          <w:b/>
          <w:bCs/>
        </w:rPr>
        <w:t xml:space="preserve">Inside the AWS Organization by default</w:t>
      </w:r>
      <w:r>
        <w:t xml:space="preserve"> </w:t>
      </w:r>
      <w:r>
        <w:t xml:space="preserve">(</w:t>
      </w:r>
      <w:r>
        <w:rPr>
          <w:rStyle w:val="VerbatimChar"/>
        </w:rPr>
        <w:t xml:space="preserve">aws:PrincipalOrgID</w:t>
      </w:r>
      <w:r>
        <w:t xml:space="preserve"> </w:t>
      </w:r>
      <w:r>
        <w:t xml:space="preserve">/</w:t>
      </w:r>
      <w:r>
        <w:t xml:space="preserve"> </w:t>
      </w:r>
      <w:r>
        <w:rPr>
          <w:rStyle w:val="VerbatimChar"/>
        </w:rPr>
        <w:t xml:space="preserve">aws:ResourceOrgID</w:t>
      </w:r>
      <w:r>
        <w:t xml:space="preserve">). Accounts outside the organization (partners, vendors) are off by default and need an explicit exception, with an ExternalId for role assumption.</w:t>
      </w:r>
      <w:r>
        <w:t xml:space="preserve"> </w:t>
      </w:r>
      <w:r>
        <w:t xml:space="preserve">-</w:t>
      </w:r>
      <w:r>
        <w:t xml:space="preserve"> </w:t>
      </w:r>
      <w:r>
        <w:rPr>
          <w:b/>
          <w:bCs/>
        </w:rPr>
        <w:t xml:space="preserve">Least privilege:</w:t>
      </w:r>
      <w:r>
        <w:t xml:space="preserve"> </w:t>
      </w:r>
      <w:r>
        <w:t xml:space="preserve">exact actions for the access level, exact resource ARNs, optional prefix.</w:t>
      </w:r>
      <w:r>
        <w:t xml:space="preserve"> </w:t>
      </w:r>
      <w:r>
        <w:t xml:space="preserve">-</w:t>
      </w:r>
      <w:r>
        <w:t xml:space="preserve"> </w:t>
      </w:r>
      <w:r>
        <w:rPr>
          <w:b/>
          <w:bCs/>
        </w:rPr>
        <w:t xml:space="preserve">Both sides consent:</w:t>
      </w:r>
      <w:r>
        <w:t xml:space="preserve"> </w:t>
      </w:r>
      <w:r>
        <w:t xml:space="preserve">nothing is generated until the provider owner approves.</w:t>
      </w:r>
    </w:p>
    <w:p>
      <w:pPr>
        <w:pStyle w:val="Heading3"/>
      </w:pPr>
      <w:r>
        <w:t xml:space="preserve">4.11.3 How access is granted (per service)</w:t>
      </w:r>
    </w:p>
    <w:tbl>
      <w:tblPr>
        <w:tblStyle w:val="Table"/>
        <w:tblW w:type="dxa" w:w="10080"/>
        <w:tblLayout w:type="fixed"/>
        <w:tblLook w:firstRow="1" w:lastRow="0" w:firstColumn="0" w:lastColumn="0" w:noHBand="0" w:noVBand="0" w:val="0020"/>
      </w:tblPr>
      <w:tblGrid>
        <w:gridCol w:w="1025"/>
        <w:gridCol w:w="2803"/>
        <w:gridCol w:w="3189"/>
        <w:gridCol w:w="3063"/>
      </w:tblGrid>
      <w:tr>
        <w:trPr>
          <w:tblHeader w:val="on"/>
        </w:trPr>
        <w:tc>
          <w:tcPr>
            <w:tcW w:type="dxa" w:w="1025"/>
          </w:tcPr>
          <w:p>
            <w:pPr>
              <w:pStyle w:val="Compact"/>
            </w:pPr>
            <w:r>
              <w:t xml:space="preserve">Pattern</w:t>
            </w:r>
          </w:p>
        </w:tc>
        <w:tc>
          <w:tcPr>
            <w:tcW w:type="dxa" w:w="2803"/>
          </w:tcPr>
          <w:p>
            <w:pPr>
              <w:pStyle w:val="Compact"/>
            </w:pPr>
            <w:r>
              <w:t xml:space="preserve">When</w:t>
            </w:r>
          </w:p>
        </w:tc>
        <w:tc>
          <w:tcPr>
            <w:tcW w:type="dxa" w:w="3189"/>
          </w:tcPr>
          <w:p>
            <w:pPr>
              <w:pStyle w:val="Compact"/>
            </w:pPr>
            <w:r>
              <w:t xml:space="preserve">Provider side (generated)</w:t>
            </w:r>
          </w:p>
        </w:tc>
        <w:tc>
          <w:tcPr>
            <w:tcW w:type="dxa" w:w="3063"/>
          </w:tcPr>
          <w:p>
            <w:pPr>
              <w:pStyle w:val="Compact"/>
            </w:pPr>
            <w:r>
              <w:t xml:space="preserve">Consumer side (generated)</w:t>
            </w:r>
          </w:p>
        </w:tc>
      </w:tr>
      <w:tr>
        <w:tc>
          <w:tcPr>
            <w:tcW w:type="dxa" w:w="1025"/>
          </w:tcPr>
          <w:p>
            <w:pPr>
              <w:pStyle w:val="Compact"/>
            </w:pPr>
            <w:r>
              <w:rPr>
                <w:b/>
                <w:bCs/>
              </w:rPr>
              <w:t xml:space="preserve">A. Resource policy grant</w:t>
            </w:r>
            <w:r>
              <w:t xml:space="preserve"> </w:t>
            </w:r>
            <w:r>
              <w:t xml:space="preserve">(preferred)</w:t>
            </w:r>
          </w:p>
        </w:tc>
        <w:tc>
          <w:tcPr>
            <w:tcW w:type="dxa" w:w="2803"/>
          </w:tcPr>
          <w:p>
            <w:pPr>
              <w:pStyle w:val="Compact"/>
            </w:pPr>
            <w:r>
              <w:t xml:space="preserve">Services with resource-based policies: S3, SQS, SNS, KMS, Secrets Manager, EventBridge buses, Lambda (invoke), DynamoDB (resource policies), ECR, OpenSearch, Kinesis (resource policies)</w:t>
            </w:r>
          </w:p>
        </w:tc>
        <w:tc>
          <w:tcPr>
            <w:tcW w:type="dxa" w:w="3189"/>
          </w:tcPr>
          <w:p>
            <w:pPr>
              <w:pStyle w:val="Compact"/>
            </w:pPr>
            <w:r>
              <w:t xml:space="preserve">Allow statement for the consumer:</w:t>
            </w:r>
            <w:r>
              <w:t xml:space="preserve"> </w:t>
            </w:r>
            <w:r>
              <w:rPr>
                <w:rStyle w:val="VerbatimChar"/>
              </w:rPr>
              <w:t xml:space="preserve">aws:PrincipalAccount = consumer account</w:t>
            </w:r>
            <w:r>
              <w:t xml:space="preserve"> </w:t>
            </w:r>
            <w:r>
              <w:rPr>
                <w:b/>
                <w:bCs/>
              </w:rPr>
              <w:t xml:space="preserve">and</w:t>
            </w:r>
            <w:r>
              <w:t xml:space="preserve"> </w:t>
            </w:r>
            <w:r>
              <w:rPr>
                <w:rStyle w:val="VerbatimChar"/>
              </w:rPr>
              <w:t xml:space="preserve">aws:PrincipalTag/org:project = consumer project</w:t>
            </w:r>
            <w:r>
              <w:t xml:space="preserve"> </w:t>
            </w:r>
            <w:r>
              <w:rPr>
                <w:b/>
                <w:bCs/>
              </w:rPr>
              <w:t xml:space="preserve">and</w:t>
            </w:r>
            <w:r>
              <w:t xml:space="preserve"> </w:t>
            </w:r>
            <w:r>
              <w:rPr>
                <w:rStyle w:val="VerbatimChar"/>
              </w:rPr>
              <w:t xml:space="preserve">aws:PrincipalTag/org:environment = env</w:t>
            </w:r>
            <w:r>
              <w:t xml:space="preserve"> </w:t>
            </w:r>
            <w:r>
              <w:rPr>
                <w:b/>
                <w:bCs/>
              </w:rPr>
              <w:t xml:space="preserve">and</w:t>
            </w:r>
            <w:r>
              <w:t xml:space="preserve"> </w:t>
            </w:r>
            <w:r>
              <w:rPr>
                <w:rStyle w:val="VerbatimChar"/>
              </w:rPr>
              <w:t xml:space="preserve">aws:PrincipalOrgID = our org</w:t>
            </w:r>
            <w:r>
              <w:t xml:space="preserve">. The §4.10 deny statements gain the approved consumer as their only additional exception.</w:t>
            </w:r>
          </w:p>
        </w:tc>
        <w:tc>
          <w:tcPr>
            <w:tcW w:type="dxa" w:w="3063"/>
          </w:tcPr>
          <w:p>
            <w:pPr>
              <w:pStyle w:val="Compact"/>
            </w:pPr>
            <w:r>
              <w:t xml:space="preserve">Runtime role statement for the exact ARN + actions, with</w:t>
            </w:r>
            <w:r>
              <w:t xml:space="preserve"> </w:t>
            </w:r>
            <w:r>
              <w:rPr>
                <w:rStyle w:val="VerbatimChar"/>
              </w:rPr>
              <w:t xml:space="preserve">aws:ResourceAccount = provider account</w:t>
            </w:r>
            <w:r>
              <w:t xml:space="preserve"> </w:t>
            </w:r>
            <w:r>
              <w:t xml:space="preserve">and, where supported,</w:t>
            </w:r>
            <w:r>
              <w:t xml:space="preserve"> </w:t>
            </w:r>
            <w:r>
              <w:rPr>
                <w:rStyle w:val="VerbatimChar"/>
              </w:rPr>
              <w:t xml:space="preserve">aws:ResourceTag/org:project = provider project</w:t>
            </w:r>
          </w:p>
        </w:tc>
      </w:tr>
      <w:tr>
        <w:tc>
          <w:tcPr>
            <w:tcW w:type="dxa" w:w="1025"/>
          </w:tcPr>
          <w:p>
            <w:pPr>
              <w:pStyle w:val="Compact"/>
            </w:pPr>
            <w:r>
              <w:rPr>
                <w:b/>
                <w:bCs/>
              </w:rPr>
              <w:t xml:space="preserve">B. Cross-account role</w:t>
            </w:r>
          </w:p>
        </w:tc>
        <w:tc>
          <w:tcPr>
            <w:tcW w:type="dxa" w:w="2803"/>
          </w:tcPr>
          <w:p>
            <w:pPr>
              <w:pStyle w:val="Compact"/>
            </w:pPr>
            <w:r>
              <w:t xml:space="preserve">Services without resource policies, or when the provider wants one auditable entry point</w:t>
            </w:r>
          </w:p>
        </w:tc>
        <w:tc>
          <w:tcPr>
            <w:tcW w:type="dxa" w:w="3189"/>
          </w:tcPr>
          <w:p>
            <w:pPr>
              <w:pStyle w:val="Compact"/>
            </w:pPr>
            <w:r>
              <w:t xml:space="preserve">A role</w:t>
            </w:r>
            <w:r>
              <w:t xml:space="preserve"> </w:t>
            </w:r>
            <w:r>
              <w:rPr>
                <w:rStyle w:val="VerbatimChar"/>
              </w:rPr>
              <w:t xml:space="preserve">xacct/{provider-project}/{consumer-project}</w:t>
            </w:r>
            <w:r>
              <w:t xml:space="preserve"> </w:t>
            </w:r>
            <w:r>
              <w:t xml:space="preserve">tagged with the provider’s tags</w:t>
            </w:r>
            <w:r>
              <w:t xml:space="preserve"> </w:t>
            </w:r>
            <w:r>
              <w:rPr>
                <w:b/>
                <w:bCs/>
              </w:rPr>
              <w:t xml:space="preserve">plus</w:t>
            </w:r>
            <w:r>
              <w:t xml:space="preserve"> </w:t>
            </w:r>
            <w:r>
              <w:rPr>
                <w:rStyle w:val="VerbatimChar"/>
              </w:rPr>
              <w:t xml:space="preserve">org:share-consumer = {consumer project}</w:t>
            </w:r>
            <w:r>
              <w:t xml:space="preserve">. Trust: the consumer component’s role ARN, with</w:t>
            </w:r>
            <w:r>
              <w:t xml:space="preserve"> </w:t>
            </w:r>
            <w:r>
              <w:rPr>
                <w:rStyle w:val="VerbatimChar"/>
              </w:rPr>
              <w:t xml:space="preserve">aws:PrincipalTag/org:project</w:t>
            </w:r>
            <w:r>
              <w:t xml:space="preserve"> </w:t>
            </w:r>
            <w:r>
              <w:t xml:space="preserve">and</w:t>
            </w:r>
            <w:r>
              <w:t xml:space="preserve"> </w:t>
            </w:r>
            <w:r>
              <w:rPr>
                <w:rStyle w:val="VerbatimChar"/>
              </w:rPr>
              <w:t xml:space="preserve">org:environment</w:t>
            </w:r>
            <w:r>
              <w:t xml:space="preserve"> </w:t>
            </w:r>
            <w:r>
              <w:t xml:space="preserve">conditions and</w:t>
            </w:r>
            <w:r>
              <w:t xml:space="preserve"> </w:t>
            </w:r>
            <w:r>
              <w:rPr>
                <w:rStyle w:val="VerbatimChar"/>
              </w:rPr>
              <w:t xml:space="preserve">aws:PrincipalOrgID</w:t>
            </w:r>
            <w:r>
              <w:t xml:space="preserve">. Permissions: only the agreed actions on the agreed resources</w:t>
            </w:r>
          </w:p>
        </w:tc>
        <w:tc>
          <w:tcPr>
            <w:tcW w:type="dxa" w:w="3063"/>
          </w:tcPr>
          <w:p>
            <w:pPr>
              <w:pStyle w:val="Compact"/>
            </w:pPr>
            <w:r>
              <w:rPr>
                <w:rStyle w:val="VerbatimChar"/>
              </w:rPr>
              <w:t xml:space="preserve">sts:AssumeRole</w:t>
            </w:r>
            <w:r>
              <w:t xml:space="preserve"> </w:t>
            </w:r>
            <w:r>
              <w:t xml:space="preserve">on</w:t>
            </w:r>
            <w:r>
              <w:t xml:space="preserve"> </w:t>
            </w:r>
            <w:r>
              <w:rPr>
                <w:b/>
                <w:bCs/>
              </w:rPr>
              <w:t xml:space="preserve">that one role ARN</w:t>
            </w:r>
            <w:r>
              <w:t xml:space="preserve"> </w:t>
            </w:r>
            <w:r>
              <w:t xml:space="preserve">only. The boundary allows</w:t>
            </w:r>
            <w:r>
              <w:t xml:space="preserve"> </w:t>
            </w:r>
            <w:r>
              <w:rPr>
                <w:rStyle w:val="VerbatimChar"/>
              </w:rPr>
              <w:t xml:space="preserve">sts:AssumeRole</w:t>
            </w:r>
            <w:r>
              <w:t xml:space="preserve"> </w:t>
            </w:r>
            <w:r>
              <w:t xml:space="preserve">only when</w:t>
            </w:r>
            <w:r>
              <w:t xml:space="preserve"> </w:t>
            </w:r>
            <w:r>
              <w:rPr>
                <w:rStyle w:val="VerbatimChar"/>
              </w:rPr>
              <w:t xml:space="preserve">aws:ResourceTag/org:share-consumer = ${aws:PrincipalTag/org:project}</w:t>
            </w:r>
          </w:p>
        </w:tc>
      </w:tr>
      <w:tr>
        <w:tc>
          <w:tcPr>
            <w:tcW w:type="dxa" w:w="1025"/>
          </w:tcPr>
          <w:p>
            <w:pPr>
              <w:pStyle w:val="Compact"/>
            </w:pPr>
            <w:r>
              <w:rPr>
                <w:b/>
                <w:bCs/>
              </w:rPr>
              <w:t xml:space="preserve">C. AWS RAM share</w:t>
            </w:r>
          </w:p>
        </w:tc>
        <w:tc>
          <w:tcPr>
            <w:tcW w:type="dxa" w:w="2803"/>
          </w:tcPr>
          <w:p>
            <w:pPr>
              <w:pStyle w:val="Compact"/>
            </w:pPr>
            <w:r>
              <w:t xml:space="preserve">Resources shared by AWS RAM (e.g. subnets, Transit Gateway attachments, Glue Data Catalog, Route 53 Resolver rules)</w:t>
            </w:r>
          </w:p>
        </w:tc>
        <w:tc>
          <w:tcPr>
            <w:tcW w:type="dxa" w:w="3189"/>
          </w:tcPr>
          <w:p>
            <w:pPr>
              <w:pStyle w:val="Compact"/>
            </w:pPr>
            <w:r>
              <w:t xml:space="preserve">RAM resource share to the consumer account, tagged with the agreement ID</w:t>
            </w:r>
          </w:p>
        </w:tc>
        <w:tc>
          <w:tcPr>
            <w:tcW w:type="dxa" w:w="3063"/>
          </w:tcPr>
          <w:p>
            <w:pPr>
              <w:pStyle w:val="Compact"/>
            </w:pPr>
            <w:r>
              <w:t xml:space="preserve">Consumer stack references the shared resource ARN from the contract</w:t>
            </w:r>
          </w:p>
        </w:tc>
      </w:tr>
      <w:tr>
        <w:tc>
          <w:tcPr>
            <w:tcW w:type="dxa" w:w="1025"/>
          </w:tcPr>
          <w:p>
            <w:pPr>
              <w:pStyle w:val="Compact"/>
            </w:pPr>
            <w:r>
              <w:rPr>
                <w:b/>
                <w:bCs/>
              </w:rPr>
              <w:t xml:space="preserve">D. Encrypted data</w:t>
            </w:r>
          </w:p>
        </w:tc>
        <w:tc>
          <w:tcPr>
            <w:tcW w:type="dxa" w:w="2803"/>
          </w:tcPr>
          <w:p>
            <w:pPr>
              <w:pStyle w:val="Compact"/>
            </w:pPr>
            <w:r>
              <w:t xml:space="preserve">Any of the above where the data is KMS-encrypted</w:t>
            </w:r>
          </w:p>
        </w:tc>
        <w:tc>
          <w:tcPr>
            <w:tcW w:type="dxa" w:w="3189"/>
          </w:tcPr>
          <w:p>
            <w:pPr>
              <w:pStyle w:val="Compact"/>
            </w:pPr>
            <w:r>
              <w:t xml:space="preserve">Key policy grant (pattern A) for the consumer role, with</w:t>
            </w:r>
            <w:r>
              <w:t xml:space="preserve"> </w:t>
            </w:r>
            <w:r>
              <w:rPr>
                <w:rStyle w:val="VerbatimChar"/>
              </w:rPr>
              <w:t xml:space="preserve">kms:ViaService</w:t>
            </w:r>
            <w:r>
              <w:t xml:space="preserve"> </w:t>
            </w:r>
            <w:r>
              <w:t xml:space="preserve">limited to the service in use (e.g. </w:t>
            </w:r>
            <w:r>
              <w:rPr>
                <w:rStyle w:val="VerbatimChar"/>
              </w:rPr>
              <w:t xml:space="preserve">s3.us-east-1.amazonaws.com</w:t>
            </w:r>
            <w:r>
              <w:t xml:space="preserve">)</w:t>
            </w:r>
          </w:p>
        </w:tc>
        <w:tc>
          <w:tcPr>
            <w:tcW w:type="dxa" w:w="3063"/>
          </w:tcPr>
          <w:p>
            <w:pPr>
              <w:pStyle w:val="Compact"/>
            </w:pPr>
            <w:r>
              <w:rPr>
                <w:rStyle w:val="VerbatimChar"/>
              </w:rPr>
              <w:t xml:space="preserve">kms:Decrypt</w:t>
            </w:r>
            <w:r>
              <w:t xml:space="preserve"> </w:t>
            </w:r>
            <w:r>
              <w:t xml:space="preserve">/</w:t>
            </w:r>
            <w:r>
              <w:t xml:space="preserve"> </w:t>
            </w:r>
            <w:r>
              <w:rPr>
                <w:rStyle w:val="VerbatimChar"/>
              </w:rPr>
              <w:t xml:space="preserve">kms:GenerateDataKey</w:t>
            </w:r>
            <w:r>
              <w:t xml:space="preserve"> </w:t>
            </w:r>
            <w:r>
              <w:t xml:space="preserve">on that key ARN only</w:t>
            </w:r>
          </w:p>
        </w:tc>
      </w:tr>
      <w:tr>
        <w:tc>
          <w:tcPr>
            <w:tcW w:type="dxa" w:w="1025"/>
          </w:tcPr>
          <w:p>
            <w:pPr>
              <w:pStyle w:val="Compact"/>
            </w:pPr>
            <w:r>
              <w:rPr>
                <w:b/>
                <w:bCs/>
              </w:rPr>
              <w:t xml:space="preserve">E. Private network path</w:t>
            </w:r>
          </w:p>
        </w:tc>
        <w:tc>
          <w:tcPr>
            <w:tcW w:type="dxa" w:w="2803"/>
          </w:tcPr>
          <w:p>
            <w:pPr>
              <w:pStyle w:val="Compact"/>
            </w:pPr>
            <w:r>
              <w:t xml:space="preserve">Cross-account network access (databases, internal APIs)</w:t>
            </w:r>
          </w:p>
        </w:tc>
        <w:tc>
          <w:tcPr>
            <w:tcW w:type="dxa" w:w="3189"/>
          </w:tcPr>
          <w:p>
            <w:pPr>
              <w:pStyle w:val="Compact"/>
            </w:pPr>
            <w:r>
              <w:rPr>
                <w:b/>
                <w:bCs/>
              </w:rPr>
              <w:t xml:space="preserve">PrivateLink endpoint service</w:t>
            </w:r>
            <w:r>
              <w:t xml:space="preserve"> </w:t>
            </w:r>
            <w:r>
              <w:t xml:space="preserve">(preferred) with allowed principals = consumer account; owned by the provider project or the network team</w:t>
            </w:r>
          </w:p>
        </w:tc>
        <w:tc>
          <w:tcPr>
            <w:tcW w:type="dxa" w:w="3063"/>
          </w:tcPr>
          <w:p>
            <w:pPr>
              <w:pStyle w:val="Compact"/>
            </w:pPr>
            <w:r>
              <w:t xml:space="preserve">Interface endpoint + security group in the consumer project (</w:t>
            </w:r>
            <w:r>
              <w:rPr>
                <w:rStyle w:val="VerbatimChar"/>
              </w:rPr>
              <w:t xml:space="preserve">network.access</w:t>
            </w:r>
            <w:r>
              <w:t xml:space="preserve">)</w:t>
            </w:r>
          </w:p>
        </w:tc>
      </w:tr>
      <w:tr>
        <w:tc>
          <w:tcPr>
            <w:tcW w:type="dxa" w:w="1025"/>
          </w:tcPr>
          <w:p>
            <w:pPr>
              <w:pStyle w:val="Compact"/>
            </w:pPr>
            <w:r>
              <w:rPr>
                <w:b/>
                <w:bCs/>
              </w:rPr>
              <w:t xml:space="preserve">F. Events</w:t>
            </w:r>
          </w:p>
        </w:tc>
        <w:tc>
          <w:tcPr>
            <w:tcW w:type="dxa" w:w="2803"/>
          </w:tcPr>
          <w:p>
            <w:pPr>
              <w:pStyle w:val="Compact"/>
            </w:pPr>
            <w:r>
              <w:t xml:space="preserve">EventBridge / SNS → SQS across accounts</w:t>
            </w:r>
          </w:p>
        </w:tc>
        <w:tc>
          <w:tcPr>
            <w:tcW w:type="dxa" w:w="3189"/>
          </w:tcPr>
          <w:p>
            <w:pPr>
              <w:pStyle w:val="Compact"/>
            </w:pPr>
            <w:r>
              <w:t xml:space="preserve">Bus policy / topic policy allowing the consumer’s rule or subscription (pattern A)</w:t>
            </w:r>
          </w:p>
        </w:tc>
        <w:tc>
          <w:tcPr>
            <w:tcW w:type="dxa" w:w="3063"/>
          </w:tcPr>
          <w:p>
            <w:pPr>
              <w:pStyle w:val="Compact"/>
            </w:pPr>
            <w:r>
              <w:t xml:space="preserve">Rule target or subscription, plus the queue policy on the consumer’s own queue</w:t>
            </w:r>
          </w:p>
        </w:tc>
      </w:tr>
    </w:tbl>
    <w:p>
      <w:pPr>
        <w:pStyle w:val="BodyText"/>
      </w:pPr>
      <w:r>
        <w:rPr>
          <w:b/>
          <w:bCs/>
        </w:rPr>
        <w:t xml:space="preserve">Non-platform resources</w:t>
      </w:r>
      <w:r>
        <w:t xml:space="preserve"> </w:t>
      </w:r>
      <w:r>
        <w:t xml:space="preserve">(in accounts the platform does not manage): the platform generates the consumer side. It gives the provider owner a</w:t>
      </w:r>
      <w:r>
        <w:t xml:space="preserve"> </w:t>
      </w:r>
      <w:r>
        <w:rPr>
          <w:b/>
          <w:bCs/>
        </w:rPr>
        <w:t xml:space="preserve">ready-to-apply policy snippet</w:t>
      </w:r>
      <w:r>
        <w:t xml:space="preserve">. A readiness check (a harmless read such as</w:t>
      </w:r>
      <w:r>
        <w:t xml:space="preserve"> </w:t>
      </w:r>
      <w:r>
        <w:rPr>
          <w:rStyle w:val="VerbatimChar"/>
        </w:rPr>
        <w:t xml:space="preserve">HeadBucket</w:t>
      </w:r>
      <w:r>
        <w:t xml:space="preserve"> </w:t>
      </w:r>
      <w:r>
        <w:t xml:space="preserve">/</w:t>
      </w:r>
      <w:r>
        <w:t xml:space="preserve"> </w:t>
      </w:r>
      <w:r>
        <w:rPr>
          <w:rStyle w:val="VerbatimChar"/>
        </w:rPr>
        <w:t xml:space="preserve">GetQueueAttributes</w:t>
      </w:r>
      <w:r>
        <w:t xml:space="preserve"> </w:t>
      </w:r>
      <w:r>
        <w:t xml:space="preserve">from the consumer role) confirms the grant before the agreement is marked active.</w:t>
      </w:r>
    </w:p>
    <w:p>
      <w:pPr>
        <w:pStyle w:val="Heading3"/>
      </w:pPr>
      <w:r>
        <w:t xml:space="preserve">4.11.4 How sharing fits the four isolation layers (§4.10)</w:t>
      </w:r>
    </w:p>
    <w:tbl>
      <w:tblPr>
        <w:tblStyle w:val="Table"/>
        <w:tblW w:type="dxa" w:w="10080"/>
        <w:tblLayout w:type="fixed"/>
        <w:tblLook w:firstRow="1" w:lastRow="0" w:firstColumn="0" w:lastColumn="0" w:noHBand="0" w:noVBand="0" w:val="0020"/>
      </w:tblPr>
      <w:tblGrid>
        <w:gridCol w:w="2344"/>
        <w:gridCol w:w="7736"/>
      </w:tblGrid>
      <w:tr>
        <w:trPr>
          <w:tblHeader w:val="on"/>
        </w:trPr>
        <w:tc>
          <w:tcPr>
            <w:tcW w:type="dxa" w:w="2344"/>
          </w:tcPr>
          <w:p>
            <w:pPr>
              <w:pStyle w:val="Compact"/>
            </w:pPr>
            <w:r>
              <w:t xml:space="preserve">Layer</w:t>
            </w:r>
          </w:p>
        </w:tc>
        <w:tc>
          <w:tcPr>
            <w:tcW w:type="dxa" w:w="7736"/>
          </w:tcPr>
          <w:p>
            <w:pPr>
              <w:pStyle w:val="Compact"/>
            </w:pPr>
            <w:r>
              <w:t xml:space="preserve">Change for an approved agreement</w:t>
            </w:r>
          </w:p>
        </w:tc>
      </w:tr>
      <w:tr>
        <w:tc>
          <w:tcPr>
            <w:tcW w:type="dxa" w:w="2344"/>
          </w:tcPr>
          <w:p>
            <w:pPr>
              <w:pStyle w:val="Compact"/>
            </w:pPr>
            <w:r>
              <w:t xml:space="preserve">1. Consumer runtime role</w:t>
            </w:r>
          </w:p>
        </w:tc>
        <w:tc>
          <w:tcPr>
            <w:tcW w:type="dxa" w:w="7736"/>
          </w:tcPr>
          <w:p>
            <w:pPr>
              <w:pStyle w:val="Compact"/>
            </w:pPr>
            <w:r>
              <w:t xml:space="preserve">Gets statements for the provider’s exact ARNs and actions (pattern A) or for</w:t>
            </w:r>
            <w:r>
              <w:t xml:space="preserve"> </w:t>
            </w:r>
            <w:r>
              <w:rPr>
                <w:rStyle w:val="VerbatimChar"/>
              </w:rPr>
              <w:t xml:space="preserve">sts:AssumeRole</w:t>
            </w:r>
            <w:r>
              <w:t xml:space="preserve"> </w:t>
            </w:r>
            <w:r>
              <w:t xml:space="preserve">on one role (pattern B).</w:t>
            </w:r>
            <w:r>
              <w:t xml:space="preserve"> </w:t>
            </w:r>
            <w:r>
              <w:rPr>
                <w:b/>
                <w:bCs/>
              </w:rPr>
              <w:t xml:space="preserve">Generated only from an active agreement</w:t>
            </w:r>
            <w:r>
              <w:t xml:space="preserve">; the linter rejects any other cross-account statement.</w:t>
            </w:r>
          </w:p>
        </w:tc>
      </w:tr>
      <w:tr>
        <w:tc>
          <w:tcPr>
            <w:tcW w:type="dxa" w:w="2344"/>
          </w:tcPr>
          <w:p>
            <w:pPr>
              <w:pStyle w:val="Compact"/>
            </w:pPr>
            <w:r>
              <w:t xml:space="preserve">2. Permissions boundary</w:t>
            </w:r>
          </w:p>
        </w:tc>
        <w:tc>
          <w:tcPr>
            <w:tcW w:type="dxa" w:w="7736"/>
          </w:tcPr>
          <w:p>
            <w:pPr>
              <w:pStyle w:val="Compact"/>
            </w:pPr>
            <w:r>
              <w:t xml:space="preserve">Allows cross-account access only to resources</w:t>
            </w:r>
            <w:r>
              <w:t xml:space="preserve"> </w:t>
            </w:r>
            <w:r>
              <w:rPr>
                <w:b/>
                <w:bCs/>
              </w:rPr>
              <w:t xml:space="preserve">inside the organization</w:t>
            </w:r>
            <w:r>
              <w:t xml:space="preserve"> </w:t>
            </w:r>
            <w:r>
              <w:t xml:space="preserve">(</w:t>
            </w:r>
            <w:r>
              <w:rPr>
                <w:rStyle w:val="VerbatimChar"/>
              </w:rPr>
              <w:t xml:space="preserve">aws:ResourceOrgID</w:t>
            </w:r>
            <w:r>
              <w:t xml:space="preserve">), and role assumption only to roles tagged</w:t>
            </w:r>
            <w:r>
              <w:t xml:space="preserve"> </w:t>
            </w:r>
            <w:r>
              <w:rPr>
                <w:rStyle w:val="VerbatimChar"/>
              </w:rPr>
              <w:t xml:space="preserve">org:share-consumer = ${aws:PrincipalTag/org:project}</w:t>
            </w:r>
            <w:r>
              <w:t xml:space="preserve">. Everything else stays same-project only.</w:t>
            </w:r>
          </w:p>
        </w:tc>
      </w:tr>
      <w:tr>
        <w:tc>
          <w:tcPr>
            <w:tcW w:type="dxa" w:w="2344"/>
          </w:tcPr>
          <w:p>
            <w:pPr>
              <w:pStyle w:val="Compact"/>
            </w:pPr>
            <w:r>
              <w:t xml:space="preserve">3. Provider resource policy</w:t>
            </w:r>
          </w:p>
        </w:tc>
        <w:tc>
          <w:tcPr>
            <w:tcW w:type="dxa" w:w="7736"/>
          </w:tcPr>
          <w:p>
            <w:pPr>
              <w:pStyle w:val="Compact"/>
            </w:pPr>
            <w:r>
              <w:rPr>
                <w:b/>
                <w:bCs/>
              </w:rPr>
              <w:t xml:space="preserve">By tags:</w:t>
            </w:r>
            <w:r>
              <w:t xml:space="preserve"> </w:t>
            </w:r>
            <w:r>
              <w:t xml:space="preserve">one Allow for the share rule, with the deny statements widened to the share scope only.</w:t>
            </w:r>
            <w:r>
              <w:t xml:space="preserve"> </w:t>
            </w:r>
            <w:r>
              <w:rPr>
                <w:b/>
                <w:bCs/>
              </w:rPr>
              <w:t xml:space="preserve">By agreement:</w:t>
            </w:r>
            <w:r>
              <w:t xml:space="preserve"> </w:t>
            </w:r>
            <w:r>
              <w:t xml:space="preserve">the deny statements list only the owning project plus approved consumers (account + project + environment), and a precise Allow is added per agreement.</w:t>
            </w:r>
          </w:p>
        </w:tc>
      </w:tr>
      <w:tr>
        <w:tc>
          <w:tcPr>
            <w:tcW w:type="dxa" w:w="2344"/>
          </w:tcPr>
          <w:p>
            <w:pPr>
              <w:pStyle w:val="Compact"/>
            </w:pPr>
            <w:r>
              <w:t xml:space="preserve">4. SCP data perimeter</w:t>
            </w:r>
          </w:p>
        </w:tc>
        <w:tc>
          <w:tcPr>
            <w:tcW w:type="dxa" w:w="7736"/>
          </w:tcPr>
          <w:p>
            <w:pPr>
              <w:pStyle w:val="Compact"/>
            </w:pPr>
            <w:r>
              <w:t xml:space="preserve">Platform principals cannot access resources outside the organization, and resource policies cannot grant to principals outside the organization, unless an exception is registered (§4.7).</w:t>
            </w:r>
          </w:p>
        </w:tc>
      </w:tr>
    </w:tbl>
    <w:p>
      <w:pPr>
        <w:pStyle w:val="BodyText"/>
      </w:pPr>
      <w:r>
        <w:t xml:space="preserve">A consumer can therefore reach exactly the agreed resource, with exactly the agreed actions, from exactly the agreed component and environment. No other project in either account gains anything.</w:t>
      </w:r>
    </w:p>
    <w:p>
      <w:pPr>
        <w:pStyle w:val="Heading3"/>
      </w:pPr>
      <w:r>
        <w:t xml:space="preserve">4.11.5 Agreement workflow in the UI</w:t>
      </w:r>
    </w:p>
    <w:p>
      <w:pPr>
        <w:pStyle w:val="CaptionedFigure"/>
      </w:pPr>
      <w:r>
        <w:drawing>
          <wp:inline>
            <wp:extent cx="6309360" cy="2671426"/>
            <wp:effectExtent b="0" l="0" r="0" t="0"/>
            <wp:docPr descr="Figure 7. 4.11.5 Agreement workflow in the UI"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671426"/>
                    </a:xfrm>
                    <a:prstGeom prst="rect">
                      <a:avLst/>
                    </a:prstGeom>
                    <a:noFill/>
                    <a:ln w="9525">
                      <a:noFill/>
                      <a:headEnd/>
                      <a:tailEnd/>
                    </a:ln>
                  </pic:spPr>
                </pic:pic>
              </a:graphicData>
            </a:graphic>
          </wp:inline>
        </w:drawing>
      </w:r>
    </w:p>
    <w:p>
      <w:pPr>
        <w:pStyle w:val="ImageCaption"/>
      </w:pPr>
      <w:r>
        <w:t xml:space="preserve">Figure 7. 4.11.5 Agreement workflow in the UI</w:t>
      </w:r>
    </w:p>
    <w:p>
      <w:pPr>
        <w:pStyle w:val="Compact"/>
        <w:numPr>
          <w:ilvl w:val="0"/>
          <w:numId w:val="1010"/>
        </w:numPr>
      </w:pPr>
      <w:r>
        <w:rPr>
          <w:b/>
          <w:bCs/>
        </w:rPr>
        <w:t xml:space="preserve">Shareable resources:</w:t>
      </w:r>
      <w:r>
        <w:t xml:space="preserve"> </w:t>
      </w:r>
      <w:r>
        <w:t xml:space="preserve">the catalog shows resources with share tags (self-service connect, §4.11.1) and resources marked as available by agreement (request and approve).</w:t>
      </w:r>
    </w:p>
    <w:p>
      <w:pPr>
        <w:pStyle w:val="Compact"/>
        <w:numPr>
          <w:ilvl w:val="0"/>
          <w:numId w:val="1010"/>
        </w:numPr>
      </w:pPr>
      <w:r>
        <w:rPr>
          <w:b/>
          <w:bCs/>
        </w:rPr>
        <w:t xml:space="preserve">Contract:</w:t>
      </w:r>
      <w:r>
        <w:t xml:space="preserve"> </w:t>
      </w:r>
      <w:r>
        <w:t xml:space="preserve">the consumer’s contract (§9.4) gets an</w:t>
      </w:r>
      <w:r>
        <w:t xml:space="preserve"> </w:t>
      </w:r>
      <w:r>
        <w:rPr>
          <w:rStyle w:val="VerbatimChar"/>
        </w:rPr>
        <w:t xml:space="preserve">external</w:t>
      </w:r>
      <w:r>
        <w:t xml:space="preserve"> </w:t>
      </w:r>
      <w:r>
        <w:t xml:space="preserve">section with the provider ARN, region, KMS key ARN and access level. Application code reads it like any other binding.</w:t>
      </w:r>
    </w:p>
    <w:p>
      <w:pPr>
        <w:pStyle w:val="Compact"/>
        <w:numPr>
          <w:ilvl w:val="0"/>
          <w:numId w:val="1010"/>
        </w:numPr>
      </w:pPr>
      <w:r>
        <w:rPr>
          <w:b/>
          <w:bCs/>
        </w:rPr>
        <w:t xml:space="preserve">Revocation and expiry:</w:t>
      </w:r>
      <w:r>
        <w:t xml:space="preserve"> </w:t>
      </w:r>
      <w:r>
        <w:t xml:space="preserve">revoking (by either owner or security) or expiry opens PRs that remove both sides. Expiry warnings go out 30 and 7 days before.</w:t>
      </w:r>
    </w:p>
    <w:p>
      <w:pPr>
        <w:pStyle w:val="Compact"/>
        <w:numPr>
          <w:ilvl w:val="0"/>
          <w:numId w:val="1010"/>
        </w:numPr>
      </w:pPr>
      <w:r>
        <w:rPr>
          <w:b/>
          <w:bCs/>
        </w:rPr>
        <w:t xml:space="preserve">DR/HA (§10):</w:t>
      </w:r>
      <w:r>
        <w:t xml:space="preserve"> </w:t>
      </w:r>
      <w:r>
        <w:t xml:space="preserve">agreements cover both regions of each side. Resource policies are generated in every region where the provider resource or replica exists, and the contract lists per-region ARNs.</w:t>
      </w:r>
    </w:p>
    <w:p>
      <w:pPr>
        <w:pStyle w:val="Compact"/>
        <w:numPr>
          <w:ilvl w:val="0"/>
          <w:numId w:val="1010"/>
        </w:numPr>
      </w:pPr>
      <w:r>
        <w:rPr>
          <w:b/>
          <w:bCs/>
        </w:rPr>
        <w:t xml:space="preserve">Audit:</w:t>
      </w:r>
      <w:r>
        <w:t xml:space="preserve"> </w:t>
      </w:r>
      <w:r>
        <w:t xml:space="preserve">every agreement, approval, change and revocation is in the release records.</w:t>
      </w:r>
      <w:r>
        <w:t xml:space="preserve"> </w:t>
      </w:r>
      <w:r>
        <w:rPr>
          <w:b/>
          <w:bCs/>
        </w:rPr>
        <w:t xml:space="preserve">IAM Access Analyzer</w:t>
      </w:r>
      <w:r>
        <w:t xml:space="preserve"> </w:t>
      </w:r>
      <w:r>
        <w:t xml:space="preserve">findings that match an active agreement are archived automatically; any other cross-account access raises an alert.</w:t>
      </w:r>
    </w:p>
    <w:p>
      <w:pPr>
        <w:pStyle w:val="Heading3"/>
      </w:pPr>
      <w:r>
        <w:t xml:space="preserve">4.11.6 Sharing approval workflow</w:t>
      </w:r>
    </w:p>
    <w:p>
      <w:pPr>
        <w:pStyle w:val="FirstParagraph"/>
      </w:pPr>
      <w:r>
        <w:rPr>
          <w:b/>
          <w:bCs/>
        </w:rPr>
        <w:t xml:space="preserve">All sharing is granted through one approval workflow in the platform UI.</w:t>
      </w:r>
      <w:r>
        <w:t xml:space="preserve"> </w:t>
      </w:r>
      <w:r>
        <w:t xml:space="preserve">Tags (and agreements) define what</w:t>
      </w:r>
      <w:r>
        <w:t xml:space="preserve"> </w:t>
      </w:r>
      <w:r>
        <w:rPr>
          <w:i/>
          <w:iCs/>
        </w:rPr>
        <w:t xml:space="preserve">can</w:t>
      </w:r>
      <w:r>
        <w:t xml:space="preserve"> </w:t>
      </w:r>
      <w:r>
        <w:t xml:space="preserve">be shared. The workflow decides what</w:t>
      </w:r>
      <w:r>
        <w:t xml:space="preserve"> </w:t>
      </w:r>
      <w:r>
        <w:rPr>
          <w:i/>
          <w:iCs/>
        </w:rPr>
        <w:t xml:space="preserve">is</w:t>
      </w:r>
      <w:r>
        <w:t xml:space="preserve"> </w:t>
      </w:r>
      <w:r>
        <w:t xml:space="preserve">shared, by whom, and records why.</w:t>
      </w:r>
    </w:p>
    <w:p>
      <w:pPr>
        <w:pStyle w:val="BodyText"/>
      </w:pPr>
      <w:r>
        <w:rPr>
          <w:b/>
          <w:bCs/>
        </w:rPr>
        <w:t xml:space="preserve">Request types:</w:t>
      </w:r>
    </w:p>
    <w:tbl>
      <w:tblPr>
        <w:tblStyle w:val="Table"/>
        <w:tblW w:type="dxa" w:w="10080"/>
        <w:tblLayout w:type="fixed"/>
        <w:tblLook w:firstRow="1" w:lastRow="0" w:firstColumn="0" w:lastColumn="0" w:noHBand="0" w:noVBand="0" w:val="0020"/>
      </w:tblPr>
      <w:tblGrid>
        <w:gridCol w:w="1184"/>
        <w:gridCol w:w="3002"/>
        <w:gridCol w:w="5894"/>
      </w:tblGrid>
      <w:tr>
        <w:trPr>
          <w:tblHeader w:val="on"/>
        </w:trPr>
        <w:tc>
          <w:tcPr>
            <w:tcW w:type="dxa" w:w="1184"/>
          </w:tcPr>
          <w:p>
            <w:pPr>
              <w:pStyle w:val="Compact"/>
            </w:pPr>
            <w:r>
              <w:t xml:space="preserve">Request</w:t>
            </w:r>
          </w:p>
        </w:tc>
        <w:tc>
          <w:tcPr>
            <w:tcW w:type="dxa" w:w="3002"/>
          </w:tcPr>
          <w:p>
            <w:pPr>
              <w:pStyle w:val="Compact"/>
            </w:pPr>
            <w:r>
              <w:t xml:space="preserve">Raised by</w:t>
            </w:r>
          </w:p>
        </w:tc>
        <w:tc>
          <w:tcPr>
            <w:tcW w:type="dxa" w:w="5894"/>
          </w:tcPr>
          <w:p>
            <w:pPr>
              <w:pStyle w:val="Compact"/>
            </w:pPr>
            <w:r>
              <w:t xml:space="preserve">Effect when approved</w:t>
            </w:r>
          </w:p>
        </w:tc>
      </w:tr>
      <w:tr>
        <w:tc>
          <w:tcPr>
            <w:tcW w:type="dxa" w:w="1184"/>
          </w:tcPr>
          <w:p>
            <w:pPr>
              <w:pStyle w:val="Compact"/>
            </w:pPr>
            <w:r>
              <w:rPr>
                <w:b/>
                <w:bCs/>
              </w:rPr>
              <w:t xml:space="preserve">Share offer</w:t>
            </w:r>
          </w:p>
        </w:tc>
        <w:tc>
          <w:tcPr>
            <w:tcW w:type="dxa" w:w="3002"/>
          </w:tcPr>
          <w:p>
            <w:pPr>
              <w:pStyle w:val="Compact"/>
            </w:pPr>
            <w:r>
              <w:t xml:space="preserve">Provider owner</w:t>
            </w:r>
          </w:p>
        </w:tc>
        <w:tc>
          <w:tcPr>
            <w:tcW w:type="dxa" w:w="5894"/>
          </w:tcPr>
          <w:p>
            <w:pPr>
              <w:pStyle w:val="Compact"/>
            </w:pPr>
            <w:r>
              <w:t xml:space="preserve">Sets or changes</w:t>
            </w:r>
            <w:r>
              <w:t xml:space="preserve"> </w:t>
            </w:r>
            <w:r>
              <w:rPr>
                <w:rStyle w:val="VerbatimChar"/>
              </w:rPr>
              <w:t xml:space="preserve">org:share-scope</w:t>
            </w:r>
            <w:r>
              <w:t xml:space="preserve"> </w:t>
            </w:r>
            <w:r>
              <w:t xml:space="preserve">/</w:t>
            </w:r>
            <w:r>
              <w:t xml:space="preserve"> </w:t>
            </w:r>
            <w:r>
              <w:rPr>
                <w:rStyle w:val="VerbatimChar"/>
              </w:rPr>
              <w:t xml:space="preserve">org:share-access</w:t>
            </w:r>
            <w:r>
              <w:t xml:space="preserve"> </w:t>
            </w:r>
            <w:r>
              <w:t xml:space="preserve">/</w:t>
            </w:r>
            <w:r>
              <w:t xml:space="preserve"> </w:t>
            </w:r>
            <w:r>
              <w:rPr>
                <w:rStyle w:val="VerbatimChar"/>
              </w:rPr>
              <w:t xml:space="preserve">org:share-approval</w:t>
            </w:r>
            <w:r>
              <w:t xml:space="preserve"> </w:t>
            </w:r>
            <w:r>
              <w:t xml:space="preserve">on a resource. Opens the provider infra PR</w:t>
            </w:r>
          </w:p>
        </w:tc>
      </w:tr>
      <w:tr>
        <w:tc>
          <w:tcPr>
            <w:tcW w:type="dxa" w:w="1184"/>
          </w:tcPr>
          <w:p>
            <w:pPr>
              <w:pStyle w:val="Compact"/>
            </w:pPr>
            <w:r>
              <w:rPr>
                <w:b/>
                <w:bCs/>
              </w:rPr>
              <w:t xml:space="preserve">Access request</w:t>
            </w:r>
          </w:p>
        </w:tc>
        <w:tc>
          <w:tcPr>
            <w:tcW w:type="dxa" w:w="3002"/>
          </w:tcPr>
          <w:p>
            <w:pPr>
              <w:pStyle w:val="Compact"/>
            </w:pPr>
            <w:r>
              <w:t xml:space="preserve">Consumer owner (by drawing a connection to a shared resource)</w:t>
            </w:r>
          </w:p>
        </w:tc>
        <w:tc>
          <w:tcPr>
            <w:tcW w:type="dxa" w:w="5894"/>
          </w:tcPr>
          <w:p>
            <w:pPr>
              <w:pStyle w:val="Compact"/>
            </w:pPr>
            <w:r>
              <w:t xml:space="preserve">Grants one consumer component access within the tag rule. Opens the consumer infra PR (and the provider PR where a per-consumer grant is needed, e.g. a KMS grant)</w:t>
            </w:r>
          </w:p>
        </w:tc>
      </w:tr>
      <w:tr>
        <w:tc>
          <w:tcPr>
            <w:tcW w:type="dxa" w:w="1184"/>
          </w:tcPr>
          <w:p>
            <w:pPr>
              <w:pStyle w:val="Compact"/>
            </w:pPr>
            <w:r>
              <w:rPr>
                <w:b/>
                <w:bCs/>
              </w:rPr>
              <w:t xml:space="preserve">Agreement request</w:t>
            </w:r>
          </w:p>
        </w:tc>
        <w:tc>
          <w:tcPr>
            <w:tcW w:type="dxa" w:w="3002"/>
          </w:tcPr>
          <w:p>
            <w:pPr>
              <w:pStyle w:val="Compact"/>
            </w:pPr>
            <w:r>
              <w:t xml:space="preserve">Consumer owner</w:t>
            </w:r>
          </w:p>
        </w:tc>
        <w:tc>
          <w:tcPr>
            <w:tcW w:type="dxa" w:w="5894"/>
          </w:tcPr>
          <w:p>
            <w:pPr>
              <w:pStyle w:val="Compact"/>
            </w:pPr>
            <w:r>
              <w:t xml:space="preserve">Creates a sharing agreement (§4.11.2). Opens both PRs</w:t>
            </w:r>
          </w:p>
        </w:tc>
      </w:tr>
      <w:tr>
        <w:tc>
          <w:tcPr>
            <w:tcW w:type="dxa" w:w="1184"/>
          </w:tcPr>
          <w:p>
            <w:pPr>
              <w:pStyle w:val="Compact"/>
            </w:pPr>
            <w:r>
              <w:rPr>
                <w:b/>
                <w:bCs/>
              </w:rPr>
              <w:t xml:space="preserve">Renewal</w:t>
            </w:r>
          </w:p>
        </w:tc>
        <w:tc>
          <w:tcPr>
            <w:tcW w:type="dxa" w:w="3002"/>
          </w:tcPr>
          <w:p>
            <w:pPr>
              <w:pStyle w:val="Compact"/>
            </w:pPr>
            <w:r>
              <w:t xml:space="preserve">Platform (before expiry / at recertification)</w:t>
            </w:r>
          </w:p>
        </w:tc>
        <w:tc>
          <w:tcPr>
            <w:tcW w:type="dxa" w:w="5894"/>
          </w:tcPr>
          <w:p>
            <w:pPr>
              <w:pStyle w:val="Compact"/>
            </w:pPr>
            <w:r>
              <w:t xml:space="preserve">Extends the access or agreement; if not approved in time, access is removed</w:t>
            </w:r>
          </w:p>
        </w:tc>
      </w:tr>
      <w:tr>
        <w:tc>
          <w:tcPr>
            <w:tcW w:type="dxa" w:w="1184"/>
          </w:tcPr>
          <w:p>
            <w:pPr>
              <w:pStyle w:val="Compact"/>
            </w:pPr>
            <w:r>
              <w:rPr>
                <w:b/>
                <w:bCs/>
              </w:rPr>
              <w:t xml:space="preserve">Revocation</w:t>
            </w:r>
          </w:p>
        </w:tc>
        <w:tc>
          <w:tcPr>
            <w:tcW w:type="dxa" w:w="3002"/>
          </w:tcPr>
          <w:p>
            <w:pPr>
              <w:pStyle w:val="Compact"/>
            </w:pPr>
            <w:r>
              <w:t xml:space="preserve">Provider, consumer, security</w:t>
            </w:r>
          </w:p>
        </w:tc>
        <w:tc>
          <w:tcPr>
            <w:tcW w:type="dxa" w:w="5894"/>
          </w:tcPr>
          <w:p>
            <w:pPr>
              <w:pStyle w:val="Compact"/>
            </w:pPr>
            <w:r>
              <w:t xml:space="preserve">Removes access on both sides. Emergency revocation needs only security and takes effect at once</w:t>
            </w:r>
          </w:p>
        </w:tc>
      </w:tr>
    </w:tbl>
    <w:p>
      <w:pPr>
        <w:pStyle w:val="BodyText"/>
      </w:pPr>
      <w:r>
        <w:rPr>
          <w:b/>
          <w:bCs/>
        </w:rPr>
        <w:t xml:space="preserve">Approval routing</w:t>
      </w:r>
      <w:r>
        <w:t xml:space="preserve"> </w:t>
      </w:r>
      <w:r>
        <w:t xml:space="preserve">(defaults; configurable by platform admins, D38):</w:t>
      </w:r>
    </w:p>
    <w:tbl>
      <w:tblPr>
        <w:tblStyle w:val="Table"/>
        <w:tblW w:type="dxa" w:w="10080"/>
        <w:tblLayout w:type="fixed"/>
        <w:tblLook w:firstRow="1" w:lastRow="0" w:firstColumn="0" w:lastColumn="0" w:noHBand="0" w:noVBand="0" w:val="0020"/>
      </w:tblPr>
      <w:tblGrid>
        <w:gridCol w:w="5769"/>
        <w:gridCol w:w="4311"/>
      </w:tblGrid>
      <w:tr>
        <w:trPr>
          <w:tblHeader w:val="on"/>
        </w:trPr>
        <w:tc>
          <w:tcPr>
            <w:tcW w:type="dxa" w:w="5769"/>
          </w:tcPr>
          <w:p>
            <w:pPr>
              <w:pStyle w:val="Compact"/>
            </w:pPr>
            <w:r>
              <w:t xml:space="preserve">Situation</w:t>
            </w:r>
          </w:p>
        </w:tc>
        <w:tc>
          <w:tcPr>
            <w:tcW w:type="dxa" w:w="4311"/>
          </w:tcPr>
          <w:p>
            <w:pPr>
              <w:pStyle w:val="Compact"/>
            </w:pPr>
            <w:r>
              <w:t xml:space="preserve">Approvers</w:t>
            </w:r>
          </w:p>
        </w:tc>
      </w:tr>
      <w:tr>
        <w:tc>
          <w:tcPr>
            <w:tcW w:type="dxa" w:w="5769"/>
          </w:tcPr>
          <w:p>
            <w:pPr>
              <w:pStyle w:val="Compact"/>
            </w:pPr>
            <w:r>
              <w:t xml:space="preserve">Share offer, scope</w:t>
            </w:r>
            <w:r>
              <w:t xml:space="preserve"> </w:t>
            </w:r>
            <w:r>
              <w:rPr>
                <w:rStyle w:val="VerbatimChar"/>
              </w:rPr>
              <w:t xml:space="preserve">product</w:t>
            </w:r>
            <w:r>
              <w:t xml:space="preserve">, access</w:t>
            </w:r>
            <w:r>
              <w:t xml:space="preserve"> </w:t>
            </w:r>
            <w:r>
              <w:rPr>
                <w:rStyle w:val="VerbatimChar"/>
              </w:rPr>
              <w:t xml:space="preserve">read</w:t>
            </w:r>
            <w:r>
              <w:t xml:space="preserve">, data ≤</w:t>
            </w:r>
            <w:r>
              <w:t xml:space="preserve"> </w:t>
            </w:r>
            <w:r>
              <w:rPr>
                <w:rStyle w:val="VerbatimChar"/>
              </w:rPr>
              <w:t xml:space="preserve">internal</w:t>
            </w:r>
          </w:p>
        </w:tc>
        <w:tc>
          <w:tcPr>
            <w:tcW w:type="dxa" w:w="4311"/>
          </w:tcPr>
          <w:p>
            <w:pPr>
              <w:pStyle w:val="Compact"/>
            </w:pPr>
            <w:r>
              <w:t xml:space="preserve">Provider product owner</w:t>
            </w:r>
          </w:p>
        </w:tc>
      </w:tr>
      <w:tr>
        <w:tc>
          <w:tcPr>
            <w:tcW w:type="dxa" w:w="5769"/>
          </w:tcPr>
          <w:p>
            <w:pPr>
              <w:pStyle w:val="Compact"/>
            </w:pPr>
            <w:r>
              <w:t xml:space="preserve">Share offer, scope</w:t>
            </w:r>
            <w:r>
              <w:t xml:space="preserve"> </w:t>
            </w:r>
            <w:r>
              <w:rPr>
                <w:rStyle w:val="VerbatimChar"/>
              </w:rPr>
              <w:t xml:space="preserve">portfolio</w:t>
            </w:r>
            <w:r>
              <w:t xml:space="preserve">/</w:t>
            </w:r>
            <w:r>
              <w:rPr>
                <w:rStyle w:val="VerbatimChar"/>
              </w:rPr>
              <w:t xml:space="preserve">organization</w:t>
            </w:r>
            <w:r>
              <w:t xml:space="preserve">,</w:t>
            </w:r>
            <w:r>
              <w:t xml:space="preserve"> </w:t>
            </w:r>
            <w:r>
              <w:rPr>
                <w:b/>
                <w:bCs/>
              </w:rPr>
              <w:t xml:space="preserve">or</w:t>
            </w:r>
            <w:r>
              <w:t xml:space="preserve"> </w:t>
            </w:r>
            <w:r>
              <w:t xml:space="preserve">any access beyond</w:t>
            </w:r>
            <w:r>
              <w:t xml:space="preserve"> </w:t>
            </w:r>
            <w:r>
              <w:rPr>
                <w:rStyle w:val="VerbatimChar"/>
              </w:rPr>
              <w:t xml:space="preserve">read</w:t>
            </w:r>
            <w:r>
              <w:t xml:space="preserve">,</w:t>
            </w:r>
            <w:r>
              <w:t xml:space="preserve"> </w:t>
            </w:r>
            <w:r>
              <w:rPr>
                <w:b/>
                <w:bCs/>
              </w:rPr>
              <w:t xml:space="preserve">or</w:t>
            </w:r>
            <w:r>
              <w:t xml:space="preserve"> </w:t>
            </w:r>
            <w:r>
              <w:t xml:space="preserve">data</w:t>
            </w:r>
            <w:r>
              <w:t xml:space="preserve"> </w:t>
            </w:r>
            <w:r>
              <w:rPr>
                <w:rStyle w:val="VerbatimChar"/>
              </w:rPr>
              <w:t xml:space="preserve">confidential</w:t>
            </w:r>
          </w:p>
        </w:tc>
        <w:tc>
          <w:tcPr>
            <w:tcW w:type="dxa" w:w="4311"/>
          </w:tcPr>
          <w:p>
            <w:pPr>
              <w:pStyle w:val="Compact"/>
            </w:pPr>
            <w:r>
              <w:t xml:space="preserve">Provider product owner</w:t>
            </w:r>
            <w:r>
              <w:t xml:space="preserve"> </w:t>
            </w:r>
            <w:r>
              <w:rPr>
                <w:b/>
                <w:bCs/>
              </w:rPr>
              <w:t xml:space="preserve">+ security reviewer</w:t>
            </w:r>
          </w:p>
        </w:tc>
      </w:tr>
      <w:tr>
        <w:tc>
          <w:tcPr>
            <w:tcW w:type="dxa" w:w="5769"/>
          </w:tcPr>
          <w:p>
            <w:pPr>
              <w:pStyle w:val="Compact"/>
            </w:pPr>
            <w:r>
              <w:t xml:space="preserve">Access request within an approved offer, resource tagged</w:t>
            </w:r>
            <w:r>
              <w:t xml:space="preserve"> </w:t>
            </w:r>
            <w:r>
              <w:rPr>
                <w:rStyle w:val="VerbatimChar"/>
              </w:rPr>
              <w:t xml:space="preserve">org:share-approval=auto</w:t>
            </w:r>
          </w:p>
        </w:tc>
        <w:tc>
          <w:tcPr>
            <w:tcW w:type="dxa" w:w="4311"/>
          </w:tcPr>
          <w:p>
            <w:pPr>
              <w:pStyle w:val="Compact"/>
            </w:pPr>
            <w:r>
              <w:rPr>
                <w:b/>
                <w:bCs/>
              </w:rPr>
              <w:t xml:space="preserve">Auto-approved</w:t>
            </w:r>
            <w:r>
              <w:t xml:space="preserve"> </w:t>
            </w:r>
            <w:r>
              <w:t xml:space="preserve">(provider notified; request still recorded)</w:t>
            </w:r>
          </w:p>
        </w:tc>
      </w:tr>
      <w:tr>
        <w:tc>
          <w:tcPr>
            <w:tcW w:type="dxa" w:w="5769"/>
          </w:tcPr>
          <w:p>
            <w:pPr>
              <w:pStyle w:val="Compact"/>
            </w:pPr>
            <w:r>
              <w:t xml:space="preserve">Access request within an approved offer,</w:t>
            </w:r>
            <w:r>
              <w:t xml:space="preserve"> </w:t>
            </w:r>
            <w:r>
              <w:rPr>
                <w:rStyle w:val="VerbatimChar"/>
              </w:rPr>
              <w:t xml:space="preserve">org:share-approval=required</w:t>
            </w:r>
            <w:r>
              <w:t xml:space="preserve"> </w:t>
            </w:r>
            <w:r>
              <w:t xml:space="preserve">(default)</w:t>
            </w:r>
          </w:p>
        </w:tc>
        <w:tc>
          <w:tcPr>
            <w:tcW w:type="dxa" w:w="4311"/>
          </w:tcPr>
          <w:p>
            <w:pPr>
              <w:pStyle w:val="Compact"/>
            </w:pPr>
            <w:r>
              <w:t xml:space="preserve">Provider product owner</w:t>
            </w:r>
          </w:p>
        </w:tc>
      </w:tr>
      <w:tr>
        <w:tc>
          <w:tcPr>
            <w:tcW w:type="dxa" w:w="5769"/>
          </w:tcPr>
          <w:p>
            <w:pPr>
              <w:pStyle w:val="Compact"/>
            </w:pPr>
            <w:r>
              <w:t xml:space="preserve">Access request or agreement for</w:t>
            </w:r>
            <w:r>
              <w:t xml:space="preserve"> </w:t>
            </w:r>
            <w:r>
              <w:rPr>
                <w:b/>
                <w:bCs/>
              </w:rPr>
              <w:t xml:space="preserve">PROD</w:t>
            </w:r>
            <w:r>
              <w:t xml:space="preserve"> </w:t>
            </w:r>
            <w:r>
              <w:t xml:space="preserve">with</w:t>
            </w:r>
            <w:r>
              <w:t xml:space="preserve"> </w:t>
            </w:r>
            <w:r>
              <w:rPr>
                <w:rStyle w:val="VerbatimChar"/>
              </w:rPr>
              <w:t xml:space="preserve">confidential</w:t>
            </w:r>
            <w:r>
              <w:t xml:space="preserve"> </w:t>
            </w:r>
            <w:r>
              <w:t xml:space="preserve">data</w:t>
            </w:r>
          </w:p>
        </w:tc>
        <w:tc>
          <w:tcPr>
            <w:tcW w:type="dxa" w:w="4311"/>
          </w:tcPr>
          <w:p>
            <w:pPr>
              <w:pStyle w:val="Compact"/>
            </w:pPr>
            <w:r>
              <w:t xml:space="preserve">Provider product owner</w:t>
            </w:r>
            <w:r>
              <w:t xml:space="preserve"> </w:t>
            </w:r>
            <w:r>
              <w:rPr>
                <w:b/>
                <w:bCs/>
              </w:rPr>
              <w:t xml:space="preserve">+ security reviewer</w:t>
            </w:r>
          </w:p>
        </w:tc>
      </w:tr>
      <w:tr>
        <w:tc>
          <w:tcPr>
            <w:tcW w:type="dxa" w:w="5769"/>
          </w:tcPr>
          <w:p>
            <w:pPr>
              <w:pStyle w:val="Compact"/>
            </w:pPr>
            <w:r>
              <w:t xml:space="preserve">Agreement</w:t>
            </w:r>
            <w:r>
              <w:t xml:space="preserve"> </w:t>
            </w:r>
            <w:r>
              <w:rPr>
                <w:b/>
                <w:bCs/>
              </w:rPr>
              <w:t xml:space="preserve">outside the AWS Organization</w:t>
            </w:r>
            <w:r>
              <w:t xml:space="preserve">, or a cross-environment exception</w:t>
            </w:r>
          </w:p>
        </w:tc>
        <w:tc>
          <w:tcPr>
            <w:tcW w:type="dxa" w:w="4311"/>
          </w:tcPr>
          <w:p>
            <w:pPr>
              <w:pStyle w:val="Compact"/>
            </w:pPr>
            <w:r>
              <w:t xml:space="preserve">Provider product owner + security reviewer</w:t>
            </w:r>
            <w:r>
              <w:t xml:space="preserve"> </w:t>
            </w:r>
            <w:r>
              <w:rPr>
                <w:b/>
                <w:bCs/>
              </w:rPr>
              <w:t xml:space="preserve">+ platform admin</w:t>
            </w:r>
          </w:p>
        </w:tc>
      </w:tr>
      <w:tr>
        <w:tc>
          <w:tcPr>
            <w:tcW w:type="dxa" w:w="5769"/>
          </w:tcPr>
          <w:p>
            <w:pPr>
              <w:pStyle w:val="Compact"/>
            </w:pPr>
            <w:r>
              <w:t xml:space="preserve">Renewal</w:t>
            </w:r>
          </w:p>
        </w:tc>
        <w:tc>
          <w:tcPr>
            <w:tcW w:type="dxa" w:w="4311"/>
          </w:tcPr>
          <w:p>
            <w:pPr>
              <w:pStyle w:val="Compact"/>
            </w:pPr>
            <w:r>
              <w:t xml:space="preserve">Same approvers as the original request</w:t>
            </w:r>
          </w:p>
        </w:tc>
      </w:tr>
      <w:tr>
        <w:tc>
          <w:tcPr>
            <w:tcW w:type="dxa" w:w="5769"/>
          </w:tcPr>
          <w:p>
            <w:pPr>
              <w:pStyle w:val="Compact"/>
            </w:pPr>
            <w:r>
              <w:t xml:space="preserve">Emergency revocation</w:t>
            </w:r>
          </w:p>
        </w:tc>
        <w:tc>
          <w:tcPr>
            <w:tcW w:type="dxa" w:w="4311"/>
          </w:tcPr>
          <w:p>
            <w:pPr>
              <w:pStyle w:val="Compact"/>
            </w:pPr>
            <w:r>
              <w:t xml:space="preserve">Security reviewer (single approver)</w:t>
            </w:r>
          </w:p>
        </w:tc>
      </w:tr>
    </w:tbl>
    <w:p>
      <w:pPr>
        <w:pStyle w:val="BodyText"/>
      </w:pPr>
      <w:r>
        <w:rPr>
          <w:b/>
          <w:bCs/>
        </w:rPr>
        <w:t xml:space="preserve">Workflow rules:</w:t>
      </w:r>
      <w:r>
        <w:t xml:space="preserve"> </w:t>
      </w:r>
      <w:r>
        <w:t xml:space="preserve">-</w:t>
      </w:r>
      <w:r>
        <w:t xml:space="preserve"> </w:t>
      </w:r>
      <w:r>
        <w:rPr>
          <w:b/>
          <w:bCs/>
        </w:rPr>
        <w:t xml:space="preserve">Separation of duties:</w:t>
      </w:r>
      <w:r>
        <w:t xml:space="preserve"> </w:t>
      </w:r>
      <w:r>
        <w:t xml:space="preserve">the requester cannot approve their own request; two-approver steps need two different people. Approvers come from the registry groups of the provider product (owners) and from the security group.</w:t>
      </w:r>
      <w:r>
        <w:t xml:space="preserve"> </w:t>
      </w:r>
      <w:r>
        <w:t xml:space="preserve">-</w:t>
      </w:r>
      <w:r>
        <w:t xml:space="preserve"> </w:t>
      </w:r>
      <w:r>
        <w:rPr>
          <w:b/>
          <w:bCs/>
        </w:rPr>
        <w:t xml:space="preserve">Evidence on one page:</w:t>
      </w:r>
      <w:r>
        <w:t xml:space="preserve"> </w:t>
      </w:r>
      <w:r>
        <w:t xml:space="preserve">- what is shared and with whom (project, product, account, environment);</w:t>
      </w:r>
      <w:r>
        <w:t xml:space="preserve"> </w:t>
      </w:r>
      <w:r>
        <w:t xml:space="preserve">- access level → exact actions;</w:t>
      </w:r>
      <w:r>
        <w:t xml:space="preserve"> </w:t>
      </w:r>
      <w:r>
        <w:t xml:space="preserve">- data classification;</w:t>
      </w:r>
      <w:r>
        <w:t xml:space="preserve"> </w:t>
      </w:r>
      <w:r>
        <w:t xml:space="preserve">- the</w:t>
      </w:r>
      <w:r>
        <w:t xml:space="preserve"> </w:t>
      </w:r>
      <w:r>
        <w:rPr>
          <w:b/>
          <w:bCs/>
        </w:rPr>
        <w:t xml:space="preserve">generated policy diff</w:t>
      </w:r>
      <w:r>
        <w:t xml:space="preserve"> </w:t>
      </w:r>
      <w:r>
        <w:t xml:space="preserve">for both sides;</w:t>
      </w:r>
      <w:r>
        <w:t xml:space="preserve"> </w:t>
      </w:r>
      <w:r>
        <w:t xml:space="preserve">- the Access Analyzer preview of the resulting access.</w:t>
      </w:r>
      <w:r>
        <w:t xml:space="preserve"> </w:t>
      </w:r>
      <w:r>
        <w:t xml:space="preserve">-</w:t>
      </w:r>
      <w:r>
        <w:t xml:space="preserve"> </w:t>
      </w:r>
      <w:r>
        <w:rPr>
          <w:b/>
          <w:bCs/>
        </w:rPr>
        <w:t xml:space="preserve">Timeouts and escalation:</w:t>
      </w:r>
      <w:r>
        <w:t xml:space="preserve"> </w:t>
      </w:r>
      <w:r>
        <w:t xml:space="preserve">reminders after 2 business days; escalation to the product’s secondary owner after 5; pending requests expire after 30 days.</w:t>
      </w:r>
      <w:r>
        <w:t xml:space="preserve"> </w:t>
      </w:r>
      <w:r>
        <w:t xml:space="preserve">-</w:t>
      </w:r>
      <w:r>
        <w:t xml:space="preserve"> </w:t>
      </w:r>
      <w:r>
        <w:rPr>
          <w:b/>
          <w:bCs/>
        </w:rPr>
        <w:t xml:space="preserve">Approval leads to deployment, never manual edits:</w:t>
      </w:r>
      <w:r>
        <w:t xml:space="preserve"> </w:t>
      </w:r>
      <w:r>
        <w:t xml:space="preserve">an approved request opens the infra PRs, which go through the normal gates. For STAGE/PROD they also need the usual release approval (§8.3). The release reviewer sees the sharing approval as evidence, so the decision is not asked twice: release approval checks the change, sharing approval checks the access.</w:t>
      </w:r>
      <w:r>
        <w:t xml:space="preserve"> </w:t>
      </w:r>
      <w:r>
        <w:t xml:space="preserve">-</w:t>
      </w:r>
      <w:r>
        <w:t xml:space="preserve"> </w:t>
      </w:r>
      <w:r>
        <w:rPr>
          <w:b/>
          <w:bCs/>
        </w:rPr>
        <w:t xml:space="preserve">Recertification:</w:t>
      </w:r>
      <w:r>
        <w:t xml:space="preserve"> </w:t>
      </w:r>
      <w:r>
        <w:t xml:space="preserve">every active access and agreement is re-approved periodically (default quarterly, by the provider owner). Anything not recertified is removed automatically.</w:t>
      </w:r>
      <w:r>
        <w:t xml:space="preserve"> </w:t>
      </w:r>
      <w:r>
        <w:t xml:space="preserve">-</w:t>
      </w:r>
      <w:r>
        <w:t xml:space="preserve"> </w:t>
      </w:r>
      <w:r>
        <w:rPr>
          <w:b/>
          <w:bCs/>
        </w:rPr>
        <w:t xml:space="preserve">Audit:</w:t>
      </w:r>
      <w:r>
        <w:t xml:space="preserve"> </w:t>
      </w:r>
      <w:r>
        <w:t xml:space="preserve">every request, decision, comment, generated policy and deployment is in the release records. Exportable per resource (</w:t>
      </w:r>
      <w:r>
        <w:t xml:space="preserve">“who can access this and who approved it”</w:t>
      </w:r>
      <w:r>
        <w:t xml:space="preserve">) and per consumer (</w:t>
      </w:r>
      <w:r>
        <w:t xml:space="preserve">“what does this project use and who approved it”</w:t>
      </w:r>
      <w:r>
        <w:t xml:space="preserve">).</w:t>
      </w:r>
    </w:p>
    <w:p>
      <w:pPr>
        <w:pStyle w:val="BodyText"/>
      </w:pPr>
      <w:r>
        <w:rPr>
          <w:b/>
          <w:bCs/>
        </w:rPr>
        <w:t xml:space="preserve">Engine:</w:t>
      </w:r>
      <w:r>
        <w:t xml:space="preserve"> </w:t>
      </w:r>
      <w:r>
        <w:t xml:space="preserve">AWS Step Functions (human approval steps with task tokens), state in DynamoDB, notifications through the in-app inbox and Amazon SES. These are the same AWS services as the rest of the control plane (§1).</w:t>
      </w:r>
    </w:p>
    <w:p>
      <w:pPr>
        <w:pStyle w:val="CaptionedFigure"/>
      </w:pPr>
      <w:r>
        <w:drawing>
          <wp:inline>
            <wp:extent cx="5888736" cy="7866983"/>
            <wp:effectExtent b="0" l="0" r="0" t="0"/>
            <wp:docPr descr="Figure 8. 4.11.6 Sharing approval workflow"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5888736" cy="7866983"/>
                    </a:xfrm>
                    <a:prstGeom prst="rect">
                      <a:avLst/>
                    </a:prstGeom>
                    <a:noFill/>
                    <a:ln w="9525">
                      <a:noFill/>
                      <a:headEnd/>
                      <a:tailEnd/>
                    </a:ln>
                  </pic:spPr>
                </pic:pic>
              </a:graphicData>
            </a:graphic>
          </wp:inline>
        </w:drawing>
      </w:r>
    </w:p>
    <w:p>
      <w:pPr>
        <w:pStyle w:val="ImageCaption"/>
      </w:pPr>
      <w:r>
        <w:t xml:space="preserve">Figure 8. 4.11.6 Sharing approval workflow</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9. 5.1 Organization structure"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9.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11"/>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11"/>
        </w:numPr>
      </w:pPr>
      <w:r>
        <w:rPr>
          <w:b/>
          <w:bCs/>
        </w:rPr>
        <w:t xml:space="preserve">New projects</w:t>
      </w:r>
      <w:r>
        <w:t xml:space="preserve"> </w:t>
      </w:r>
      <w:r>
        <w:t xml:space="preserve">always use the current configuration.</w:t>
      </w:r>
    </w:p>
    <w:p>
      <w:pPr>
        <w:pStyle w:val="Compact"/>
        <w:numPr>
          <w:ilvl w:val="0"/>
          <w:numId w:val="1011"/>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2"/>
        </w:numPr>
      </w:pPr>
      <w:r>
        <w:t xml:space="preserve">Bootstraps the new account (§5.4).</w:t>
      </w:r>
    </w:p>
    <w:p>
      <w:pPr>
        <w:pStyle w:val="Compact"/>
        <w:numPr>
          <w:ilvl w:val="1"/>
          <w:numId w:val="1012"/>
        </w:numPr>
      </w:pPr>
      <w:r>
        <w:t xml:space="preserve">Updates the repo’s GitHub variables (§5.5.5).</w:t>
      </w:r>
    </w:p>
    <w:p>
      <w:pPr>
        <w:pStyle w:val="Compact"/>
        <w:numPr>
          <w:ilvl w:val="1"/>
          <w:numId w:val="1012"/>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11"/>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3"/>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3"/>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3"/>
        </w:numPr>
      </w:pPr>
      <w:r>
        <w:t xml:space="preserve">GitHub’s precedence is environment → repository → organization. The platform writes each variable at exactly one level, so precedence never decides a value by accident.</w:t>
      </w:r>
    </w:p>
    <w:p>
      <w:pPr>
        <w:pStyle w:val="Compact"/>
        <w:numPr>
          <w:ilvl w:val="0"/>
          <w:numId w:val="1013"/>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3"/>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4"/>
        </w:numPr>
      </w:pPr>
      <w:r>
        <w:t xml:space="preserve">OIDC trust in each account only accepts this repo + this environment.</w:t>
      </w:r>
    </w:p>
    <w:p>
      <w:pPr>
        <w:pStyle w:val="Compact"/>
        <w:numPr>
          <w:ilvl w:val="1"/>
          <w:numId w:val="1014"/>
        </w:numPr>
      </w:pPr>
      <w:r>
        <w:t xml:space="preserve">IAM only accepts stack tags equal to the deploy role’s own tags (§4.4).</w:t>
      </w:r>
    </w:p>
    <w:p>
      <w:pPr>
        <w:pStyle w:val="Compact"/>
        <w:numPr>
          <w:ilvl w:val="1"/>
          <w:numId w:val="1014"/>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3"/>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10. 6.1 Approach: building blocks + connection binders"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10. 6.1 Approach: building blocks + connection binders</w:t>
      </w:r>
    </w:p>
    <w:p>
      <w:pPr>
        <w:pStyle w:val="Compact"/>
        <w:numPr>
          <w:ilvl w:val="0"/>
          <w:numId w:val="1015"/>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5"/>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5"/>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11. 6.3 S3 → Lambda wiring (and the circular dependency trap)"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11. 6.3 S3 → Lambda wiring (and the circular dependency trap)</w:t>
      </w:r>
    </w:p>
    <w:p>
      <w:pPr>
        <w:pStyle w:val="Heading2"/>
      </w:pPr>
      <w:r>
        <w:t xml:space="preserve">6.4 Defaults built into each block</w:t>
      </w:r>
    </w:p>
    <w:p>
      <w:pPr>
        <w:pStyle w:val="Compact"/>
        <w:numPr>
          <w:ilvl w:val="0"/>
          <w:numId w:val="1016"/>
        </w:numPr>
      </w:pPr>
      <w:r>
        <w:rPr>
          <w:b/>
          <w:bCs/>
        </w:rPr>
        <w:t xml:space="preserve">S3:</w:t>
      </w:r>
    </w:p>
    <w:p>
      <w:pPr>
        <w:pStyle w:val="Compact"/>
        <w:numPr>
          <w:ilvl w:val="1"/>
          <w:numId w:val="1017"/>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7"/>
        </w:numPr>
      </w:pPr>
      <w:r>
        <w:t xml:space="preserve">Bucket policy: deny other projects and other environments by principal tag (§4.10.2), and deny non-TLS requests.</w:t>
      </w:r>
    </w:p>
    <w:p>
      <w:pPr>
        <w:pStyle w:val="Compact"/>
        <w:numPr>
          <w:ilvl w:val="1"/>
          <w:numId w:val="1017"/>
        </w:numPr>
      </w:pPr>
      <w:r>
        <w:t xml:space="preserve">Versioning + lifecycle.</w:t>
      </w:r>
    </w:p>
    <w:p>
      <w:pPr>
        <w:pStyle w:val="Compact"/>
        <w:numPr>
          <w:ilvl w:val="1"/>
          <w:numId w:val="1017"/>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6"/>
        </w:numPr>
      </w:pPr>
      <w:r>
        <w:rPr>
          <w:b/>
          <w:bCs/>
        </w:rPr>
        <w:t xml:space="preserve">Lambda:</w:t>
      </w:r>
    </w:p>
    <w:p>
      <w:pPr>
        <w:pStyle w:val="Compact"/>
        <w:numPr>
          <w:ilvl w:val="1"/>
          <w:numId w:val="1018"/>
        </w:numPr>
      </w:pPr>
      <w:r>
        <w:t xml:space="preserve">One execution role per function, with the shared boundary attached; exact-ARN inline policy (logs to its own log group + binder statements).</w:t>
      </w:r>
    </w:p>
    <w:p>
      <w:pPr>
        <w:pStyle w:val="Compact"/>
        <w:numPr>
          <w:ilvl w:val="1"/>
          <w:numId w:val="1018"/>
        </w:numPr>
      </w:pPr>
      <w:r>
        <w:t xml:space="preserve">An explicit log group with retention per environment; JSON logging.</w:t>
      </w:r>
    </w:p>
    <w:p>
      <w:pPr>
        <w:pStyle w:val="Compact"/>
        <w:numPr>
          <w:ilvl w:val="1"/>
          <w:numId w:val="1018"/>
        </w:numPr>
      </w:pPr>
      <w:r>
        <w:rPr>
          <w:rStyle w:val="VerbatimChar"/>
        </w:rPr>
        <w:t xml:space="preserve">arm64</w:t>
      </w:r>
      <w:r>
        <w:t xml:space="preserve">.</w:t>
      </w:r>
    </w:p>
    <w:p>
      <w:pPr>
        <w:pStyle w:val="Compact"/>
        <w:numPr>
          <w:ilvl w:val="1"/>
          <w:numId w:val="1018"/>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8"/>
        </w:numPr>
      </w:pPr>
      <w:r>
        <w:t xml:space="preserve">DLQ / on-failure destination recommended for S3 triggers.</w:t>
      </w:r>
    </w:p>
    <w:p>
      <w:pPr>
        <w:pStyle w:val="Compact"/>
        <w:numPr>
          <w:ilvl w:val="0"/>
          <w:numId w:val="1016"/>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9"/>
        </w:numPr>
      </w:pPr>
      <w:r>
        <w:t xml:space="preserve">Schema + graph + registry/entitlement checks (§3.3).</w:t>
      </w:r>
    </w:p>
    <w:p>
      <w:pPr>
        <w:pStyle w:val="Compact"/>
        <w:numPr>
          <w:ilvl w:val="0"/>
          <w:numId w:val="1019"/>
        </w:numPr>
      </w:pPr>
      <w:r>
        <w:rPr>
          <w:b/>
          <w:bCs/>
        </w:rPr>
        <w:t xml:space="preserve">Least-privilege linter:</w:t>
      </w:r>
    </w:p>
    <w:p>
      <w:pPr>
        <w:pStyle w:val="Compact"/>
        <w:numPr>
          <w:ilvl w:val="1"/>
          <w:numId w:val="1020"/>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20"/>
        </w:numPr>
      </w:pPr>
      <w:r>
        <w:t xml:space="preserve">No</w:t>
      </w:r>
      <w:r>
        <w:t xml:space="preserve"> </w:t>
      </w:r>
      <w:r>
        <w:rPr>
          <w:rStyle w:val="VerbatimChar"/>
        </w:rPr>
        <w:t xml:space="preserve">iam:*</w:t>
      </w:r>
      <w:r>
        <w:t xml:space="preserve"> </w:t>
      </w:r>
      <w:r>
        <w:t xml:space="preserve">or</w:t>
      </w:r>
      <w:r>
        <w:t xml:space="preserve"> </w:t>
      </w:r>
      <w:r>
        <w:rPr>
          <w:rStyle w:val="VerbatimChar"/>
        </w:rPr>
        <w:t xml:space="preserve">iam:PassRole</w:t>
      </w:r>
      <w:r>
        <w:t xml:space="preserve"> </w:t>
      </w:r>
      <w:r>
        <w:t xml:space="preserve">in app roles. No</w:t>
      </w:r>
      <w:r>
        <w:t xml:space="preserve"> </w:t>
      </w:r>
      <w:r>
        <w:rPr>
          <w:rStyle w:val="VerbatimChar"/>
        </w:rPr>
        <w:t xml:space="preserve">sts:AssumeRole</w:t>
      </w:r>
      <w:r>
        <w:t xml:space="preserve">, except on the single cross-account role named in an</w:t>
      </w:r>
      <w:r>
        <w:t xml:space="preserve"> </w:t>
      </w:r>
      <w:r>
        <w:rPr>
          <w:b/>
          <w:bCs/>
        </w:rPr>
        <w:t xml:space="preserve">active sharing agreement</w:t>
      </w:r>
      <w:r>
        <w:t xml:space="preserve"> </w:t>
      </w:r>
      <w:r>
        <w:t xml:space="preserve">(§4.11). No cross-account resource statements unless generated from an active agreement.</w:t>
      </w:r>
    </w:p>
    <w:p>
      <w:pPr>
        <w:pStyle w:val="Compact"/>
        <w:numPr>
          <w:ilvl w:val="1"/>
          <w:numId w:val="1020"/>
        </w:numPr>
      </w:pPr>
      <w:r>
        <w:t xml:space="preserve">Every generated role has the boundary.</w:t>
      </w:r>
    </w:p>
    <w:p>
      <w:pPr>
        <w:pStyle w:val="Compact"/>
        <w:numPr>
          <w:ilvl w:val="0"/>
          <w:numId w:val="1019"/>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9"/>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9"/>
        </w:numPr>
      </w:pPr>
      <w:r>
        <w:t xml:space="preserve">Golden-file tests for every catalog combination.</w:t>
      </w:r>
    </w:p>
    <w:p>
      <w:pPr>
        <w:pStyle w:val="Heading2"/>
      </w:pPr>
      <w:r>
        <w:t xml:space="preserve">6.7 Idempotency of the template</w:t>
      </w:r>
    </w:p>
    <w:p>
      <w:pPr>
        <w:pStyle w:val="Compact"/>
        <w:numPr>
          <w:ilvl w:val="0"/>
          <w:numId w:val="1021"/>
        </w:numPr>
      </w:pPr>
      <w:r>
        <w:t xml:space="preserve">Stable logical IDs and predictable physical names.</w:t>
      </w:r>
    </w:p>
    <w:p>
      <w:pPr>
        <w:pStyle w:val="Compact"/>
        <w:numPr>
          <w:ilvl w:val="0"/>
          <w:numId w:val="1021"/>
        </w:numPr>
      </w:pPr>
      <w:r>
        <w:t xml:space="preserve">Retain policies on stateful resources; stack policy in prod.</w:t>
      </w:r>
    </w:p>
    <w:p>
      <w:pPr>
        <w:pStyle w:val="Compact"/>
        <w:numPr>
          <w:ilvl w:val="0"/>
          <w:numId w:val="1021"/>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21"/>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2. 6.8.1 Two inputs published by AWS"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12.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772"/>
        <w:gridCol w:w="3714"/>
        <w:gridCol w:w="4594"/>
      </w:tblGrid>
      <w:tr>
        <w:trPr>
          <w:tblHeader w:val="on"/>
        </w:trPr>
        <w:tc>
          <w:tcPr>
            <w:tcW w:type="dxa" w:w="1772"/>
          </w:tcPr>
          <w:p>
            <w:pPr>
              <w:pStyle w:val="Compact"/>
            </w:pPr>
            <w:r>
              <w:t xml:space="preserve">Connection kind</w:t>
            </w:r>
          </w:p>
        </w:tc>
        <w:tc>
          <w:tcPr>
            <w:tcW w:type="dxa" w:w="3714"/>
          </w:tcPr>
          <w:p>
            <w:pPr>
              <w:pStyle w:val="Compact"/>
            </w:pPr>
            <w:r>
              <w:t xml:space="preserve">Examples</w:t>
            </w:r>
          </w:p>
        </w:tc>
        <w:tc>
          <w:tcPr>
            <w:tcW w:type="dxa" w:w="4594"/>
          </w:tcPr>
          <w:p>
            <w:pPr>
              <w:pStyle w:val="Compact"/>
            </w:pPr>
            <w:r>
              <w:t xml:space="preserve">What the binder generates</w:t>
            </w:r>
          </w:p>
        </w:tc>
      </w:tr>
      <w:tr>
        <w:tc>
          <w:tcPr>
            <w:tcW w:type="dxa" w:w="1772"/>
          </w:tcPr>
          <w:p>
            <w:pPr>
              <w:pStyle w:val="Compact"/>
            </w:pPr>
            <w:r>
              <w:rPr>
                <w:rStyle w:val="VerbatimChar"/>
              </w:rPr>
              <w:t xml:space="preserve">iam.access</w:t>
            </w:r>
            <w:r>
              <w:t xml:space="preserve"> </w:t>
            </w:r>
            <w:r>
              <w:t xml:space="preserve">(read / write / readwrite / admin-data)</w:t>
            </w:r>
          </w:p>
        </w:tc>
        <w:tc>
          <w:tcPr>
            <w:tcW w:type="dxa" w:w="3714"/>
          </w:tcPr>
          <w:p>
            <w:pPr>
              <w:pStyle w:val="Compact"/>
            </w:pPr>
            <w:r>
              <w:t xml:space="preserve">Lambda → DynamoDB, ECS → S3, Step Functions → Lambda, Glue → S3</w:t>
            </w:r>
          </w:p>
        </w:tc>
        <w:tc>
          <w:tcPr>
            <w:tcW w:type="dxa" w:w="4594"/>
          </w:tcPr>
          <w:p>
            <w:pPr>
              <w:pStyle w:val="Compact"/>
            </w:pPr>
            <w:r>
              <w:t xml:space="preserve">Least-privilege statements from the Service Authorization Reference for the target’s ARN; tag conditions where supported</w:t>
            </w:r>
          </w:p>
        </w:tc>
      </w:tr>
      <w:tr>
        <w:tc>
          <w:tcPr>
            <w:tcW w:type="dxa" w:w="1772"/>
          </w:tcPr>
          <w:p>
            <w:pPr>
              <w:pStyle w:val="Compact"/>
            </w:pPr>
            <w:r>
              <w:rPr>
                <w:rStyle w:val="VerbatimChar"/>
              </w:rPr>
              <w:t xml:space="preserve">network.access</w:t>
            </w:r>
          </w:p>
        </w:tc>
        <w:tc>
          <w:tcPr>
            <w:tcW w:type="dxa" w:w="3714"/>
          </w:tcPr>
          <w:p>
            <w:pPr>
              <w:pStyle w:val="Compact"/>
            </w:pPr>
            <w:r>
              <w:t xml:space="preserve">ECS → Aurora (5432), Lambda → ElastiCache (6379), EKS workload → OpenSearch (443)</w:t>
            </w:r>
          </w:p>
        </w:tc>
        <w:tc>
          <w:tcPr>
            <w:tcW w:type="dxa" w:w="4594"/>
          </w:tcPr>
          <w:p>
            <w:pPr>
              <w:pStyle w:val="Compact"/>
            </w:pPr>
            <w:r>
              <w:t xml:space="preserve">Security group ingress rule (source SG → target SG, engine port only); VPC config on the source if missing</w:t>
            </w:r>
          </w:p>
        </w:tc>
      </w:tr>
      <w:tr>
        <w:tc>
          <w:tcPr>
            <w:tcW w:type="dxa" w:w="1772"/>
          </w:tcPr>
          <w:p>
            <w:pPr>
              <w:pStyle w:val="Compact"/>
            </w:pPr>
            <w:r>
              <w:rPr>
                <w:rStyle w:val="VerbatimChar"/>
              </w:rPr>
              <w:t xml:space="preserve">event.source</w:t>
            </w:r>
            <w:r>
              <w:t xml:space="preserve"> </w:t>
            </w:r>
            <w:r>
              <w:t xml:space="preserve">(poll-based)</w:t>
            </w:r>
          </w:p>
        </w:tc>
        <w:tc>
          <w:tcPr>
            <w:tcW w:type="dxa" w:w="3714"/>
          </w:tcPr>
          <w:p>
            <w:pPr>
              <w:pStyle w:val="Compact"/>
            </w:pPr>
            <w:r>
              <w:t xml:space="preserve">SQS / Kinesis / DynamoDB Streams / MSK / Amazon MQ → Lambda</w:t>
            </w:r>
          </w:p>
        </w:tc>
        <w:tc>
          <w:tcPr>
            <w:tcW w:type="dxa" w:w="4594"/>
          </w:tcPr>
          <w:p>
            <w:pPr>
              <w:pStyle w:val="Compact"/>
            </w:pPr>
            <w:r>
              <w:t xml:space="preserve">Event source mapping + the poller permissions on the source</w:t>
            </w:r>
          </w:p>
        </w:tc>
      </w:tr>
      <w:tr>
        <w:tc>
          <w:tcPr>
            <w:tcW w:type="dxa" w:w="1772"/>
          </w:tcPr>
          <w:p>
            <w:pPr>
              <w:pStyle w:val="Compact"/>
            </w:pPr>
            <w:r>
              <w:rPr>
                <w:rStyle w:val="VerbatimChar"/>
              </w:rPr>
              <w:t xml:space="preserve">event.notify</w:t>
            </w:r>
            <w:r>
              <w:t xml:space="preserve"> </w:t>
            </w:r>
            <w:r>
              <w:t xml:space="preserve">(push-based)</w:t>
            </w:r>
          </w:p>
        </w:tc>
        <w:tc>
          <w:tcPr>
            <w:tcW w:type="dxa" w:w="3714"/>
          </w:tcPr>
          <w:p>
            <w:pPr>
              <w:pStyle w:val="Compact"/>
            </w:pPr>
            <w:r>
              <w:t xml:space="preserve">S3 → Lambda/SQS/SNS/EventBridge, SNS → SQS/Lambda</w:t>
            </w:r>
          </w:p>
        </w:tc>
        <w:tc>
          <w:tcPr>
            <w:tcW w:type="dxa" w:w="4594"/>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772"/>
          </w:tcPr>
          <w:p>
            <w:pPr>
              <w:pStyle w:val="Compact"/>
            </w:pPr>
            <w:r>
              <w:rPr>
                <w:rStyle w:val="VerbatimChar"/>
              </w:rPr>
              <w:t xml:space="preserve">event.rule</w:t>
            </w:r>
          </w:p>
        </w:tc>
        <w:tc>
          <w:tcPr>
            <w:tcW w:type="dxa" w:w="3714"/>
          </w:tcPr>
          <w:p>
            <w:pPr>
              <w:pStyle w:val="Compact"/>
            </w:pPr>
            <w:r>
              <w:t xml:space="preserve">EventBridge rule/schedule/pipe → any supported target</w:t>
            </w:r>
          </w:p>
        </w:tc>
        <w:tc>
          <w:tcPr>
            <w:tcW w:type="dxa" w:w="4594"/>
          </w:tcPr>
          <w:p>
            <w:pPr>
              <w:pStyle w:val="Compact"/>
            </w:pPr>
            <w:r>
              <w:t xml:space="preserve">Rule/schedule/pipe + target role or resource policy</w:t>
            </w:r>
          </w:p>
        </w:tc>
      </w:tr>
      <w:tr>
        <w:tc>
          <w:tcPr>
            <w:tcW w:type="dxa" w:w="1772"/>
          </w:tcPr>
          <w:p>
            <w:pPr>
              <w:pStyle w:val="Compact"/>
            </w:pPr>
            <w:r>
              <w:rPr>
                <w:rStyle w:val="VerbatimChar"/>
              </w:rPr>
              <w:t xml:space="preserve">api.route</w:t>
            </w:r>
          </w:p>
        </w:tc>
        <w:tc>
          <w:tcPr>
            <w:tcW w:type="dxa" w:w="3714"/>
          </w:tcPr>
          <w:p>
            <w:pPr>
              <w:pStyle w:val="Compact"/>
            </w:pPr>
            <w:r>
              <w:t xml:space="preserve">API Gateway / ALB → Lambda / ECS / Step Functions</w:t>
            </w:r>
          </w:p>
        </w:tc>
        <w:tc>
          <w:tcPr>
            <w:tcW w:type="dxa" w:w="4594"/>
          </w:tcPr>
          <w:p>
            <w:pPr>
              <w:pStyle w:val="Compact"/>
            </w:pPr>
            <w:r>
              <w:t xml:space="preserve">Integration, route, permission/target group</w:t>
            </w:r>
          </w:p>
        </w:tc>
      </w:tr>
      <w:tr>
        <w:tc>
          <w:tcPr>
            <w:tcW w:type="dxa" w:w="1772"/>
          </w:tcPr>
          <w:p>
            <w:pPr>
              <w:pStyle w:val="Compact"/>
            </w:pPr>
            <w:r>
              <w:rPr>
                <w:rStyle w:val="VerbatimChar"/>
              </w:rPr>
              <w:t xml:space="preserve">workflow.task</w:t>
            </w:r>
          </w:p>
        </w:tc>
        <w:tc>
          <w:tcPr>
            <w:tcW w:type="dxa" w:w="3714"/>
          </w:tcPr>
          <w:p>
            <w:pPr>
              <w:pStyle w:val="Compact"/>
            </w:pPr>
            <w:r>
              <w:t xml:space="preserve">Step Functions → Lambda / ECS / DynamoDB / SQS / SNS / Glue / Batch / Bedrock …</w:t>
            </w:r>
          </w:p>
        </w:tc>
        <w:tc>
          <w:tcPr>
            <w:tcW w:type="dxa" w:w="4594"/>
          </w:tcPr>
          <w:p>
            <w:pPr>
              <w:pStyle w:val="Compact"/>
            </w:pPr>
            <w:r>
              <w:t xml:space="preserve">Task state substitution values + state machine role statements for that integration</w:t>
            </w:r>
          </w:p>
        </w:tc>
      </w:tr>
      <w:tr>
        <w:tc>
          <w:tcPr>
            <w:tcW w:type="dxa" w:w="1772"/>
          </w:tcPr>
          <w:p>
            <w:pPr>
              <w:pStyle w:val="Compact"/>
            </w:pPr>
            <w:r>
              <w:rPr>
                <w:rStyle w:val="VerbatimChar"/>
              </w:rPr>
              <w:t xml:space="preserve">secret.binding</w:t>
            </w:r>
          </w:p>
        </w:tc>
        <w:tc>
          <w:tcPr>
            <w:tcW w:type="dxa" w:w="3714"/>
          </w:tcPr>
          <w:p>
            <w:pPr>
              <w:pStyle w:val="Compact"/>
            </w:pPr>
            <w:r>
              <w:t xml:space="preserve">Any compute → database secret / Secrets Manager secret / SSM parameter</w:t>
            </w:r>
          </w:p>
        </w:tc>
        <w:tc>
          <w:tcPr>
            <w:tcW w:type="dxa" w:w="4594"/>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772"/>
          </w:tcPr>
          <w:p>
            <w:pPr>
              <w:pStyle w:val="Compact"/>
            </w:pPr>
            <w:r>
              <w:rPr>
                <w:rStyle w:val="VerbatimChar"/>
              </w:rPr>
              <w:t xml:space="preserve">cdn.origin</w:t>
            </w:r>
          </w:p>
        </w:tc>
        <w:tc>
          <w:tcPr>
            <w:tcW w:type="dxa" w:w="3714"/>
          </w:tcPr>
          <w:p>
            <w:pPr>
              <w:pStyle w:val="Compact"/>
            </w:pPr>
            <w:r>
              <w:t xml:space="preserve">CloudFront → S3 / ALB / API Gateway</w:t>
            </w:r>
          </w:p>
        </w:tc>
        <w:tc>
          <w:tcPr>
            <w:tcW w:type="dxa" w:w="4594"/>
          </w:tcPr>
          <w:p>
            <w:pPr>
              <w:pStyle w:val="Compact"/>
            </w:pPr>
            <w:r>
              <w:t xml:space="preserve">Origin + origin access control and the matching bucket/resource policy</w:t>
            </w:r>
          </w:p>
        </w:tc>
      </w:tr>
      <w:tr>
        <w:tc>
          <w:tcPr>
            <w:tcW w:type="dxa" w:w="1772"/>
          </w:tcPr>
          <w:p>
            <w:pPr>
              <w:pStyle w:val="Compact"/>
            </w:pPr>
            <w:r>
              <w:rPr>
                <w:rStyle w:val="VerbatimChar"/>
              </w:rPr>
              <w:t xml:space="preserve">xacct.access</w:t>
            </w:r>
          </w:p>
        </w:tc>
        <w:tc>
          <w:tcPr>
            <w:tcW w:type="dxa" w:w="3714"/>
          </w:tcPr>
          <w:p>
            <w:pPr>
              <w:pStyle w:val="Compact"/>
            </w:pPr>
            <w:r>
              <w:t xml:space="preserve">Any component → a resource in</w:t>
            </w:r>
            <w:r>
              <w:t xml:space="preserve"> </w:t>
            </w:r>
            <w:r>
              <w:rPr>
                <w:b/>
                <w:bCs/>
              </w:rPr>
              <w:t xml:space="preserve">another AWS account</w:t>
            </w:r>
            <w:r>
              <w:t xml:space="preserve"> </w:t>
            </w:r>
            <w:r>
              <w:t xml:space="preserve">(S3, SQS, SNS, KMS, DynamoDB, secrets, events, private APIs)</w:t>
            </w:r>
          </w:p>
        </w:tc>
        <w:tc>
          <w:tcPr>
            <w:tcW w:type="dxa" w:w="4594"/>
          </w:tcPr>
          <w:p>
            <w:pPr>
              <w:pStyle w:val="Compact"/>
            </w:pPr>
            <w:r>
              <w:t xml:space="preserve">Created only from an approved</w:t>
            </w:r>
            <w:r>
              <w:t xml:space="preserve"> </w:t>
            </w:r>
            <w:r>
              <w:rPr>
                <w:b/>
                <w:bCs/>
              </w:rPr>
              <w:t xml:space="preserve">sharing agreement</w:t>
            </w:r>
            <w:r>
              <w:t xml:space="preserve"> </w:t>
            </w:r>
            <w:r>
              <w:t xml:space="preserve">(§4.11): provider resource policy / cross-account role / RAM share / PrivateLink, plus consumer role statements and contract binding</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2"/>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2"/>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2"/>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3"/>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3"/>
        </w:numPr>
      </w:pPr>
      <w:r>
        <w:rPr>
          <w:b/>
          <w:bCs/>
        </w:rPr>
        <w:t xml:space="preserve">Golden tests:</w:t>
      </w:r>
      <w:r>
        <w:t xml:space="preserve"> </w:t>
      </w:r>
      <w:r>
        <w:t xml:space="preserve">every Tier 1 block and every connection kind has reference templates in CI.</w:t>
      </w:r>
    </w:p>
    <w:p>
      <w:pPr>
        <w:pStyle w:val="Compact"/>
        <w:numPr>
          <w:ilvl w:val="0"/>
          <w:numId w:val="1023"/>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3"/>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3"/>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4"/>
        </w:numPr>
      </w:pPr>
      <w:r>
        <w:t xml:space="preserve">REST API + Lambda + Aurora Serverless;</w:t>
      </w:r>
    </w:p>
    <w:p>
      <w:pPr>
        <w:pStyle w:val="Compact"/>
        <w:numPr>
          <w:ilvl w:val="1"/>
          <w:numId w:val="1024"/>
        </w:numPr>
      </w:pPr>
      <w:r>
        <w:t xml:space="preserve">containerized service on ECS + ALB + RDS PostgreSQL + ElastiCache;</w:t>
      </w:r>
    </w:p>
    <w:p>
      <w:pPr>
        <w:pStyle w:val="Compact"/>
        <w:numPr>
          <w:ilvl w:val="1"/>
          <w:numId w:val="1024"/>
        </w:numPr>
      </w:pPr>
      <w:r>
        <w:t xml:space="preserve">event pipeline (S3 → EventBridge → Step Functions → Lambda → DynamoDB);</w:t>
      </w:r>
    </w:p>
    <w:p>
      <w:pPr>
        <w:pStyle w:val="Compact"/>
        <w:numPr>
          <w:ilvl w:val="1"/>
          <w:numId w:val="1024"/>
        </w:numPr>
      </w:pPr>
      <w:r>
        <w:t xml:space="preserve">streaming (Kinesis → Lambda → OpenSearch);</w:t>
      </w:r>
    </w:p>
    <w:p>
      <w:pPr>
        <w:pStyle w:val="Compact"/>
        <w:numPr>
          <w:ilvl w:val="1"/>
          <w:numId w:val="1024"/>
        </w:numPr>
      </w:pPr>
      <w:r>
        <w:t xml:space="preserve">data lake (S3 + Glue + Athena + Lake Formation).</w:t>
      </w:r>
    </w:p>
    <w:p>
      <w:pPr>
        <w:pStyle w:val="Heading3"/>
      </w:pPr>
      <w:r>
        <w:t xml:space="preserve">6.8.7 Governance for a large catalog</w:t>
      </w:r>
    </w:p>
    <w:p>
      <w:pPr>
        <w:pStyle w:val="Compact"/>
        <w:numPr>
          <w:ilvl w:val="0"/>
          <w:numId w:val="1025"/>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5"/>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5"/>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5"/>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6"/>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6"/>
        </w:numPr>
      </w:pPr>
      <w:r>
        <w:t xml:space="preserve">Content-creating calls are serialized per installation, at least 1 s apart (token bucket, §12.3).</w:t>
      </w:r>
    </w:p>
    <w:p>
      <w:pPr>
        <w:pStyle w:val="Compact"/>
        <w:numPr>
          <w:ilvl w:val="0"/>
          <w:numId w:val="1026"/>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6"/>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3. 8.1 Trust model per environment"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13. 8.1 Trust model per environment</w:t>
      </w:r>
    </w:p>
    <w:p>
      <w:pPr>
        <w:pStyle w:val="Compact"/>
        <w:numPr>
          <w:ilvl w:val="0"/>
          <w:numId w:val="1027"/>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7"/>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4. 8.2 Promotion flow"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14. 8.2 Promotion flow</w:t>
      </w:r>
    </w:p>
    <w:p>
      <w:pPr>
        <w:pStyle w:val="Compact"/>
        <w:numPr>
          <w:ilvl w:val="0"/>
          <w:numId w:val="1028"/>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8"/>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8"/>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5. 8.3 Approval gates: STAGE and PROD require GitHub reviewer approval before deployment"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15.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6. 8.4.1 The gate layers"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16.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9"/>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9"/>
        </w:numPr>
      </w:pPr>
      <w:r>
        <w:t xml:space="preserve">Workflows post results to the platform with the job’s OIDC token, so the platform can verify which repo, environment and run sent them.</w:t>
      </w:r>
    </w:p>
    <w:p>
      <w:pPr>
        <w:pStyle w:val="Compact"/>
        <w:numPr>
          <w:ilvl w:val="0"/>
          <w:numId w:val="1029"/>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30"/>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30"/>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30"/>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30"/>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7. 8.5.2 Promotion state machine (per commit, per gated environment)"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17. 8.5.2 Promotion state machine (per commit, per gated environment)</w:t>
      </w:r>
    </w:p>
    <w:p>
      <w:pPr>
        <w:pStyle w:val="Compact"/>
        <w:numPr>
          <w:ilvl w:val="0"/>
          <w:numId w:val="1031"/>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31"/>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8. 8.5.3 How an approval in the UI reaches GitHub (Mode B only)"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18. 8.5.3 How an approval in the UI reaches GitHub (Mode B only)</w:t>
      </w:r>
    </w:p>
    <w:p>
      <w:pPr>
        <w:pStyle w:val="Compact"/>
        <w:numPr>
          <w:ilvl w:val="0"/>
          <w:numId w:val="1032"/>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2"/>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2"/>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2"/>
        </w:numPr>
      </w:pPr>
      <w:r>
        <w:rPr>
          <w:b/>
          <w:bCs/>
        </w:rPr>
        <w:t xml:space="preserve">Promotion mode</w:t>
      </w:r>
      <w:r>
        <w:t xml:space="preserve"> </w:t>
      </w:r>
      <w:r>
        <w:t xml:space="preserve">(configurable per environment, §5.5.1):</w:t>
      </w:r>
    </w:p>
    <w:p>
      <w:pPr>
        <w:pStyle w:val="Compact"/>
        <w:numPr>
          <w:ilvl w:val="1"/>
          <w:numId w:val="1033"/>
        </w:numPr>
      </w:pPr>
      <w:r>
        <w:rPr>
          <w:rStyle w:val="VerbatimChar"/>
        </w:rPr>
        <w:t xml:space="preserve">auto</w:t>
      </w:r>
      <w:r>
        <w:t xml:space="preserve">: STAGE plan starts automatically after TEST succeeds.</w:t>
      </w:r>
    </w:p>
    <w:p>
      <w:pPr>
        <w:pStyle w:val="Compact"/>
        <w:numPr>
          <w:ilvl w:val="1"/>
          <w:numId w:val="1033"/>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4"/>
        </w:numPr>
      </w:pPr>
      <w:r>
        <w:t xml:space="preserve">Requester ≠ approver (platform check + GitHub prevent self-review).</w:t>
      </w:r>
    </w:p>
    <w:p>
      <w:pPr>
        <w:pStyle w:val="Compact"/>
        <w:numPr>
          <w:ilvl w:val="0"/>
          <w:numId w:val="1034"/>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4"/>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9. 9.1 The problem and the recommended model"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19.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5"/>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5"/>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6"/>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6"/>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7"/>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7"/>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7"/>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20. 10.2 What “deployed but inactive” means"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20.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8"/>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8"/>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8"/>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21. 10.5 Pipeline: deploying to both regions" title="" id="70" name="Picture"/>
            <a:graphic>
              <a:graphicData uri="http://schemas.openxmlformats.org/drawingml/2006/picture">
                <pic:pic>
                  <pic:nvPicPr>
                    <pic:cNvPr descr="m20.png" id="71" name="Picture"/>
                    <pic:cNvPicPr>
                      <a:picLocks noChangeArrowheads="1" noChangeAspect="1"/>
                    </pic:cNvPicPr>
                  </pic:nvPicPr>
                  <pic:blipFill>
                    <a:blip r:embed="rId69"/>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21. 10.5 Pipeline: deploying to both regions</w:t>
      </w:r>
    </w:p>
    <w:p>
      <w:pPr>
        <w:pStyle w:val="Compact"/>
        <w:numPr>
          <w:ilvl w:val="0"/>
          <w:numId w:val="1039"/>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9"/>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9"/>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9"/>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9"/>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40"/>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40"/>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40"/>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40"/>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Unapproved cross-account access</w:t>
            </w:r>
          </w:p>
        </w:tc>
        <w:tc>
          <w:tcPr>
            <w:tcW w:type="dxa" w:w="6883"/>
          </w:tcPr>
          <w:p>
            <w:pPr>
              <w:pStyle w:val="Compact"/>
            </w:pPr>
            <w:r>
              <w:t xml:space="preserve">Only via approved sharing agreements (§4.11); both sides generated from the agreement; SCP data perimeter keeps access inside the organization; Access Analyzer alerts on anything not matching an active agreement</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41"/>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41"/>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41"/>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41"/>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2"/>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2"/>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2"/>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2"/>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3"/>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3"/>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3"/>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3"/>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2. 11.3 Undo policy" title="" id="73" name="Picture"/>
            <a:graphic>
              <a:graphicData uri="http://schemas.openxmlformats.org/drawingml/2006/picture">
                <pic:pic>
                  <pic:nvPicPr>
                    <pic:cNvPr descr="m21.png" id="74" name="Picture"/>
                    <pic:cNvPicPr>
                      <a:picLocks noChangeArrowheads="1" noChangeAspect="1"/>
                    </pic:cNvPicPr>
                  </pic:nvPicPr>
                  <pic:blipFill>
                    <a:blip r:embed="rId72"/>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22. 11.3 Undo policy</w:t>
      </w:r>
    </w:p>
    <w:p>
      <w:pPr>
        <w:pStyle w:val="Compact"/>
        <w:numPr>
          <w:ilvl w:val="0"/>
          <w:numId w:val="1044"/>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4"/>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413"/>
        <w:gridCol w:w="6717"/>
      </w:tblGrid>
      <w:tr>
        <w:trPr>
          <w:tblHeader w:val="on"/>
        </w:trPr>
        <w:tc>
          <w:tcPr>
            <w:tcW w:type="dxa" w:w="950"/>
          </w:tcPr>
          <w:p>
            <w:pPr>
              <w:pStyle w:val="Compact"/>
            </w:pPr>
            <w:r>
              <w:t xml:space="preserve">#</w:t>
            </w:r>
          </w:p>
        </w:tc>
        <w:tc>
          <w:tcPr>
            <w:tcW w:type="dxa" w:w="2413"/>
          </w:tcPr>
          <w:p>
            <w:pPr>
              <w:pStyle w:val="Compact"/>
            </w:pPr>
            <w:r>
              <w:t xml:space="preserve">Decision</w:t>
            </w:r>
          </w:p>
        </w:tc>
        <w:tc>
          <w:tcPr>
            <w:tcW w:type="dxa" w:w="6717"/>
          </w:tcPr>
          <w:p>
            <w:pPr>
              <w:pStyle w:val="Compact"/>
            </w:pPr>
            <w:r>
              <w:t xml:space="preserve">Recommendation</w:t>
            </w:r>
          </w:p>
        </w:tc>
      </w:tr>
      <w:tr>
        <w:tc>
          <w:tcPr>
            <w:tcW w:type="dxa" w:w="950"/>
          </w:tcPr>
          <w:p>
            <w:pPr>
              <w:pStyle w:val="Compact"/>
            </w:pPr>
            <w:r>
              <w:t xml:space="preserve">D1</w:t>
            </w:r>
          </w:p>
        </w:tc>
        <w:tc>
          <w:tcPr>
            <w:tcW w:type="dxa" w:w="2413"/>
          </w:tcPr>
          <w:p>
            <w:pPr>
              <w:pStyle w:val="Compact"/>
            </w:pPr>
            <w:r>
              <w:t xml:space="preserve">Backend language</w:t>
            </w:r>
          </w:p>
        </w:tc>
        <w:tc>
          <w:tcPr>
            <w:tcW w:type="dxa" w:w="6717"/>
          </w:tcPr>
          <w:p>
            <w:pPr>
              <w:pStyle w:val="Compact"/>
            </w:pPr>
            <w:r>
              <w:rPr>
                <w:b/>
                <w:bCs/>
              </w:rPr>
              <w:t xml:space="preserve">Python</w:t>
            </w:r>
          </w:p>
        </w:tc>
      </w:tr>
      <w:tr>
        <w:tc>
          <w:tcPr>
            <w:tcW w:type="dxa" w:w="950"/>
          </w:tcPr>
          <w:p>
            <w:pPr>
              <w:pStyle w:val="Compact"/>
            </w:pPr>
            <w:r>
              <w:t xml:space="preserve">D2</w:t>
            </w:r>
          </w:p>
        </w:tc>
        <w:tc>
          <w:tcPr>
            <w:tcW w:type="dxa" w:w="2413"/>
          </w:tcPr>
          <w:p>
            <w:pPr>
              <w:pStyle w:val="Compact"/>
            </w:pPr>
            <w:r>
              <w:t xml:space="preserve">GitHub identity</w:t>
            </w:r>
          </w:p>
        </w:tc>
        <w:tc>
          <w:tcPr>
            <w:tcW w:type="dxa" w:w="6717"/>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413"/>
          </w:tcPr>
          <w:p>
            <w:pPr>
              <w:pStyle w:val="Compact"/>
            </w:pPr>
            <w:r>
              <w:t xml:space="preserve">Tag key prefix</w:t>
            </w:r>
          </w:p>
        </w:tc>
        <w:tc>
          <w:tcPr>
            <w:tcW w:type="dxa" w:w="6717"/>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413"/>
          </w:tcPr>
          <w:p>
            <w:pPr>
              <w:pStyle w:val="Compact"/>
            </w:pPr>
            <w:r>
              <w:t xml:space="preserve">Main isolation level</w:t>
            </w:r>
          </w:p>
        </w:tc>
        <w:tc>
          <w:tcPr>
            <w:tcW w:type="dxa" w:w="6717"/>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413"/>
          </w:tcPr>
          <w:p>
            <w:pPr>
              <w:pStyle w:val="Compact"/>
            </w:pPr>
            <w:r>
              <w:t xml:space="preserve">Hierarchy</w:t>
            </w:r>
          </w:p>
        </w:tc>
        <w:tc>
          <w:tcPr>
            <w:tcW w:type="dxa" w:w="6717"/>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413"/>
          </w:tcPr>
          <w:p>
            <w:pPr>
              <w:pStyle w:val="Compact"/>
            </w:pPr>
            <w:r>
              <w:t xml:space="preserve">Account granularity</w:t>
            </w:r>
          </w:p>
        </w:tc>
        <w:tc>
          <w:tcPr>
            <w:tcW w:type="dxa" w:w="6717"/>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413"/>
          </w:tcPr>
          <w:p>
            <w:pPr>
              <w:pStyle w:val="Compact"/>
            </w:pPr>
            <w:r>
              <w:t xml:space="preserve">Registry source of truth</w:t>
            </w:r>
          </w:p>
        </w:tc>
        <w:tc>
          <w:tcPr>
            <w:tcW w:type="dxa" w:w="6717"/>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413"/>
          </w:tcPr>
          <w:p>
            <w:pPr>
              <w:pStyle w:val="Compact"/>
            </w:pPr>
            <w:r>
              <w:t xml:space="preserve">Sandbox model</w:t>
            </w:r>
          </w:p>
        </w:tc>
        <w:tc>
          <w:tcPr>
            <w:tcW w:type="dxa" w:w="6717"/>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413"/>
          </w:tcPr>
          <w:p>
            <w:pPr>
              <w:pStyle w:val="Compact"/>
            </w:pPr>
            <w:r>
              <w:t xml:space="preserve">Approvers</w:t>
            </w:r>
          </w:p>
        </w:tc>
        <w:tc>
          <w:tcPr>
            <w:tcW w:type="dxa" w:w="6717"/>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413"/>
          </w:tcPr>
          <w:p>
            <w:pPr>
              <w:pStyle w:val="Compact"/>
            </w:pPr>
            <w:r>
              <w:t xml:space="preserve">Regions</w:t>
            </w:r>
          </w:p>
        </w:tc>
        <w:tc>
          <w:tcPr>
            <w:tcW w:type="dxa" w:w="6717"/>
          </w:tcPr>
          <w:p>
            <w:pPr>
              <w:pStyle w:val="Compact"/>
            </w:pPr>
            <w:r>
              <w:rPr>
                <w:b/>
                <w:bCs/>
              </w:rPr>
              <w:t xml:space="preserve">Decided:</w:t>
            </w:r>
            <w:r>
              <w:t xml:space="preserve"> </w:t>
            </w:r>
            <w:r>
              <w:t xml:space="preserve">multi-region from the start: single region, DR or HA per project, any region pair chosen in the UI (§10)</w:t>
            </w:r>
          </w:p>
        </w:tc>
      </w:tr>
      <w:tr>
        <w:tc>
          <w:tcPr>
            <w:tcW w:type="dxa" w:w="950"/>
          </w:tcPr>
          <w:p>
            <w:pPr>
              <w:pStyle w:val="Compact"/>
            </w:pPr>
            <w:r>
              <w:t xml:space="preserve">D11</w:t>
            </w:r>
          </w:p>
        </w:tc>
        <w:tc>
          <w:tcPr>
            <w:tcW w:type="dxa" w:w="2413"/>
          </w:tcPr>
          <w:p>
            <w:pPr>
              <w:pStyle w:val="Compact"/>
            </w:pPr>
            <w:r>
              <w:t xml:space="preserve">Onboarded today?</w:t>
            </w:r>
          </w:p>
        </w:tc>
        <w:tc>
          <w:tcPr>
            <w:tcW w:type="dxa" w:w="6717"/>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413"/>
          </w:tcPr>
          <w:p>
            <w:pPr>
              <w:pStyle w:val="Compact"/>
            </w:pPr>
            <w:r>
              <w:t xml:space="preserve">LLM</w:t>
            </w:r>
          </w:p>
        </w:tc>
        <w:tc>
          <w:tcPr>
            <w:tcW w:type="dxa" w:w="6717"/>
          </w:tcPr>
          <w:p>
            <w:pPr>
              <w:pStyle w:val="Compact"/>
            </w:pPr>
            <w:r>
              <w:t xml:space="preserve">Exclude from v1, or NL → draft payload only?</w:t>
            </w:r>
          </w:p>
        </w:tc>
      </w:tr>
      <w:tr>
        <w:tc>
          <w:tcPr>
            <w:tcW w:type="dxa" w:w="950"/>
          </w:tcPr>
          <w:p>
            <w:pPr>
              <w:pStyle w:val="Compact"/>
            </w:pPr>
            <w:r>
              <w:t xml:space="preserve">D13</w:t>
            </w:r>
          </w:p>
        </w:tc>
        <w:tc>
          <w:tcPr>
            <w:tcW w:type="dxa" w:w="2413"/>
          </w:tcPr>
          <w:p>
            <w:pPr>
              <w:pStyle w:val="Compact"/>
            </w:pPr>
            <w:r>
              <w:t xml:space="preserve">Who can configure environments and accounts</w:t>
            </w:r>
          </w:p>
        </w:tc>
        <w:tc>
          <w:tcPr>
            <w:tcW w:type="dxa" w:w="6717"/>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413"/>
          </w:tcPr>
          <w:p>
            <w:pPr>
              <w:pStyle w:val="Compact"/>
            </w:pPr>
            <w:r>
              <w:t xml:space="preserve">Binding scope</w:t>
            </w:r>
          </w:p>
        </w:tc>
        <w:tc>
          <w:tcPr>
            <w:tcW w:type="dxa" w:w="6717"/>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413"/>
          </w:tcPr>
          <w:p>
            <w:pPr>
              <w:pStyle w:val="Compact"/>
            </w:pPr>
            <w:r>
              <w:t xml:space="preserve">GitHub plan</w:t>
            </w:r>
          </w:p>
        </w:tc>
        <w:tc>
          <w:tcPr>
            <w:tcW w:type="dxa" w:w="6717"/>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413"/>
          </w:tcPr>
          <w:p>
            <w:pPr>
              <w:pStyle w:val="Compact"/>
            </w:pPr>
            <w:r>
              <w:t xml:space="preserve">Quality-gate thresholds</w:t>
            </w:r>
          </w:p>
        </w:tc>
        <w:tc>
          <w:tcPr>
            <w:tcW w:type="dxa" w:w="6717"/>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413"/>
          </w:tcPr>
          <w:p>
            <w:pPr>
              <w:pStyle w:val="Compact"/>
            </w:pPr>
            <w:r>
              <w:t xml:space="preserve">PROD approvals</w:t>
            </w:r>
          </w:p>
        </w:tc>
        <w:tc>
          <w:tcPr>
            <w:tcW w:type="dxa" w:w="6717"/>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413"/>
          </w:tcPr>
          <w:p>
            <w:pPr>
              <w:pStyle w:val="Compact"/>
            </w:pPr>
            <w:r>
              <w:t xml:space="preserve">Notifications</w:t>
            </w:r>
          </w:p>
        </w:tc>
        <w:tc>
          <w:tcPr>
            <w:tcW w:type="dxa" w:w="6717"/>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413"/>
          </w:tcPr>
          <w:p>
            <w:pPr>
              <w:pStyle w:val="Compact"/>
            </w:pPr>
            <w:r>
              <w:t xml:space="preserve">Application repo granularity</w:t>
            </w:r>
          </w:p>
        </w:tc>
        <w:tc>
          <w:tcPr>
            <w:tcW w:type="dxa" w:w="6717"/>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413"/>
          </w:tcPr>
          <w:p>
            <w:pPr>
              <w:pStyle w:val="Compact"/>
            </w:pPr>
            <w:r>
              <w:t xml:space="preserve">EKS deploy model</w:t>
            </w:r>
          </w:p>
        </w:tc>
        <w:tc>
          <w:tcPr>
            <w:tcW w:type="dxa" w:w="6717"/>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413"/>
          </w:tcPr>
          <w:p>
            <w:pPr>
              <w:pStyle w:val="Compact"/>
            </w:pPr>
            <w:r>
              <w:t xml:space="preserve">Languages in v1</w:t>
            </w:r>
          </w:p>
        </w:tc>
        <w:tc>
          <w:tcPr>
            <w:tcW w:type="dxa" w:w="6717"/>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413"/>
          </w:tcPr>
          <w:p>
            <w:pPr>
              <w:pStyle w:val="Compact"/>
            </w:pPr>
            <w:r>
              <w:t xml:space="preserve">Developer portal</w:t>
            </w:r>
          </w:p>
        </w:tc>
        <w:tc>
          <w:tcPr>
            <w:tcW w:type="dxa" w:w="6717"/>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413"/>
          </w:tcPr>
          <w:p>
            <w:pPr>
              <w:pStyle w:val="Compact"/>
            </w:pPr>
            <w:r>
              <w:t xml:space="preserve">Networking for ECS/EKS</w:t>
            </w:r>
          </w:p>
        </w:tc>
        <w:tc>
          <w:tcPr>
            <w:tcW w:type="dxa" w:w="6717"/>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413"/>
          </w:tcPr>
          <w:p>
            <w:pPr>
              <w:pStyle w:val="Compact"/>
            </w:pPr>
            <w:r>
              <w:t xml:space="preserve">Deprecation window</w:t>
            </w:r>
          </w:p>
        </w:tc>
        <w:tc>
          <w:tcPr>
            <w:tcW w:type="dxa" w:w="6717"/>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413"/>
          </w:tcPr>
          <w:p>
            <w:pPr>
              <w:pStyle w:val="Compact"/>
            </w:pPr>
            <w:r>
              <w:t xml:space="preserve">Infra approvals</w:t>
            </w:r>
          </w:p>
        </w:tc>
        <w:tc>
          <w:tcPr>
            <w:tcW w:type="dxa" w:w="6717"/>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413"/>
          </w:tcPr>
          <w:p>
            <w:pPr>
              <w:pStyle w:val="Compact"/>
            </w:pPr>
            <w:r>
              <w:t xml:space="preserve">Open-source license policy</w:t>
            </w:r>
          </w:p>
        </w:tc>
        <w:tc>
          <w:tcPr>
            <w:tcW w:type="dxa" w:w="6717"/>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413"/>
          </w:tcPr>
          <w:p>
            <w:pPr>
              <w:pStyle w:val="Compact"/>
            </w:pPr>
            <w:r>
              <w:t xml:space="preserve">Tier 1 services at launch</w:t>
            </w:r>
          </w:p>
        </w:tc>
        <w:tc>
          <w:tcPr>
            <w:tcW w:type="dxa" w:w="6717"/>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413"/>
          </w:tcPr>
          <w:p>
            <w:pPr>
              <w:pStyle w:val="Compact"/>
            </w:pPr>
            <w:r>
              <w:t xml:space="preserve">Commercial DB engines</w:t>
            </w:r>
          </w:p>
        </w:tc>
        <w:tc>
          <w:tcPr>
            <w:tcW w:type="dxa" w:w="6717"/>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413"/>
          </w:tcPr>
          <w:p>
            <w:pPr>
              <w:pStyle w:val="Compact"/>
            </w:pPr>
            <w:r>
              <w:t xml:space="preserve">Network ownership</w:t>
            </w:r>
          </w:p>
        </w:tc>
        <w:tc>
          <w:tcPr>
            <w:tcW w:type="dxa" w:w="6717"/>
          </w:tcPr>
          <w:p>
            <w:pPr>
              <w:pStyle w:val="Compact"/>
            </w:pPr>
            <w:r>
              <w:t xml:space="preserve">Does the landing zone provide shared VPCs with database/private subnets per environment account, or must the platform create project VPCs?</w:t>
            </w:r>
          </w:p>
        </w:tc>
      </w:tr>
      <w:tr>
        <w:tc>
          <w:tcPr>
            <w:tcW w:type="dxa" w:w="950"/>
          </w:tcPr>
          <w:p>
            <w:pPr>
              <w:pStyle w:val="Compact"/>
            </w:pPr>
            <w:r>
              <w:t xml:space="preserve">D30</w:t>
            </w:r>
          </w:p>
        </w:tc>
        <w:tc>
          <w:tcPr>
            <w:tcW w:type="dxa" w:w="2413"/>
          </w:tcPr>
          <w:p>
            <w:pPr>
              <w:pStyle w:val="Compact"/>
            </w:pPr>
            <w:r>
              <w:t xml:space="preserve">Region pairs</w:t>
            </w:r>
          </w:p>
        </w:tc>
        <w:tc>
          <w:tcPr>
            <w:tcW w:type="dxa" w:w="6717"/>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413"/>
          </w:tcPr>
          <w:p>
            <w:pPr>
              <w:pStyle w:val="Compact"/>
            </w:pPr>
            <w:r>
              <w:t xml:space="preserve">DR account model</w:t>
            </w:r>
          </w:p>
        </w:tc>
        <w:tc>
          <w:tcPr>
            <w:tcW w:type="dxa" w:w="6717"/>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413"/>
          </w:tcPr>
          <w:p>
            <w:pPr>
              <w:pStyle w:val="Compact"/>
            </w:pPr>
            <w:r>
              <w:t xml:space="preserve">DR defaults</w:t>
            </w:r>
          </w:p>
        </w:tc>
        <w:tc>
          <w:tcPr>
            <w:tcW w:type="dxa" w:w="6717"/>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413"/>
          </w:tcPr>
          <w:p>
            <w:pPr>
              <w:pStyle w:val="Compact"/>
            </w:pPr>
            <w:r>
              <w:t xml:space="preserve">Cognito and other non-replicating services</w:t>
            </w:r>
          </w:p>
        </w:tc>
        <w:tc>
          <w:tcPr>
            <w:tcW w:type="dxa" w:w="6717"/>
          </w:tcPr>
          <w:p>
            <w:pPr>
              <w:pStyle w:val="Compact"/>
            </w:pPr>
            <w:r>
              <w:t xml:space="preserve">Exclude from DR/HA projects, or allow with a documented recovery pattern?</w:t>
            </w:r>
          </w:p>
        </w:tc>
      </w:tr>
      <w:tr>
        <w:tc>
          <w:tcPr>
            <w:tcW w:type="dxa" w:w="950"/>
          </w:tcPr>
          <w:p>
            <w:pPr>
              <w:pStyle w:val="Compact"/>
            </w:pPr>
            <w:r>
              <w:t xml:space="preserve">D34</w:t>
            </w:r>
          </w:p>
        </w:tc>
        <w:tc>
          <w:tcPr>
            <w:tcW w:type="dxa" w:w="2413"/>
          </w:tcPr>
          <w:p>
            <w:pPr>
              <w:pStyle w:val="Compact"/>
            </w:pPr>
            <w:r>
              <w:t xml:space="preserve">Cross-account outside the AWS Organization</w:t>
            </w:r>
          </w:p>
        </w:tc>
        <w:tc>
          <w:tcPr>
            <w:tcW w:type="dxa" w:w="6717"/>
          </w:tcPr>
          <w:p>
            <w:pPr>
              <w:pStyle w:val="Compact"/>
            </w:pPr>
            <w:r>
              <w:t xml:space="preserve">Keep off by default with a security exception per partner account (recommended), or allow certain partner accounts by default?</w:t>
            </w:r>
          </w:p>
        </w:tc>
      </w:tr>
      <w:tr>
        <w:tc>
          <w:tcPr>
            <w:tcW w:type="dxa" w:w="950"/>
          </w:tcPr>
          <w:p>
            <w:pPr>
              <w:pStyle w:val="Compact"/>
            </w:pPr>
            <w:r>
              <w:t xml:space="preserve">D35</w:t>
            </w:r>
          </w:p>
        </w:tc>
        <w:tc>
          <w:tcPr>
            <w:tcW w:type="dxa" w:w="2413"/>
          </w:tcPr>
          <w:p>
            <w:pPr>
              <w:pStyle w:val="Compact"/>
            </w:pPr>
            <w:r>
              <w:t xml:space="preserve">Sharing agreement policy</w:t>
            </w:r>
          </w:p>
        </w:tc>
        <w:tc>
          <w:tcPr>
            <w:tcW w:type="dxa" w:w="6717"/>
          </w:tcPr>
          <w:p>
            <w:pPr>
              <w:pStyle w:val="Compact"/>
            </w:pPr>
            <w:r>
              <w:t xml:space="preserve">Default expiry (12 months?) and recertification (quarterly?); does PROD sharing always need a security reviewer, or only for</w:t>
            </w:r>
            <w:r>
              <w:t xml:space="preserve"> </w:t>
            </w:r>
            <w:r>
              <w:rPr>
                <w:rStyle w:val="VerbatimChar"/>
              </w:rPr>
              <w:t xml:space="preserve">confidential</w:t>
            </w:r>
            <w:r>
              <w:t xml:space="preserve">+ data?</w:t>
            </w:r>
          </w:p>
        </w:tc>
      </w:tr>
      <w:tr>
        <w:tc>
          <w:tcPr>
            <w:tcW w:type="dxa" w:w="950"/>
          </w:tcPr>
          <w:p>
            <w:pPr>
              <w:pStyle w:val="Compact"/>
            </w:pPr>
            <w:r>
              <w:t xml:space="preserve">D36</w:t>
            </w:r>
          </w:p>
        </w:tc>
        <w:tc>
          <w:tcPr>
            <w:tcW w:type="dxa" w:w="2413"/>
          </w:tcPr>
          <w:p>
            <w:pPr>
              <w:pStyle w:val="Compact"/>
            </w:pPr>
            <w:r>
              <w:t xml:space="preserve">Cross-environment sharing</w:t>
            </w:r>
          </w:p>
        </w:tc>
        <w:tc>
          <w:tcPr>
            <w:tcW w:type="dxa" w:w="6717"/>
          </w:tcPr>
          <w:p>
            <w:pPr>
              <w:pStyle w:val="Compact"/>
            </w:pPr>
            <w:r>
              <w:t xml:space="preserve">Allow same-tier only (recommended), or permit specific exceptions such as PROD → non-PROD read of anonymized data?</w:t>
            </w:r>
          </w:p>
        </w:tc>
      </w:tr>
      <w:tr>
        <w:tc>
          <w:tcPr>
            <w:tcW w:type="dxa" w:w="950"/>
          </w:tcPr>
          <w:p>
            <w:pPr>
              <w:pStyle w:val="Compact"/>
            </w:pPr>
            <w:r>
              <w:t xml:space="preserve">D37</w:t>
            </w:r>
          </w:p>
        </w:tc>
        <w:tc>
          <w:tcPr>
            <w:tcW w:type="dxa" w:w="2413"/>
          </w:tcPr>
          <w:p>
            <w:pPr>
              <w:pStyle w:val="Compact"/>
            </w:pPr>
            <w:r>
              <w:t xml:space="preserve">Share-tag limits</w:t>
            </w:r>
          </w:p>
        </w:tc>
        <w:tc>
          <w:tcPr>
            <w:tcW w:type="dxa" w:w="6717"/>
          </w:tcPr>
          <w:p>
            <w:pPr>
              <w:pStyle w:val="Compact"/>
            </w:pPr>
            <w:r>
              <w:t xml:space="preserve">Maximum</w:t>
            </w:r>
            <w:r>
              <w:t xml:space="preserve"> </w:t>
            </w:r>
            <w:r>
              <w:rPr>
                <w:rStyle w:val="VerbatimChar"/>
              </w:rPr>
              <w:t xml:space="preserve">org:share-scope</w:t>
            </w:r>
            <w:r>
              <w:t xml:space="preserve"> </w:t>
            </w:r>
            <w:r>
              <w:t xml:space="preserve">per data classification (default: public/internal any, confidential ≤ product, restricted none) and whether</w:t>
            </w:r>
            <w:r>
              <w:t xml:space="preserve"> </w:t>
            </w:r>
            <w:r>
              <w:rPr>
                <w:rStyle w:val="VerbatimChar"/>
              </w:rPr>
              <w:t xml:space="preserve">organization</w:t>
            </w:r>
            <w:r>
              <w:t xml:space="preserve"> </w:t>
            </w:r>
            <w:r>
              <w:t xml:space="preserve">scope is allowed at all?</w:t>
            </w:r>
          </w:p>
        </w:tc>
      </w:tr>
      <w:tr>
        <w:tc>
          <w:tcPr>
            <w:tcW w:type="dxa" w:w="950"/>
          </w:tcPr>
          <w:p>
            <w:pPr>
              <w:pStyle w:val="Compact"/>
            </w:pPr>
            <w:r>
              <w:t xml:space="preserve">D38</w:t>
            </w:r>
          </w:p>
        </w:tc>
        <w:tc>
          <w:tcPr>
            <w:tcW w:type="dxa" w:w="2413"/>
          </w:tcPr>
          <w:p>
            <w:pPr>
              <w:pStyle w:val="Compact"/>
            </w:pPr>
            <w:r>
              <w:t xml:space="preserve">Sharing approval routing</w:t>
            </w:r>
          </w:p>
        </w:tc>
        <w:tc>
          <w:tcPr>
            <w:tcW w:type="dxa" w:w="6717"/>
          </w:tcPr>
          <w:p>
            <w:pPr>
              <w:pStyle w:val="Compact"/>
            </w:pPr>
            <w:r>
              <w:t xml:space="preserve">Accept the default routing matrix (§4.11.6)? Allow providers to choose</w:t>
            </w:r>
            <w:r>
              <w:t xml:space="preserve"> </w:t>
            </w:r>
            <w:r>
              <w:rPr>
                <w:rStyle w:val="VerbatimChar"/>
              </w:rPr>
              <w:t xml:space="preserve">org:share-approval=auto</w:t>
            </w:r>
            <w:r>
              <w:t xml:space="preserve">, or require approval for every access request? Recertification frequency (default quarterly)?</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52"/>
        <w:gridCol w:w="4365"/>
        <w:gridCol w:w="4363"/>
      </w:tblGrid>
      <w:tr>
        <w:trPr>
          <w:tblHeader w:val="on"/>
        </w:trPr>
        <w:tc>
          <w:tcPr>
            <w:tcW w:type="dxa" w:w="1352"/>
          </w:tcPr>
          <w:p>
            <w:pPr>
              <w:pStyle w:val="Compact"/>
            </w:pPr>
            <w:r>
              <w:t xml:space="preserve">Phase</w:t>
            </w:r>
          </w:p>
        </w:tc>
        <w:tc>
          <w:tcPr>
            <w:tcW w:type="dxa" w:w="4365"/>
          </w:tcPr>
          <w:p>
            <w:pPr>
              <w:pStyle w:val="Compact"/>
            </w:pPr>
            <w:r>
              <w:t xml:space="preserve">Deliverable</w:t>
            </w:r>
          </w:p>
        </w:tc>
        <w:tc>
          <w:tcPr>
            <w:tcW w:type="dxa" w:w="4363"/>
          </w:tcPr>
          <w:p>
            <w:pPr>
              <w:pStyle w:val="Compact"/>
            </w:pPr>
            <w:r>
              <w:t xml:space="preserve">Exit criteria</w:t>
            </w:r>
          </w:p>
        </w:tc>
      </w:tr>
      <w:tr>
        <w:tc>
          <w:tcPr>
            <w:tcW w:type="dxa" w:w="1352"/>
          </w:tcPr>
          <w:p>
            <w:pPr>
              <w:pStyle w:val="Compact"/>
            </w:pPr>
            <w:r>
              <w:rPr>
                <w:b/>
                <w:bCs/>
              </w:rPr>
              <w:t xml:space="preserve">P0 — Standards</w:t>
            </w:r>
          </w:p>
        </w:tc>
        <w:tc>
          <w:tcPr>
            <w:tcW w:type="dxa" w:w="4365"/>
          </w:tcPr>
          <w:p>
            <w:pPr>
              <w:pStyle w:val="Compact"/>
            </w:pPr>
            <w:r>
              <w:rPr>
                <w:rStyle w:val="VerbatimChar"/>
              </w:rPr>
              <w:t xml:space="preserve">TAGGING-STANDARD.md</w:t>
            </w:r>
            <w:r>
              <w:t xml:space="preserve">, registry schema, tag-support matrix for S3/Lambda/DynamoDB/Logs/IAM</w:t>
            </w:r>
          </w:p>
        </w:tc>
        <w:tc>
          <w:tcPr>
            <w:tcW w:type="dxa" w:w="4363"/>
          </w:tcPr>
          <w:p>
            <w:pPr>
              <w:pStyle w:val="Compact"/>
            </w:pPr>
            <w:r>
              <w:t xml:space="preserve">Signed off by security / cloud governance</w:t>
            </w:r>
          </w:p>
        </w:tc>
      </w:tr>
      <w:tr>
        <w:tc>
          <w:tcPr>
            <w:tcW w:type="dxa" w:w="1352"/>
          </w:tcPr>
          <w:p>
            <w:pPr>
              <w:pStyle w:val="Compact"/>
            </w:pPr>
            <w:r>
              <w:rPr>
                <w:b/>
                <w:bCs/>
              </w:rPr>
              <w:t xml:space="preserve">P1 — Org guardrails</w:t>
            </w:r>
          </w:p>
        </w:tc>
        <w:tc>
          <w:tcPr>
            <w:tcW w:type="dxa" w:w="4365"/>
          </w:tcPr>
          <w:p>
            <w:pPr>
              <w:pStyle w:val="Compact"/>
            </w:pPr>
            <w:r>
              <w:t xml:space="preserve">SCPs, Tag Policies, account-bootstrap StackSet with shared ABAC policies, same-tag resource policy patterns (§4.10)</w:t>
            </w:r>
          </w:p>
        </w:tc>
        <w:tc>
          <w:tcPr>
            <w:tcW w:type="dxa" w:w="436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52"/>
          </w:tcPr>
          <w:p>
            <w:pPr>
              <w:pStyle w:val="Compact"/>
            </w:pPr>
            <w:r>
              <w:rPr>
                <w:b/>
                <w:bCs/>
              </w:rPr>
              <w:t xml:space="preserve">P2 — Engine</w:t>
            </w:r>
          </w:p>
        </w:tc>
        <w:tc>
          <w:tcPr>
            <w:tcW w:type="dxa" w:w="4365"/>
          </w:tcPr>
          <w:p>
            <w:pPr>
              <w:pStyle w:val="Compact"/>
            </w:pPr>
            <w:r>
              <w:t xml:space="preserve">Payload schema, synthesis (S3, Lambda, DynamoDB, binders), linters, per-environment parameter files, golden tests</w:t>
            </w:r>
          </w:p>
        </w:tc>
        <w:tc>
          <w:tcPr>
            <w:tcW w:type="dxa" w:w="4363"/>
          </w:tcPr>
          <w:p>
            <w:pPr>
              <w:pStyle w:val="Compact"/>
            </w:pPr>
            <w:r>
              <w:t xml:space="preserve">Lambda + S3 template passes lint/guard for all 5 environments; regeneration gives identical output</w:t>
            </w:r>
          </w:p>
        </w:tc>
      </w:tr>
      <w:tr>
        <w:tc>
          <w:tcPr>
            <w:tcW w:type="dxa" w:w="1352"/>
          </w:tcPr>
          <w:p>
            <w:pPr>
              <w:pStyle w:val="Compact"/>
            </w:pPr>
            <w:r>
              <w:rPr>
                <w:b/>
                <w:bCs/>
              </w:rPr>
              <w:t xml:space="preserve">P3 — Pipeline</w:t>
            </w:r>
          </w:p>
        </w:tc>
        <w:tc>
          <w:tcPr>
            <w:tcW w:type="dxa" w:w="436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6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52"/>
          </w:tcPr>
          <w:p>
            <w:pPr>
              <w:pStyle w:val="Compact"/>
            </w:pPr>
            <w:r>
              <w:rPr>
                <w:b/>
                <w:bCs/>
              </w:rPr>
              <w:t xml:space="preserve">P4 — Provisioning</w:t>
            </w:r>
          </w:p>
        </w:tc>
        <w:tc>
          <w:tcPr>
            <w:tcW w:type="dxa" w:w="4365"/>
          </w:tcPr>
          <w:p>
            <w:pPr>
              <w:pStyle w:val="Compact"/>
            </w:pPr>
            <w:r>
              <w:t xml:space="preserve">GitHub App client, multi-account bootstrapper, saga, CLI</w:t>
            </w:r>
          </w:p>
        </w:tc>
        <w:tc>
          <w:tcPr>
            <w:tcW w:type="dxa" w:w="4363"/>
          </w:tcPr>
          <w:p>
            <w:pPr>
              <w:pStyle w:val="Compact"/>
            </w:pPr>
            <w:r>
              <w:t xml:space="preserve">One command creates a repo that bootstraps 5 accounts and deploys DEV; failures injected at each step undo cleanly</w:t>
            </w:r>
          </w:p>
        </w:tc>
      </w:tr>
      <w:tr>
        <w:tc>
          <w:tcPr>
            <w:tcW w:type="dxa" w:w="1352"/>
          </w:tcPr>
          <w:p>
            <w:pPr>
              <w:pStyle w:val="Compact"/>
            </w:pPr>
            <w:r>
              <w:rPr>
                <w:b/>
                <w:bCs/>
              </w:rPr>
              <w:t xml:space="preserve">P5 — API + UI</w:t>
            </w:r>
          </w:p>
        </w:tc>
        <w:tc>
          <w:tcPr>
            <w:tcW w:type="dxa" w:w="436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63"/>
          </w:tcPr>
          <w:p>
            <w:pPr>
              <w:pStyle w:val="Compact"/>
            </w:pPr>
            <w:r>
              <w:t xml:space="preserve">Click-to-DEV in the browser; entitlement filtering verified; an admin can add/reorder an environment and bind an account, and onboarding checks block an invalid account</w:t>
            </w:r>
          </w:p>
        </w:tc>
      </w:tr>
      <w:tr>
        <w:tc>
          <w:tcPr>
            <w:tcW w:type="dxa" w:w="1352"/>
          </w:tcPr>
          <w:p>
            <w:pPr>
              <w:pStyle w:val="Compact"/>
            </w:pPr>
            <w:r>
              <w:rPr>
                <w:b/>
                <w:bCs/>
              </w:rPr>
              <w:t xml:space="preserve">P5b — Quality gate service</w:t>
            </w:r>
          </w:p>
        </w:tc>
        <w:tc>
          <w:tcPr>
            <w:tcW w:type="dxa" w:w="4365"/>
          </w:tcPr>
          <w:p>
            <w:pPr>
              <w:pStyle w:val="Compact"/>
            </w:pPr>
            <w:r>
              <w:t xml:space="preserve">Release record, deployment protection rule app, change set risk analysis, Access Analyzer checks, G4/G5</w:t>
            </w:r>
          </w:p>
        </w:tc>
        <w:tc>
          <w:tcPr>
            <w:tcW w:type="dxa" w:w="4363"/>
          </w:tcPr>
          <w:p>
            <w:pPr>
              <w:pStyle w:val="Compact"/>
            </w:pPr>
            <w:r>
              <w:t xml:space="preserve">A high-risk change set is blocked; PROD is refused if the artifact differs from STAGE or bake time is not met</w:t>
            </w:r>
          </w:p>
        </w:tc>
      </w:tr>
      <w:tr>
        <w:tc>
          <w:tcPr>
            <w:tcW w:type="dxa" w:w="1352"/>
          </w:tcPr>
          <w:p>
            <w:pPr>
              <w:pStyle w:val="Compact"/>
            </w:pPr>
            <w:r>
              <w:rPr>
                <w:b/>
                <w:bCs/>
              </w:rPr>
              <w:t xml:space="preserve">P5c — Application golden paths</w:t>
            </w:r>
          </w:p>
        </w:tc>
        <w:tc>
          <w:tcPr>
            <w:tcW w:type="dxa" w:w="436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6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52"/>
          </w:tcPr>
          <w:p>
            <w:pPr>
              <w:pStyle w:val="Compact"/>
            </w:pPr>
            <w:r>
              <w:rPr>
                <w:b/>
                <w:bCs/>
              </w:rPr>
              <w:t xml:space="preserve">P5d — Full service catalog</w:t>
            </w:r>
          </w:p>
        </w:tc>
        <w:tc>
          <w:tcPr>
            <w:tcW w:type="dxa" w:w="436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63"/>
          </w:tcPr>
          <w:p>
            <w:pPr>
              <w:pStyle w:val="Compact"/>
            </w:pPr>
            <w:r>
              <w:t xml:space="preserve">Any enabled resource type can be composed and passes all gates; pairwise suite green; every database engine deploy-tested weekly</w:t>
            </w:r>
          </w:p>
        </w:tc>
      </w:tr>
      <w:tr>
        <w:tc>
          <w:tcPr>
            <w:tcW w:type="dxa" w:w="1352"/>
          </w:tcPr>
          <w:p>
            <w:pPr>
              <w:pStyle w:val="Compact"/>
            </w:pPr>
            <w:r>
              <w:rPr>
                <w:b/>
                <w:bCs/>
              </w:rPr>
              <w:t xml:space="preserve">P5e — Multi-region DR/HA</w:t>
            </w:r>
          </w:p>
        </w:tc>
        <w:tc>
          <w:tcPr>
            <w:tcW w:type="dxa" w:w="436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63"/>
          </w:tcPr>
          <w:p>
            <w:pPr>
              <w:pStyle w:val="Compact"/>
            </w:pPr>
            <w:r>
              <w:t xml:space="preserve">A DR project deploys to us-east-1 (active) and us-east-2 (standby); a STAGE drill fails over and back within target RTO/RPO; an HA project serves traffic from both regions</w:t>
            </w:r>
          </w:p>
        </w:tc>
      </w:tr>
      <w:tr>
        <w:tc>
          <w:tcPr>
            <w:tcW w:type="dxa" w:w="1352"/>
          </w:tcPr>
          <w:p>
            <w:pPr>
              <w:pStyle w:val="Compact"/>
            </w:pPr>
            <w:r>
              <w:rPr>
                <w:b/>
                <w:bCs/>
              </w:rPr>
              <w:t xml:space="preserve">P5f — Cross-account sharing</w:t>
            </w:r>
          </w:p>
        </w:tc>
        <w:tc>
          <w:tcPr>
            <w:tcW w:type="dxa" w:w="4365"/>
          </w:tcPr>
          <w:p>
            <w:pPr>
              <w:pStyle w:val="Compact"/>
            </w:pPr>
            <w:r>
              <w:t xml:space="preserve">Sharing approval workflow (share offers, access requests, agreements, renewals, revocations), sharing agreements, shareable-resource catalog, generators for patterns A–F, consumer contract</w:t>
            </w:r>
            <w:r>
              <w:t xml:space="preserve"> </w:t>
            </w:r>
            <w:r>
              <w:rPr>
                <w:rStyle w:val="VerbatimChar"/>
              </w:rPr>
              <w:t xml:space="preserve">external</w:t>
            </w:r>
            <w:r>
              <w:t xml:space="preserve"> </w:t>
            </w:r>
            <w:r>
              <w:t xml:space="preserve">bindings, readiness checks, expiry/revocation, Access Analyzer integration</w:t>
            </w:r>
          </w:p>
        </w:tc>
        <w:tc>
          <w:tcPr>
            <w:tcW w:type="dxa" w:w="4363"/>
          </w:tcPr>
          <w:p>
            <w:pPr>
              <w:pStyle w:val="Compact"/>
            </w:pPr>
            <w:r>
              <w:t xml:space="preserve">A consumer in account A reads an approved S3 prefix and consumes an approved SQS queue in account B; any other project or environment in A is denied; revoking the agreement removes access on both sides</w:t>
            </w:r>
          </w:p>
        </w:tc>
      </w:tr>
      <w:tr>
        <w:tc>
          <w:tcPr>
            <w:tcW w:type="dxa" w:w="1352"/>
          </w:tcPr>
          <w:p>
            <w:pPr>
              <w:pStyle w:val="Compact"/>
            </w:pPr>
            <w:r>
              <w:rPr>
                <w:b/>
                <w:bCs/>
              </w:rPr>
              <w:t xml:space="preserve">P6 — Production control plane</w:t>
            </w:r>
          </w:p>
        </w:tc>
        <w:tc>
          <w:tcPr>
            <w:tcW w:type="dxa" w:w="4365"/>
          </w:tcPr>
          <w:p>
            <w:pPr>
              <w:pStyle w:val="Compact"/>
            </w:pPr>
            <w:r>
              <w:t xml:space="preserve">Step Functions, webhooks, reconciler, quotas, observability, Config compliance</w:t>
            </w:r>
          </w:p>
        </w:tc>
        <w:tc>
          <w:tcPr>
            <w:tcW w:type="dxa" w:w="436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p>
      <w:pPr>
        <w:pStyle w:val="Heading1"/>
      </w:pPr>
      <w:r>
        <w:t xml:space="preserve">19. Appendix A: Approval and workflow diagrams</w:t>
      </w:r>
    </w:p>
    <w:p>
      <w:pPr>
        <w:pStyle w:val="FirstParagraph"/>
      </w:pPr>
      <w:r>
        <w:t xml:space="preserve">This appendix collects every approval flow in the design in one place. Each diagram links back to the section that defines the rules. The same diagrams are available as PNG and SVG files in</w:t>
      </w:r>
      <w:r>
        <w:t xml:space="preserve"> </w:t>
      </w:r>
      <w:r>
        <w:rPr>
          <w:rStyle w:val="VerbatimChar"/>
        </w:rPr>
        <w:t xml:space="preserve">docs/diagrams/approvals/</w:t>
      </w:r>
      <w:r>
        <w:t xml:space="preserve">.</w:t>
      </w:r>
    </w:p>
    <w:p>
      <w:pPr>
        <w:pStyle w:val="BodyText"/>
      </w:pPr>
      <w:r>
        <w:rPr>
          <w:b/>
          <w:bCs/>
        </w:rPr>
        <w:t xml:space="preserve">Approval summary:</w:t>
      </w:r>
    </w:p>
    <w:tbl>
      <w:tblPr>
        <w:tblStyle w:val="Table"/>
        <w:tblW w:type="dxa" w:w="10080"/>
        <w:tblLayout w:type="fixed"/>
        <w:tblLook w:firstRow="1" w:lastRow="0" w:firstColumn="0" w:lastColumn="0" w:noHBand="0" w:noVBand="0" w:val="0020"/>
      </w:tblPr>
      <w:tblGrid>
        <w:gridCol w:w="2771"/>
        <w:gridCol w:w="3552"/>
        <w:gridCol w:w="2807"/>
        <w:gridCol w:w="950"/>
      </w:tblGrid>
      <w:tr>
        <w:trPr>
          <w:tblHeader w:val="on"/>
        </w:trPr>
        <w:tc>
          <w:tcPr>
            <w:tcW w:type="dxa" w:w="2771"/>
          </w:tcPr>
          <w:p>
            <w:pPr>
              <w:pStyle w:val="Compact"/>
            </w:pPr>
            <w:r>
              <w:t xml:space="preserve">What needs approval</w:t>
            </w:r>
          </w:p>
        </w:tc>
        <w:tc>
          <w:tcPr>
            <w:tcW w:type="dxa" w:w="3552"/>
          </w:tcPr>
          <w:p>
            <w:pPr>
              <w:pStyle w:val="Compact"/>
            </w:pPr>
            <w:r>
              <w:t xml:space="preserve">Approvers</w:t>
            </w:r>
          </w:p>
        </w:tc>
        <w:tc>
          <w:tcPr>
            <w:tcW w:type="dxa" w:w="2807"/>
          </w:tcPr>
          <w:p>
            <w:pPr>
              <w:pStyle w:val="Compact"/>
            </w:pPr>
            <w:r>
              <w:t xml:space="preserve">Enforced by</w:t>
            </w:r>
          </w:p>
        </w:tc>
        <w:tc>
          <w:tcPr>
            <w:tcW w:type="dxa" w:w="950"/>
          </w:tcPr>
          <w:p>
            <w:pPr>
              <w:pStyle w:val="Compact"/>
            </w:pPr>
            <w:r>
              <w:t xml:space="preserve">Defined in</w:t>
            </w:r>
          </w:p>
        </w:tc>
      </w:tr>
      <w:tr>
        <w:tc>
          <w:tcPr>
            <w:tcW w:type="dxa" w:w="2771"/>
          </w:tcPr>
          <w:p>
            <w:pPr>
              <w:pStyle w:val="Compact"/>
            </w:pPr>
            <w:r>
              <w:t xml:space="preserve">STAGE / PROD release (infrastructure or application)</w:t>
            </w:r>
          </w:p>
        </w:tc>
        <w:tc>
          <w:tcPr>
            <w:tcW w:type="dxa" w:w="3552"/>
          </w:tcPr>
          <w:p>
            <w:pPr>
              <w:pStyle w:val="Compact"/>
            </w:pPr>
            <w:r>
              <w:t xml:space="preserve">Product reviewers (QA for STAGE; product owner + change management for PROD)</w:t>
            </w:r>
          </w:p>
        </w:tc>
        <w:tc>
          <w:tcPr>
            <w:tcW w:type="dxa" w:w="2807"/>
          </w:tcPr>
          <w:p>
            <w:pPr>
              <w:pStyle w:val="Compact"/>
            </w:pPr>
            <w:r>
              <w:t xml:space="preserve">Gate service first; release executor applies only the reviewed change</w:t>
            </w:r>
          </w:p>
        </w:tc>
        <w:tc>
          <w:tcPr>
            <w:tcW w:type="dxa" w:w="950"/>
          </w:tcPr>
          <w:p>
            <w:pPr>
              <w:pStyle w:val="Compact"/>
            </w:pPr>
            <w:r>
              <w:t xml:space="preserve">§8.3, §8.4, §8.5</w:t>
            </w:r>
          </w:p>
        </w:tc>
      </w:tr>
      <w:tr>
        <w:tc>
          <w:tcPr>
            <w:tcW w:type="dxa" w:w="2771"/>
          </w:tcPr>
          <w:p>
            <w:pPr>
              <w:pStyle w:val="Compact"/>
            </w:pPr>
            <w:r>
              <w:t xml:space="preserve">High-risk change override</w:t>
            </w:r>
          </w:p>
        </w:tc>
        <w:tc>
          <w:tcPr>
            <w:tcW w:type="dxa" w:w="3552"/>
          </w:tcPr>
          <w:p>
            <w:pPr>
              <w:pStyle w:val="Compact"/>
            </w:pPr>
            <w:r>
              <w:t xml:space="preserve">Platform admin (not the requester)</w:t>
            </w:r>
          </w:p>
        </w:tc>
        <w:tc>
          <w:tcPr>
            <w:tcW w:type="dxa" w:w="2807"/>
          </w:tcPr>
          <w:p>
            <w:pPr>
              <w:pStyle w:val="Compact"/>
            </w:pPr>
            <w:r>
              <w:t xml:space="preserve">Gate service blocks until the override is recorded</w:t>
            </w:r>
          </w:p>
        </w:tc>
        <w:tc>
          <w:tcPr>
            <w:tcW w:type="dxa" w:w="950"/>
          </w:tcPr>
          <w:p>
            <w:pPr>
              <w:pStyle w:val="Compact"/>
            </w:pPr>
            <w:r>
              <w:t xml:space="preserve">§8.4.2</w:t>
            </w:r>
          </w:p>
        </w:tc>
      </w:tr>
      <w:tr>
        <w:tc>
          <w:tcPr>
            <w:tcW w:type="dxa" w:w="2771"/>
          </w:tcPr>
          <w:p>
            <w:pPr>
              <w:pStyle w:val="Compact"/>
            </w:pPr>
            <w:r>
              <w:t xml:space="preserve">Sharing: offer, access request, agreement, renewal, revocation</w:t>
            </w:r>
          </w:p>
        </w:tc>
        <w:tc>
          <w:tcPr>
            <w:tcW w:type="dxa" w:w="3552"/>
          </w:tcPr>
          <w:p>
            <w:pPr>
              <w:pStyle w:val="Compact"/>
            </w:pPr>
            <w:r>
              <w:t xml:space="preserve">Provider owner; + security / platform admin by risk; auto-approval only if the provider allows it</w:t>
            </w:r>
          </w:p>
        </w:tc>
        <w:tc>
          <w:tcPr>
            <w:tcW w:type="dxa" w:w="2807"/>
          </w:tcPr>
          <w:p>
            <w:pPr>
              <w:pStyle w:val="Compact"/>
            </w:pPr>
            <w:r>
              <w:t xml:space="preserve">Sharing workflow, generated PRs, normal gates</w:t>
            </w:r>
          </w:p>
        </w:tc>
        <w:tc>
          <w:tcPr>
            <w:tcW w:type="dxa" w:w="950"/>
          </w:tcPr>
          <w:p>
            <w:pPr>
              <w:pStyle w:val="Compact"/>
            </w:pPr>
            <w:r>
              <w:t xml:space="preserve">§4.11.6</w:t>
            </w:r>
          </w:p>
        </w:tc>
      </w:tr>
      <w:tr>
        <w:tc>
          <w:tcPr>
            <w:tcW w:type="dxa" w:w="2771"/>
          </w:tcPr>
          <w:p>
            <w:pPr>
              <w:pStyle w:val="Compact"/>
            </w:pPr>
            <w:r>
              <w:t xml:space="preserve">Infrastructure change request (from a product team)</w:t>
            </w:r>
          </w:p>
        </w:tc>
        <w:tc>
          <w:tcPr>
            <w:tcW w:type="dxa" w:w="3552"/>
          </w:tcPr>
          <w:p>
            <w:pPr>
              <w:pStyle w:val="Compact"/>
            </w:pPr>
            <w:r>
              <w:t xml:space="preserve">Platform team (code review), then release approvals per environment</w:t>
            </w:r>
          </w:p>
        </w:tc>
        <w:tc>
          <w:tcPr>
            <w:tcW w:type="dxa" w:w="2807"/>
          </w:tcPr>
          <w:p>
            <w:pPr>
              <w:pStyle w:val="Compact"/>
            </w:pPr>
            <w:r>
              <w:t xml:space="preserve">Infra repo PR + gates</w:t>
            </w:r>
          </w:p>
        </w:tc>
        <w:tc>
          <w:tcPr>
            <w:tcW w:type="dxa" w:w="950"/>
          </w:tcPr>
          <w:p>
            <w:pPr>
              <w:pStyle w:val="Compact"/>
            </w:pPr>
            <w:r>
              <w:t xml:space="preserve">§9.9.6</w:t>
            </w:r>
          </w:p>
        </w:tc>
      </w:tr>
      <w:tr>
        <w:tc>
          <w:tcPr>
            <w:tcW w:type="dxa" w:w="2771"/>
          </w:tcPr>
          <w:p>
            <w:pPr>
              <w:pStyle w:val="Compact"/>
            </w:pPr>
            <w:r>
              <w:t xml:space="preserve">Environment, account binding or region change</w:t>
            </w:r>
          </w:p>
        </w:tc>
        <w:tc>
          <w:tcPr>
            <w:tcW w:type="dxa" w:w="3552"/>
          </w:tcPr>
          <w:p>
            <w:pPr>
              <w:pStyle w:val="Compact"/>
            </w:pPr>
            <w:r>
              <w:t xml:space="preserve">Platform admin; + second platform admin for prod tier or the SCP region list</w:t>
            </w:r>
          </w:p>
        </w:tc>
        <w:tc>
          <w:tcPr>
            <w:tcW w:type="dxa" w:w="2807"/>
          </w:tcPr>
          <w:p>
            <w:pPr>
              <w:pStyle w:val="Compact"/>
            </w:pPr>
            <w:r>
              <w:t xml:space="preserve">Configuration service (versioned, audited)</w:t>
            </w:r>
          </w:p>
        </w:tc>
        <w:tc>
          <w:tcPr>
            <w:tcW w:type="dxa" w:w="950"/>
          </w:tcPr>
          <w:p>
            <w:pPr>
              <w:pStyle w:val="Compact"/>
            </w:pPr>
            <w:r>
              <w:t xml:space="preserve">§5.5.4, §10.9</w:t>
            </w:r>
          </w:p>
        </w:tc>
      </w:tr>
      <w:tr>
        <w:tc>
          <w:tcPr>
            <w:tcW w:type="dxa" w:w="2771"/>
          </w:tcPr>
          <w:p>
            <w:pPr>
              <w:pStyle w:val="Compact"/>
            </w:pPr>
            <w:r>
              <w:t xml:space="preserve">DR failover / failback</w:t>
            </w:r>
          </w:p>
        </w:tc>
        <w:tc>
          <w:tcPr>
            <w:tcW w:type="dxa" w:w="3552"/>
          </w:tcPr>
          <w:p>
            <w:pPr>
              <w:pStyle w:val="Compact"/>
            </w:pPr>
            <w:r>
              <w:t xml:space="preserve">Incident lead + second approver (break-glass)</w:t>
            </w:r>
          </w:p>
        </w:tc>
        <w:tc>
          <w:tcPr>
            <w:tcW w:type="dxa" w:w="2807"/>
          </w:tcPr>
          <w:p>
            <w:pPr>
              <w:pStyle w:val="Compact"/>
            </w:pPr>
            <w:r>
              <w:t xml:space="preserve">Release executor runbook</w:t>
            </w:r>
          </w:p>
        </w:tc>
        <w:tc>
          <w:tcPr>
            <w:tcW w:type="dxa" w:w="950"/>
          </w:tcPr>
          <w:p>
            <w:pPr>
              <w:pStyle w:val="Compact"/>
            </w:pPr>
            <w:r>
              <w:t xml:space="preserve">§10.6</w:t>
            </w:r>
          </w:p>
        </w:tc>
      </w:tr>
    </w:tbl>
    <w:p>
      <w:pPr>
        <w:pStyle w:val="Heading2"/>
      </w:pPr>
      <w:r>
        <w:t xml:space="preserve">A.1 Approval landscape</w:t>
      </w:r>
    </w:p>
    <w:p>
      <w:pPr>
        <w:pStyle w:val="CaptionedFigure"/>
      </w:pPr>
      <w:r>
        <w:drawing>
          <wp:inline>
            <wp:extent cx="6309360" cy="6872695"/>
            <wp:effectExtent b="0" l="0" r="0" t="0"/>
            <wp:docPr descr="Figure 23. A.1 Approval landscape" title="" id="76" name="Picture"/>
            <a:graphic>
              <a:graphicData uri="http://schemas.openxmlformats.org/drawingml/2006/picture">
                <pic:pic>
                  <pic:nvPicPr>
                    <pic:cNvPr descr="m22.png" id="77" name="Picture"/>
                    <pic:cNvPicPr>
                      <a:picLocks noChangeArrowheads="1" noChangeAspect="1"/>
                    </pic:cNvPicPr>
                  </pic:nvPicPr>
                  <pic:blipFill>
                    <a:blip r:embed="rId75"/>
                    <a:stretch>
                      <a:fillRect/>
                    </a:stretch>
                  </pic:blipFill>
                  <pic:spPr bwMode="auto">
                    <a:xfrm>
                      <a:off x="0" y="0"/>
                      <a:ext cx="6309360" cy="6872695"/>
                    </a:xfrm>
                    <a:prstGeom prst="rect">
                      <a:avLst/>
                    </a:prstGeom>
                    <a:noFill/>
                    <a:ln w="9525">
                      <a:noFill/>
                      <a:headEnd/>
                      <a:tailEnd/>
                    </a:ln>
                  </pic:spPr>
                </pic:pic>
              </a:graphicData>
            </a:graphic>
          </wp:inline>
        </w:drawing>
      </w:r>
    </w:p>
    <w:p>
      <w:pPr>
        <w:pStyle w:val="ImageCaption"/>
      </w:pPr>
      <w:r>
        <w:t xml:space="preserve">Figure 23. A.1 Approval landscape</w:t>
      </w:r>
    </w:p>
    <w:p>
      <w:pPr>
        <w:pStyle w:val="Heading2"/>
      </w:pPr>
      <w:r>
        <w:t xml:space="preserve">A.2 STAGE / PROD release: default mode (any GitHub plan)</w:t>
      </w:r>
    </w:p>
    <w:p>
      <w:pPr>
        <w:pStyle w:val="CaptionedFigure"/>
      </w:pPr>
      <w:r>
        <w:drawing>
          <wp:inline>
            <wp:extent cx="6309360" cy="3291223"/>
            <wp:effectExtent b="0" l="0" r="0" t="0"/>
            <wp:docPr descr="Figure 24. A.2 STAGE / PROD release: default mode (any GitHub plan)" title="" id="79" name="Picture"/>
            <a:graphic>
              <a:graphicData uri="http://schemas.openxmlformats.org/drawingml/2006/picture">
                <pic:pic>
                  <pic:nvPicPr>
                    <pic:cNvPr descr="m23.png" id="80" name="Picture"/>
                    <pic:cNvPicPr>
                      <a:picLocks noChangeArrowheads="1" noChangeAspect="1"/>
                    </pic:cNvPicPr>
                  </pic:nvPicPr>
                  <pic:blipFill>
                    <a:blip r:embed="rId78"/>
                    <a:stretch>
                      <a:fillRect/>
                    </a:stretch>
                  </pic:blipFill>
                  <pic:spPr bwMode="auto">
                    <a:xfrm>
                      <a:off x="0" y="0"/>
                      <a:ext cx="6309360" cy="3291223"/>
                    </a:xfrm>
                    <a:prstGeom prst="rect">
                      <a:avLst/>
                    </a:prstGeom>
                    <a:noFill/>
                    <a:ln w="9525">
                      <a:noFill/>
                      <a:headEnd/>
                      <a:tailEnd/>
                    </a:ln>
                  </pic:spPr>
                </pic:pic>
              </a:graphicData>
            </a:graphic>
          </wp:inline>
        </w:drawing>
      </w:r>
    </w:p>
    <w:p>
      <w:pPr>
        <w:pStyle w:val="ImageCaption"/>
      </w:pPr>
      <w:r>
        <w:t xml:space="preserve">Figure 24. A.2 STAGE / PROD release: default mode (any GitHub plan)</w:t>
      </w:r>
    </w:p>
    <w:p>
      <w:pPr>
        <w:pStyle w:val="Heading2"/>
      </w:pPr>
      <w:r>
        <w:t xml:space="preserve">A.3 Release decision flow</w:t>
      </w:r>
    </w:p>
    <w:p>
      <w:pPr>
        <w:pStyle w:val="CaptionedFigure"/>
      </w:pPr>
      <w:r>
        <w:drawing>
          <wp:inline>
            <wp:extent cx="4325112" cy="7860453"/>
            <wp:effectExtent b="0" l="0" r="0" t="0"/>
            <wp:docPr descr="Figure 25. A.3 Release decision flow" title="" id="82" name="Picture"/>
            <a:graphic>
              <a:graphicData uri="http://schemas.openxmlformats.org/drawingml/2006/picture">
                <pic:pic>
                  <pic:nvPicPr>
                    <pic:cNvPr descr="m24.png" id="83" name="Picture"/>
                    <pic:cNvPicPr>
                      <a:picLocks noChangeArrowheads="1" noChangeAspect="1"/>
                    </pic:cNvPicPr>
                  </pic:nvPicPr>
                  <pic:blipFill>
                    <a:blip r:embed="rId81"/>
                    <a:stretch>
                      <a:fillRect/>
                    </a:stretch>
                  </pic:blipFill>
                  <pic:spPr bwMode="auto">
                    <a:xfrm>
                      <a:off x="0" y="0"/>
                      <a:ext cx="4325112" cy="7860453"/>
                    </a:xfrm>
                    <a:prstGeom prst="rect">
                      <a:avLst/>
                    </a:prstGeom>
                    <a:noFill/>
                    <a:ln w="9525">
                      <a:noFill/>
                      <a:headEnd/>
                      <a:tailEnd/>
                    </a:ln>
                  </pic:spPr>
                </pic:pic>
              </a:graphicData>
            </a:graphic>
          </wp:inline>
        </w:drawing>
      </w:r>
    </w:p>
    <w:p>
      <w:pPr>
        <w:pStyle w:val="ImageCaption"/>
      </w:pPr>
      <w:r>
        <w:t xml:space="preserve">Figure 25. A.3 Release decision flow</w:t>
      </w:r>
    </w:p>
    <w:p>
      <w:pPr>
        <w:pStyle w:val="Heading2"/>
      </w:pPr>
      <w:r>
        <w:t xml:space="preserve">A.4 High-risk change override</w:t>
      </w:r>
    </w:p>
    <w:p>
      <w:pPr>
        <w:pStyle w:val="CaptionedFigure"/>
      </w:pPr>
      <w:r>
        <w:drawing>
          <wp:inline>
            <wp:extent cx="6309360" cy="3399542"/>
            <wp:effectExtent b="0" l="0" r="0" t="0"/>
            <wp:docPr descr="Figure 26. A.4 High-risk change override" title="" id="85" name="Picture"/>
            <a:graphic>
              <a:graphicData uri="http://schemas.openxmlformats.org/drawingml/2006/picture">
                <pic:pic>
                  <pic:nvPicPr>
                    <pic:cNvPr descr="m25.png" id="86" name="Picture"/>
                    <pic:cNvPicPr>
                      <a:picLocks noChangeArrowheads="1" noChangeAspect="1"/>
                    </pic:cNvPicPr>
                  </pic:nvPicPr>
                  <pic:blipFill>
                    <a:blip r:embed="rId84"/>
                    <a:stretch>
                      <a:fillRect/>
                    </a:stretch>
                  </pic:blipFill>
                  <pic:spPr bwMode="auto">
                    <a:xfrm>
                      <a:off x="0" y="0"/>
                      <a:ext cx="6309360" cy="3399542"/>
                    </a:xfrm>
                    <a:prstGeom prst="rect">
                      <a:avLst/>
                    </a:prstGeom>
                    <a:noFill/>
                    <a:ln w="9525">
                      <a:noFill/>
                      <a:headEnd/>
                      <a:tailEnd/>
                    </a:ln>
                  </pic:spPr>
                </pic:pic>
              </a:graphicData>
            </a:graphic>
          </wp:inline>
        </w:drawing>
      </w:r>
    </w:p>
    <w:p>
      <w:pPr>
        <w:pStyle w:val="ImageCaption"/>
      </w:pPr>
      <w:r>
        <w:t xml:space="preserve">Figure 26. A.4 High-risk change override</w:t>
      </w:r>
    </w:p>
    <w:p>
      <w:pPr>
        <w:pStyle w:val="Heading2"/>
      </w:pPr>
      <w:r>
        <w:t xml:space="preserve">A.5 Sharing approval routing</w:t>
      </w:r>
    </w:p>
    <w:p>
      <w:pPr>
        <w:pStyle w:val="CaptionedFigure"/>
      </w:pPr>
      <w:r>
        <w:drawing>
          <wp:inline>
            <wp:extent cx="6309360" cy="3433502"/>
            <wp:effectExtent b="0" l="0" r="0" t="0"/>
            <wp:docPr descr="Figure 27. A.5 Sharing approval routing" title="" id="88" name="Picture"/>
            <a:graphic>
              <a:graphicData uri="http://schemas.openxmlformats.org/drawingml/2006/picture">
                <pic:pic>
                  <pic:nvPicPr>
                    <pic:cNvPr descr="m26.png" id="89" name="Picture"/>
                    <pic:cNvPicPr>
                      <a:picLocks noChangeArrowheads="1" noChangeAspect="1"/>
                    </pic:cNvPicPr>
                  </pic:nvPicPr>
                  <pic:blipFill>
                    <a:blip r:embed="rId87"/>
                    <a:stretch>
                      <a:fillRect/>
                    </a:stretch>
                  </pic:blipFill>
                  <pic:spPr bwMode="auto">
                    <a:xfrm>
                      <a:off x="0" y="0"/>
                      <a:ext cx="6309360" cy="3433502"/>
                    </a:xfrm>
                    <a:prstGeom prst="rect">
                      <a:avLst/>
                    </a:prstGeom>
                    <a:noFill/>
                    <a:ln w="9525">
                      <a:noFill/>
                      <a:headEnd/>
                      <a:tailEnd/>
                    </a:ln>
                  </pic:spPr>
                </pic:pic>
              </a:graphicData>
            </a:graphic>
          </wp:inline>
        </w:drawing>
      </w:r>
    </w:p>
    <w:p>
      <w:pPr>
        <w:pStyle w:val="ImageCaption"/>
      </w:pPr>
      <w:r>
        <w:t xml:space="preserve">Figure 27. A.5 Sharing approval routing</w:t>
      </w:r>
    </w:p>
    <w:p>
      <w:pPr>
        <w:pStyle w:val="Heading2"/>
      </w:pPr>
      <w:r>
        <w:t xml:space="preserve">A.6 Access request to a shared resource</w:t>
      </w:r>
    </w:p>
    <w:p>
      <w:pPr>
        <w:pStyle w:val="CaptionedFigure"/>
      </w:pPr>
      <w:r>
        <w:drawing>
          <wp:inline>
            <wp:extent cx="6309360" cy="1910580"/>
            <wp:effectExtent b="0" l="0" r="0" t="0"/>
            <wp:docPr descr="Figure 28. A.6 Access request to a shared resource" title="" id="91" name="Picture"/>
            <a:graphic>
              <a:graphicData uri="http://schemas.openxmlformats.org/drawingml/2006/picture">
                <pic:pic>
                  <pic:nvPicPr>
                    <pic:cNvPr descr="m27.png" id="92" name="Picture"/>
                    <pic:cNvPicPr>
                      <a:picLocks noChangeArrowheads="1" noChangeAspect="1"/>
                    </pic:cNvPicPr>
                  </pic:nvPicPr>
                  <pic:blipFill>
                    <a:blip r:embed="rId90"/>
                    <a:stretch>
                      <a:fillRect/>
                    </a:stretch>
                  </pic:blipFill>
                  <pic:spPr bwMode="auto">
                    <a:xfrm>
                      <a:off x="0" y="0"/>
                      <a:ext cx="6309360" cy="1910580"/>
                    </a:xfrm>
                    <a:prstGeom prst="rect">
                      <a:avLst/>
                    </a:prstGeom>
                    <a:noFill/>
                    <a:ln w="9525">
                      <a:noFill/>
                      <a:headEnd/>
                      <a:tailEnd/>
                    </a:ln>
                  </pic:spPr>
                </pic:pic>
              </a:graphicData>
            </a:graphic>
          </wp:inline>
        </w:drawing>
      </w:r>
    </w:p>
    <w:p>
      <w:pPr>
        <w:pStyle w:val="ImageCaption"/>
      </w:pPr>
      <w:r>
        <w:t xml:space="preserve">Figure 28. A.6 Access request to a shared resource</w:t>
      </w:r>
    </w:p>
    <w:p>
      <w:pPr>
        <w:pStyle w:val="Heading2"/>
      </w:pPr>
      <w:r>
        <w:t xml:space="preserve">A.7 Infrastructure change request from a product team</w:t>
      </w:r>
    </w:p>
    <w:p>
      <w:pPr>
        <w:pStyle w:val="CaptionedFigure"/>
      </w:pPr>
      <w:r>
        <w:drawing>
          <wp:inline>
            <wp:extent cx="6309360" cy="2018029"/>
            <wp:effectExtent b="0" l="0" r="0" t="0"/>
            <wp:docPr descr="Figure 29. A.7 Infrastructure change request from a product team" title="" id="94" name="Picture"/>
            <a:graphic>
              <a:graphicData uri="http://schemas.openxmlformats.org/drawingml/2006/picture">
                <pic:pic>
                  <pic:nvPicPr>
                    <pic:cNvPr descr="m28.png" id="95" name="Picture"/>
                    <pic:cNvPicPr>
                      <a:picLocks noChangeArrowheads="1" noChangeAspect="1"/>
                    </pic:cNvPicPr>
                  </pic:nvPicPr>
                  <pic:blipFill>
                    <a:blip r:embed="rId93"/>
                    <a:stretch>
                      <a:fillRect/>
                    </a:stretch>
                  </pic:blipFill>
                  <pic:spPr bwMode="auto">
                    <a:xfrm>
                      <a:off x="0" y="0"/>
                      <a:ext cx="6309360" cy="2018029"/>
                    </a:xfrm>
                    <a:prstGeom prst="rect">
                      <a:avLst/>
                    </a:prstGeom>
                    <a:noFill/>
                    <a:ln w="9525">
                      <a:noFill/>
                      <a:headEnd/>
                      <a:tailEnd/>
                    </a:ln>
                  </pic:spPr>
                </pic:pic>
              </a:graphicData>
            </a:graphic>
          </wp:inline>
        </w:drawing>
      </w:r>
    </w:p>
    <w:p>
      <w:pPr>
        <w:pStyle w:val="ImageCaption"/>
      </w:pPr>
      <w:r>
        <w:t xml:space="preserve">Figure 29. A.7 Infrastructure change request from a product team</w:t>
      </w:r>
    </w:p>
    <w:p>
      <w:pPr>
        <w:pStyle w:val="Heading2"/>
      </w:pPr>
      <w:r>
        <w:t xml:space="preserve">A.8 Environment, account or region configuration change</w:t>
      </w:r>
    </w:p>
    <w:p>
      <w:pPr>
        <w:pStyle w:val="CaptionedFigure"/>
      </w:pPr>
      <w:r>
        <w:drawing>
          <wp:inline>
            <wp:extent cx="2916936" cy="7865668"/>
            <wp:effectExtent b="0" l="0" r="0" t="0"/>
            <wp:docPr descr="Figure 30. A.8 Environment, account or region configuration change" title="" id="97" name="Picture"/>
            <a:graphic>
              <a:graphicData uri="http://schemas.openxmlformats.org/drawingml/2006/picture">
                <pic:pic>
                  <pic:nvPicPr>
                    <pic:cNvPr descr="m29.png" id="98" name="Picture"/>
                    <pic:cNvPicPr>
                      <a:picLocks noChangeArrowheads="1" noChangeAspect="1"/>
                    </pic:cNvPicPr>
                  </pic:nvPicPr>
                  <pic:blipFill>
                    <a:blip r:embed="rId96"/>
                    <a:stretch>
                      <a:fillRect/>
                    </a:stretch>
                  </pic:blipFill>
                  <pic:spPr bwMode="auto">
                    <a:xfrm>
                      <a:off x="0" y="0"/>
                      <a:ext cx="2916936" cy="7865668"/>
                    </a:xfrm>
                    <a:prstGeom prst="rect">
                      <a:avLst/>
                    </a:prstGeom>
                    <a:noFill/>
                    <a:ln w="9525">
                      <a:noFill/>
                      <a:headEnd/>
                      <a:tailEnd/>
                    </a:ln>
                  </pic:spPr>
                </pic:pic>
              </a:graphicData>
            </a:graphic>
          </wp:inline>
        </w:drawing>
      </w:r>
    </w:p>
    <w:p>
      <w:pPr>
        <w:pStyle w:val="ImageCaption"/>
      </w:pPr>
      <w:r>
        <w:t xml:space="preserve">Figure 30. A.8 Environment, account or region configuration change</w:t>
      </w:r>
    </w:p>
    <w:p>
      <w:pPr>
        <w:pStyle w:val="Heading2"/>
      </w:pPr>
      <w:r>
        <w:t xml:space="preserve">A.9 DR failover (break-glass)</w:t>
      </w:r>
    </w:p>
    <w:p>
      <w:pPr>
        <w:pStyle w:val="CaptionedFigure"/>
      </w:pPr>
      <w:r>
        <w:drawing>
          <wp:inline>
            <wp:extent cx="6309360" cy="2056480"/>
            <wp:effectExtent b="0" l="0" r="0" t="0"/>
            <wp:docPr descr="Figure 31. A.9 DR failover (break-glass)" title="" id="100" name="Picture"/>
            <a:graphic>
              <a:graphicData uri="http://schemas.openxmlformats.org/drawingml/2006/picture">
                <pic:pic>
                  <pic:nvPicPr>
                    <pic:cNvPr descr="m30.png" id="101" name="Picture"/>
                    <pic:cNvPicPr>
                      <a:picLocks noChangeArrowheads="1" noChangeAspect="1"/>
                    </pic:cNvPicPr>
                  </pic:nvPicPr>
                  <pic:blipFill>
                    <a:blip r:embed="rId99"/>
                    <a:stretch>
                      <a:fillRect/>
                    </a:stretch>
                  </pic:blipFill>
                  <pic:spPr bwMode="auto">
                    <a:xfrm>
                      <a:off x="0" y="0"/>
                      <a:ext cx="6309360" cy="2056480"/>
                    </a:xfrm>
                    <a:prstGeom prst="rect">
                      <a:avLst/>
                    </a:prstGeom>
                    <a:noFill/>
                    <a:ln w="9525">
                      <a:noFill/>
                      <a:headEnd/>
                      <a:tailEnd/>
                    </a:ln>
                  </pic:spPr>
                </pic:pic>
              </a:graphicData>
            </a:graphic>
          </wp:inline>
        </w:drawing>
      </w:r>
    </w:p>
    <w:p>
      <w:pPr>
        <w:pStyle w:val="ImageCaption"/>
      </w:pPr>
      <w:r>
        <w:t xml:space="preserve">Figure 31. A.9 DR failover (break-glass)</w:t>
      </w:r>
    </w:p>
    <w:p>
      <w:pPr>
        <w:pStyle w:val="Heading2"/>
      </w:pPr>
      <w:r>
        <w:t xml:space="preserve">A.10 Sharing recertification and expiry</w:t>
      </w:r>
    </w:p>
    <w:p>
      <w:pPr>
        <w:pStyle w:val="CaptionedFigure"/>
      </w:pPr>
      <w:r>
        <w:drawing>
          <wp:inline>
            <wp:extent cx="6309360" cy="3253351"/>
            <wp:effectExtent b="0" l="0" r="0" t="0"/>
            <wp:docPr descr="Figure 32. A.10 Sharing recertification and expiry" title="" id="103" name="Picture"/>
            <a:graphic>
              <a:graphicData uri="http://schemas.openxmlformats.org/drawingml/2006/picture">
                <pic:pic>
                  <pic:nvPicPr>
                    <pic:cNvPr descr="m31.png" id="104" name="Picture"/>
                    <pic:cNvPicPr>
                      <a:picLocks noChangeArrowheads="1" noChangeAspect="1"/>
                    </pic:cNvPicPr>
                  </pic:nvPicPr>
                  <pic:blipFill>
                    <a:blip r:embed="rId102"/>
                    <a:stretch>
                      <a:fillRect/>
                    </a:stretch>
                  </pic:blipFill>
                  <pic:spPr bwMode="auto">
                    <a:xfrm>
                      <a:off x="0" y="0"/>
                      <a:ext cx="6309360" cy="3253351"/>
                    </a:xfrm>
                    <a:prstGeom prst="rect">
                      <a:avLst/>
                    </a:prstGeom>
                    <a:noFill/>
                    <a:ln w="9525">
                      <a:noFill/>
                      <a:headEnd/>
                      <a:tailEnd/>
                    </a:ln>
                  </pic:spPr>
                </pic:pic>
              </a:graphicData>
            </a:graphic>
          </wp:inline>
        </w:drawing>
      </w:r>
    </w:p>
    <w:p>
      <w:pPr>
        <w:pStyle w:val="ImageCaption"/>
      </w:pPr>
      <w:r>
        <w:t xml:space="preserve">Figure 32. A.10 Sharing recertification and expiry</w:t>
      </w:r>
    </w:p>
    <w:p>
      <w:pPr>
        <w:pStyle w:val="Heading2"/>
      </w:pPr>
      <w:r>
        <w:t xml:space="preserve">A.11 Application release to PROD (default mode)</w:t>
      </w:r>
    </w:p>
    <w:p>
      <w:pPr>
        <w:pStyle w:val="CaptionedFigure"/>
      </w:pPr>
      <w:r>
        <w:drawing>
          <wp:inline>
            <wp:extent cx="6309360" cy="2398146"/>
            <wp:effectExtent b="0" l="0" r="0" t="0"/>
            <wp:docPr descr="Figure 33. A.11 Application release to PROD (default mode)" title="" id="106" name="Picture"/>
            <a:graphic>
              <a:graphicData uri="http://schemas.openxmlformats.org/drawingml/2006/picture">
                <pic:pic>
                  <pic:nvPicPr>
                    <pic:cNvPr descr="m32.png" id="107" name="Picture"/>
                    <pic:cNvPicPr>
                      <a:picLocks noChangeArrowheads="1" noChangeAspect="1"/>
                    </pic:cNvPicPr>
                  </pic:nvPicPr>
                  <pic:blipFill>
                    <a:blip r:embed="rId105"/>
                    <a:stretch>
                      <a:fillRect/>
                    </a:stretch>
                  </pic:blipFill>
                  <pic:spPr bwMode="auto">
                    <a:xfrm>
                      <a:off x="0" y="0"/>
                      <a:ext cx="6309360" cy="2398146"/>
                    </a:xfrm>
                    <a:prstGeom prst="rect">
                      <a:avLst/>
                    </a:prstGeom>
                    <a:noFill/>
                    <a:ln w="9525">
                      <a:noFill/>
                      <a:headEnd/>
                      <a:tailEnd/>
                    </a:ln>
                  </pic:spPr>
                </pic:pic>
              </a:graphicData>
            </a:graphic>
          </wp:inline>
        </w:drawing>
      </w:r>
    </w:p>
    <w:p>
      <w:pPr>
        <w:pStyle w:val="ImageCaption"/>
      </w:pPr>
      <w:r>
        <w:t xml:space="preserve">Figure 33. A.11 Application release to PROD (default mode)</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2026-10-03T23:45:21Z</dcterms:created>
  <dcterms:modified xsi:type="dcterms:W3CDTF">2026-10-03T23:45:21Z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