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v2.11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3805"/>
        <w:gridCol w:w="6275"/>
      </w:tblGrid>
      <w:tr>
        <w:trPr>
          <w:tblHeader w:val="on"/>
        </w:trPr>
        <w:tc>
          <w:tcPr>
            <w:tcW w:type="dxa" w:w="3805"/>
          </w:tcPr>
          <w:p>
            <w:pPr>
              <w:pStyle w:val="Compact"/>
            </w:pPr>
            <w:r>
              <w:t xml:space="preserve">Method &amp; path</w:t>
            </w:r>
          </w:p>
        </w:tc>
        <w:tc>
          <w:tcPr>
            <w:tcW w:type="dxa" w:w="6275"/>
          </w:tcPr>
          <w:p>
            <w:pPr>
              <w:pStyle w:val="Compact"/>
            </w:pPr>
            <w:r>
              <w:t xml:space="preserve">Purpose</w:t>
            </w:r>
          </w:p>
        </w:tc>
      </w:tr>
      <w:tr>
        <w:tc>
          <w:tcPr>
            <w:tcW w:type="dxa" w:w="3805"/>
          </w:tcPr>
          <w:p>
            <w:pPr>
              <w:pStyle w:val="Compact"/>
            </w:pPr>
            <w:r>
              <w:rPr>
                <w:rStyle w:val="VerbatimChar"/>
              </w:rPr>
              <w:t xml:space="preserve">GET /v1/org-registry</w:t>
            </w:r>
          </w:p>
        </w:tc>
        <w:tc>
          <w:tcPr>
            <w:tcW w:type="dxa" w:w="6275"/>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3805"/>
          </w:tcPr>
          <w:p>
            <w:pPr>
              <w:pStyle w:val="Compact"/>
            </w:pPr>
            <w:r>
              <w:rPr>
                <w:rStyle w:val="VerbatimChar"/>
              </w:rPr>
              <w:t xml:space="preserve">GET /v1/catalog</w:t>
            </w:r>
          </w:p>
        </w:tc>
        <w:tc>
          <w:tcPr>
            <w:tcW w:type="dxa" w:w="6275"/>
          </w:tcPr>
          <w:p>
            <w:pPr>
              <w:pStyle w:val="Compact"/>
            </w:pPr>
            <w:r>
              <w:t xml:space="preserve">Services that can be selected, their settings and valid connections.</w:t>
            </w:r>
          </w:p>
        </w:tc>
      </w:tr>
      <w:tr>
        <w:tc>
          <w:tcPr>
            <w:tcW w:type="dxa" w:w="3805"/>
          </w:tcPr>
          <w:p>
            <w:pPr>
              <w:pStyle w:val="Compact"/>
            </w:pPr>
            <w:r>
              <w:rPr>
                <w:rStyle w:val="VerbatimChar"/>
              </w:rPr>
              <w:t xml:space="preserve">GET /v1/environments</w:t>
            </w:r>
          </w:p>
        </w:tc>
        <w:tc>
          <w:tcPr>
            <w:tcW w:type="dxa" w:w="6275"/>
          </w:tcPr>
          <w:p>
            <w:pPr>
              <w:pStyle w:val="Compact"/>
            </w:pPr>
            <w:r>
              <w:t xml:space="preserve">Active environments in promotion order (read-only for normal users).</w:t>
            </w:r>
          </w:p>
        </w:tc>
      </w:tr>
      <w:tr>
        <w:tc>
          <w:tcPr>
            <w:tcW w:type="dxa" w:w="3805"/>
          </w:tcPr>
          <w:p>
            <w:pPr>
              <w:pStyle w:val="Compact"/>
            </w:pPr>
            <w:r>
              <w:rPr>
                <w:rStyle w:val="VerbatimChar"/>
              </w:rPr>
              <w:t xml:space="preserve">GET/POST/PUT /v1/admin/environments</w:t>
            </w:r>
          </w:p>
        </w:tc>
        <w:tc>
          <w:tcPr>
            <w:tcW w:type="dxa" w:w="6275"/>
          </w:tcPr>
          <w:p>
            <w:pPr>
              <w:pStyle w:val="Compact"/>
            </w:pPr>
            <w:r>
              <w:rPr>
                <w:b/>
                <w:bCs/>
              </w:rPr>
              <w:t xml:space="preserve">Admin:</w:t>
            </w:r>
            <w:r>
              <w:t xml:space="preserve"> </w:t>
            </w:r>
            <w:r>
              <w:t xml:space="preserve">create, rename (display name), reorder, set profiles, deactivate environments.</w:t>
            </w:r>
          </w:p>
        </w:tc>
      </w:tr>
      <w:tr>
        <w:tc>
          <w:tcPr>
            <w:tcW w:type="dxa" w:w="3805"/>
          </w:tcPr>
          <w:p>
            <w:pPr>
              <w:pStyle w:val="Compact"/>
            </w:pPr>
            <w:r>
              <w:rPr>
                <w:rStyle w:val="VerbatimChar"/>
              </w:rPr>
              <w:t xml:space="preserve">GET/POST/PUT/DELETE /v1/admin/account-bindings</w:t>
            </w:r>
          </w:p>
        </w:tc>
        <w:tc>
          <w:tcPr>
            <w:tcW w:type="dxa" w:w="6275"/>
          </w:tcPr>
          <w:p>
            <w:pPr>
              <w:pStyle w:val="Compact"/>
            </w:pPr>
            <w:r>
              <w:rPr>
                <w:b/>
                <w:bCs/>
              </w:rPr>
              <w:t xml:space="preserve">Admin:</w:t>
            </w:r>
            <w:r>
              <w:t xml:space="preserve"> </w:t>
            </w:r>
            <w:r>
              <w:t xml:space="preserve">map an AWS account ID to an environment for a portfolio/product/region.</w:t>
            </w:r>
          </w:p>
        </w:tc>
      </w:tr>
      <w:tr>
        <w:tc>
          <w:tcPr>
            <w:tcW w:type="dxa" w:w="3805"/>
          </w:tcPr>
          <w:p>
            <w:pPr>
              <w:pStyle w:val="Compact"/>
            </w:pPr>
            <w:r>
              <w:rPr>
                <w:rStyle w:val="VerbatimChar"/>
              </w:rPr>
              <w:t xml:space="preserve">POST /v1/admin/account-bindings/{id}:validate</w:t>
            </w:r>
          </w:p>
        </w:tc>
        <w:tc>
          <w:tcPr>
            <w:tcW w:type="dxa" w:w="6275"/>
          </w:tcPr>
          <w:p>
            <w:pPr>
              <w:pStyle w:val="Compact"/>
            </w:pPr>
            <w:r>
              <w:rPr>
                <w:b/>
                <w:bCs/>
              </w:rPr>
              <w:t xml:space="preserve">Admin:</w:t>
            </w:r>
            <w:r>
              <w:t xml:space="preserve"> </w:t>
            </w:r>
            <w:r>
              <w:t xml:space="preserve">run the onboarding checks (§5.5.3) and report the result.</w:t>
            </w:r>
          </w:p>
        </w:tc>
      </w:tr>
      <w:tr>
        <w:tc>
          <w:tcPr>
            <w:tcW w:type="dxa" w:w="3805"/>
          </w:tcPr>
          <w:p>
            <w:pPr>
              <w:pStyle w:val="Compact"/>
            </w:pPr>
            <w:r>
              <w:rPr>
                <w:rStyle w:val="VerbatimChar"/>
              </w:rPr>
              <w:t xml:space="preserve">POST /v1/projects:preview</w:t>
            </w:r>
          </w:p>
        </w:tc>
        <w:tc>
          <w:tcPr>
            <w:tcW w:type="dxa" w:w="6275"/>
          </w:tcPr>
          <w:p>
            <w:pPr>
              <w:pStyle w:val="Compact"/>
            </w:pPr>
            <w:r>
              <w:t xml:space="preserve">Validate + synthesize, no side effects. Returns files, resolved tags and target accounts per environment.</w:t>
            </w:r>
          </w:p>
        </w:tc>
      </w:tr>
      <w:tr>
        <w:tc>
          <w:tcPr>
            <w:tcW w:type="dxa" w:w="3805"/>
          </w:tcPr>
          <w:p>
            <w:pPr>
              <w:pStyle w:val="Compact"/>
            </w:pPr>
            <w:r>
              <w:rPr>
                <w:rStyle w:val="VerbatimChar"/>
              </w:rPr>
              <w:t xml:space="preserve">POST /v1/projects</w:t>
            </w:r>
          </w:p>
        </w:tc>
        <w:tc>
          <w:tcPr>
            <w:tcW w:type="dxa" w:w="6275"/>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3805"/>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6275"/>
          </w:tcPr>
          <w:p>
            <w:pPr>
              <w:pStyle w:val="Compact"/>
            </w:pPr>
            <w:r>
              <w:t xml:space="preserve">Job + per-environment status (JSON / SSE).</w:t>
            </w:r>
          </w:p>
        </w:tc>
      </w:tr>
      <w:tr>
        <w:tc>
          <w:tcPr>
            <w:tcW w:type="dxa" w:w="3805"/>
          </w:tcPr>
          <w:p>
            <w:pPr>
              <w:pStyle w:val="Compact"/>
            </w:pPr>
            <w:r>
              <w:rPr>
                <w:rStyle w:val="VerbatimChar"/>
              </w:rPr>
              <w:t xml:space="preserve">GET /v1/projects/{id}/releases</w:t>
            </w:r>
          </w:p>
        </w:tc>
        <w:tc>
          <w:tcPr>
            <w:tcW w:type="dxa" w:w="6275"/>
          </w:tcPr>
          <w:p>
            <w:pPr>
              <w:pStyle w:val="Compact"/>
            </w:pPr>
            <w:r>
              <w:t xml:space="preserve">Release console: pipeline view and history per environment (§8.5).</w:t>
            </w:r>
          </w:p>
        </w:tc>
      </w:tr>
      <w:tr>
        <w:tc>
          <w:tcPr>
            <w:tcW w:type="dxa" w:w="3805"/>
          </w:tcPr>
          <w:p>
            <w:pPr>
              <w:pStyle w:val="Compact"/>
            </w:pPr>
            <w:r>
              <w:rPr>
                <w:rStyle w:val="VerbatimChar"/>
              </w:rPr>
              <w:t xml:space="preserve">GET /v1/approvals?mine=true</w:t>
            </w:r>
          </w:p>
        </w:tc>
        <w:tc>
          <w:tcPr>
            <w:tcW w:type="dxa" w:w="6275"/>
          </w:tcPr>
          <w:p>
            <w:pPr>
              <w:pStyle w:val="Compact"/>
            </w:pPr>
            <w:r>
              <w:t xml:space="preserve">Reviewer’s approval inbox.</w:t>
            </w:r>
          </w:p>
        </w:tc>
      </w:tr>
      <w:tr>
        <w:tc>
          <w:tcPr>
            <w:tcW w:type="dxa" w:w="3805"/>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6275"/>
          </w:tcPr>
          <w:p>
            <w:pPr>
              <w:pStyle w:val="Compact"/>
            </w:pPr>
            <w:r>
              <w:t xml:space="preserve">Approve/reject in the UI; the platform submits it to GitHub as the reviewer.</w:t>
            </w:r>
          </w:p>
        </w:tc>
      </w:tr>
      <w:tr>
        <w:tc>
          <w:tcPr>
            <w:tcW w:type="dxa" w:w="3805"/>
          </w:tcPr>
          <w:p>
            <w:pPr>
              <w:pStyle w:val="Compact"/>
            </w:pPr>
            <w:r>
              <w:rPr>
                <w:rStyle w:val="VerbatimChar"/>
              </w:rPr>
              <w:t xml:space="preserve">POST /v1/projects/{id}/environments/{env}:promote</w:t>
            </w:r>
          </w:p>
        </w:tc>
        <w:tc>
          <w:tcPr>
            <w:tcW w:type="dxa" w:w="6275"/>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3805"/>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6275"/>
          </w:tcPr>
          <w:p>
            <w:pPr>
              <w:pStyle w:val="Compact"/>
            </w:pPr>
            <w:r>
              <w:t xml:space="preserve">Request / decide a high-risk change override.</w:t>
            </w:r>
          </w:p>
        </w:tc>
      </w:tr>
      <w:tr>
        <w:tc>
          <w:tcPr>
            <w:tcW w:type="dxa" w:w="3805"/>
          </w:tcPr>
          <w:p>
            <w:pPr>
              <w:pStyle w:val="Compact"/>
            </w:pPr>
            <w:r>
              <w:rPr>
                <w:rStyle w:val="VerbatimChar"/>
              </w:rPr>
              <w:t xml:space="preserve">POST /v1/github/webhooks</w:t>
            </w:r>
          </w:p>
        </w:tc>
        <w:tc>
          <w:tcPr>
            <w:tcW w:type="dxa" w:w="6275"/>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811"/>
        <w:gridCol w:w="1422"/>
        <w:gridCol w:w="2137"/>
        <w:gridCol w:w="950"/>
        <w:gridCol w:w="3760"/>
      </w:tblGrid>
      <w:tr>
        <w:trPr>
          <w:tblHeader w:val="on"/>
        </w:trPr>
        <w:tc>
          <w:tcPr>
            <w:tcW w:type="dxa" w:w="1811"/>
          </w:tcPr>
          <w:p>
            <w:pPr>
              <w:pStyle w:val="Compact"/>
            </w:pPr>
            <w:r>
              <w:t xml:space="preserve">Key</w:t>
            </w:r>
          </w:p>
        </w:tc>
        <w:tc>
          <w:tcPr>
            <w:tcW w:type="dxa" w:w="1422"/>
          </w:tcPr>
          <w:p>
            <w:pPr>
              <w:pStyle w:val="Compact"/>
            </w:pPr>
            <w:r>
              <w:t xml:space="preserve">Example</w:t>
            </w:r>
          </w:p>
        </w:tc>
        <w:tc>
          <w:tcPr>
            <w:tcW w:type="dxa" w:w="2137"/>
          </w:tcPr>
          <w:p>
            <w:pPr>
              <w:pStyle w:val="Compact"/>
            </w:pPr>
            <w:r>
              <w:t xml:space="preserve">Set by</w:t>
            </w:r>
          </w:p>
        </w:tc>
        <w:tc>
          <w:tcPr>
            <w:tcW w:type="dxa" w:w="950"/>
          </w:tcPr>
          <w:p>
            <w:pPr>
              <w:pStyle w:val="Compact"/>
            </w:pPr>
            <w:r>
              <w:t xml:space="preserve">Required</w:t>
            </w:r>
          </w:p>
        </w:tc>
        <w:tc>
          <w:tcPr>
            <w:tcW w:type="dxa" w:w="3760"/>
          </w:tcPr>
          <w:p>
            <w:pPr>
              <w:pStyle w:val="Compact"/>
            </w:pPr>
            <w:r>
              <w:t xml:space="preserve">Used for</w:t>
            </w:r>
          </w:p>
        </w:tc>
      </w:tr>
      <w:tr>
        <w:tc>
          <w:tcPr>
            <w:tcW w:type="dxa" w:w="1811"/>
          </w:tcPr>
          <w:p>
            <w:pPr>
              <w:pStyle w:val="Compact"/>
            </w:pPr>
            <w:r>
              <w:rPr>
                <w:rStyle w:val="VerbatimChar"/>
              </w:rPr>
              <w:t xml:space="preserve">org:portfolio</w:t>
            </w:r>
          </w:p>
        </w:tc>
        <w:tc>
          <w:tcPr>
            <w:tcW w:type="dxa" w:w="1422"/>
          </w:tcPr>
          <w:p>
            <w:pPr>
              <w:pStyle w:val="Compact"/>
            </w:pPr>
            <w:r>
              <w:rPr>
                <w:rStyle w:val="VerbatimChar"/>
              </w:rPr>
              <w:t xml:space="preserve">pf-payments</w:t>
            </w:r>
          </w:p>
        </w:tc>
        <w:tc>
          <w:tcPr>
            <w:tcW w:type="dxa" w:w="2137"/>
          </w:tcPr>
          <w:p>
            <w:pPr>
              <w:pStyle w:val="Compact"/>
            </w:pPr>
            <w:r>
              <w:t xml:space="preserve">Platform (from registry)</w:t>
            </w:r>
          </w:p>
        </w:tc>
        <w:tc>
          <w:tcPr>
            <w:tcW w:type="dxa" w:w="950"/>
          </w:tcPr>
          <w:p>
            <w:pPr>
              <w:pStyle w:val="Compact"/>
            </w:pPr>
            <w:r>
              <w:t xml:space="preserve">Yes</w:t>
            </w:r>
          </w:p>
        </w:tc>
        <w:tc>
          <w:tcPr>
            <w:tcW w:type="dxa" w:w="3760"/>
          </w:tcPr>
          <w:p>
            <w:pPr>
              <w:pStyle w:val="Compact"/>
            </w:pPr>
            <w:r>
              <w:t xml:space="preserve">Cost, guardrails</w:t>
            </w:r>
          </w:p>
        </w:tc>
      </w:tr>
      <w:tr>
        <w:tc>
          <w:tcPr>
            <w:tcW w:type="dxa" w:w="1811"/>
          </w:tcPr>
          <w:p>
            <w:pPr>
              <w:pStyle w:val="Compact"/>
            </w:pPr>
            <w:r>
              <w:rPr>
                <w:rStyle w:val="VerbatimChar"/>
              </w:rPr>
              <w:t xml:space="preserve">org:product</w:t>
            </w:r>
          </w:p>
        </w:tc>
        <w:tc>
          <w:tcPr>
            <w:tcW w:type="dxa" w:w="1422"/>
          </w:tcPr>
          <w:p>
            <w:pPr>
              <w:pStyle w:val="Compact"/>
            </w:pPr>
            <w:r>
              <w:rPr>
                <w:rStyle w:val="VerbatimChar"/>
              </w:rPr>
              <w:t xml:space="preserve">pr-invoicing</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t xml:space="preserve">Cost, sharing within a product</w:t>
            </w:r>
          </w:p>
        </w:tc>
      </w:tr>
      <w:tr>
        <w:tc>
          <w:tcPr>
            <w:tcW w:type="dxa" w:w="1811"/>
          </w:tcPr>
          <w:p>
            <w:pPr>
              <w:pStyle w:val="Compact"/>
            </w:pPr>
            <w:r>
              <w:rPr>
                <w:rStyle w:val="VerbatimChar"/>
              </w:rPr>
              <w:t xml:space="preserve">org:project</w:t>
            </w:r>
          </w:p>
        </w:tc>
        <w:tc>
          <w:tcPr>
            <w:tcW w:type="dxa" w:w="1422"/>
          </w:tcPr>
          <w:p>
            <w:pPr>
              <w:pStyle w:val="Compact"/>
            </w:pPr>
            <w:r>
              <w:rPr>
                <w:rStyle w:val="VerbatimChar"/>
              </w:rPr>
              <w:t xml:space="preserve">invoice-ingest</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rPr>
                <w:b/>
                <w:bCs/>
              </w:rPr>
              <w:t xml:space="preserve">Primary permission key</w:t>
            </w:r>
          </w:p>
        </w:tc>
      </w:tr>
      <w:tr>
        <w:tc>
          <w:tcPr>
            <w:tcW w:type="dxa" w:w="1811"/>
          </w:tcPr>
          <w:p>
            <w:pPr>
              <w:pStyle w:val="Compact"/>
            </w:pPr>
            <w:r>
              <w:rPr>
                <w:rStyle w:val="VerbatimChar"/>
              </w:rPr>
              <w:t xml:space="preserve">org:environment</w:t>
            </w:r>
          </w:p>
        </w:tc>
        <w:tc>
          <w:tcPr>
            <w:tcW w:type="dxa" w:w="1422"/>
          </w:tcPr>
          <w:p>
            <w:pPr>
              <w:pStyle w:val="Compact"/>
            </w:pPr>
            <w:r>
              <w:rPr>
                <w:rStyle w:val="VerbatimChar"/>
              </w:rPr>
              <w:t xml:space="preserve">dev</w:t>
            </w:r>
          </w:p>
        </w:tc>
        <w:tc>
          <w:tcPr>
            <w:tcW w:type="dxa" w:w="2137"/>
          </w:tcPr>
          <w:p>
            <w:pPr>
              <w:pStyle w:val="Compact"/>
            </w:pPr>
            <w:r>
              <w:t xml:space="preserve">Platform (per account)</w:t>
            </w:r>
          </w:p>
        </w:tc>
        <w:tc>
          <w:tcPr>
            <w:tcW w:type="dxa" w:w="950"/>
          </w:tcPr>
          <w:p>
            <w:pPr>
              <w:pStyle w:val="Compact"/>
            </w:pPr>
            <w:r>
              <w:t xml:space="preserve">Yes</w:t>
            </w:r>
          </w:p>
        </w:tc>
        <w:tc>
          <w:tcPr>
            <w:tcW w:type="dxa" w:w="3760"/>
          </w:tcPr>
          <w:p>
            <w:pPr>
              <w:pStyle w:val="Compact"/>
            </w:pPr>
            <w:r>
              <w:t xml:space="preserve">Must match the account’s environment</w:t>
            </w:r>
          </w:p>
        </w:tc>
      </w:tr>
      <w:tr>
        <w:tc>
          <w:tcPr>
            <w:tcW w:type="dxa" w:w="1811"/>
          </w:tcPr>
          <w:p>
            <w:pPr>
              <w:pStyle w:val="Compact"/>
            </w:pPr>
            <w:r>
              <w:rPr>
                <w:rStyle w:val="VerbatimChar"/>
              </w:rPr>
              <w:t xml:space="preserve">org:cost-center</w:t>
            </w:r>
          </w:p>
        </w:tc>
        <w:tc>
          <w:tcPr>
            <w:tcW w:type="dxa" w:w="1422"/>
          </w:tcPr>
          <w:p>
            <w:pPr>
              <w:pStyle w:val="Compact"/>
            </w:pPr>
            <w:r>
              <w:rPr>
                <w:rStyle w:val="VerbatimChar"/>
              </w:rPr>
              <w:t xml:space="preserve">CC-4410</w:t>
            </w:r>
          </w:p>
        </w:tc>
        <w:tc>
          <w:tcPr>
            <w:tcW w:type="dxa" w:w="2137"/>
          </w:tcPr>
          <w:p>
            <w:pPr>
              <w:pStyle w:val="Compact"/>
            </w:pPr>
            <w:r>
              <w:t xml:space="preserve">Platform (from product)</w:t>
            </w:r>
          </w:p>
        </w:tc>
        <w:tc>
          <w:tcPr>
            <w:tcW w:type="dxa" w:w="950"/>
          </w:tcPr>
          <w:p>
            <w:pPr>
              <w:pStyle w:val="Compact"/>
            </w:pPr>
            <w:r>
              <w:t xml:space="preserve">Yes</w:t>
            </w:r>
          </w:p>
        </w:tc>
        <w:tc>
          <w:tcPr>
            <w:tcW w:type="dxa" w:w="3760"/>
          </w:tcPr>
          <w:p>
            <w:pPr>
              <w:pStyle w:val="Compact"/>
            </w:pPr>
            <w:r>
              <w:t xml:space="preserve">Billing (activated as a cost allocation tag)</w:t>
            </w:r>
          </w:p>
        </w:tc>
      </w:tr>
      <w:tr>
        <w:tc>
          <w:tcPr>
            <w:tcW w:type="dxa" w:w="1811"/>
          </w:tcPr>
          <w:p>
            <w:pPr>
              <w:pStyle w:val="Compact"/>
            </w:pPr>
            <w:r>
              <w:rPr>
                <w:rStyle w:val="VerbatimChar"/>
              </w:rPr>
              <w:t xml:space="preserve">org:data-classification</w:t>
            </w:r>
          </w:p>
        </w:tc>
        <w:tc>
          <w:tcPr>
            <w:tcW w:type="dxa" w:w="1422"/>
          </w:tcPr>
          <w:p>
            <w:pPr>
              <w:pStyle w:val="Compact"/>
            </w:pPr>
            <w:r>
              <w:rPr>
                <w:rStyle w:val="VerbatimChar"/>
              </w:rPr>
              <w:t xml:space="preserve">confidential</w:t>
            </w:r>
          </w:p>
        </w:tc>
        <w:tc>
          <w:tcPr>
            <w:tcW w:type="dxa" w:w="2137"/>
          </w:tcPr>
          <w:p>
            <w:pPr>
              <w:pStyle w:val="Compact"/>
            </w:pPr>
            <w:r>
              <w:t xml:space="preserve">User (≤ product ceiling)</w:t>
            </w:r>
          </w:p>
        </w:tc>
        <w:tc>
          <w:tcPr>
            <w:tcW w:type="dxa" w:w="950"/>
          </w:tcPr>
          <w:p>
            <w:pPr>
              <w:pStyle w:val="Compact"/>
            </w:pPr>
            <w:r>
              <w:t xml:space="preserve">Yes</w:t>
            </w:r>
          </w:p>
        </w:tc>
        <w:tc>
          <w:tcPr>
            <w:tcW w:type="dxa" w:w="3760"/>
          </w:tcPr>
          <w:p>
            <w:pPr>
              <w:pStyle w:val="Compact"/>
            </w:pPr>
            <w:r>
              <w:t xml:space="preserve">SCP gates (e.g. not in sandbox)</w:t>
            </w:r>
          </w:p>
        </w:tc>
      </w:tr>
      <w:tr>
        <w:tc>
          <w:tcPr>
            <w:tcW w:type="dxa" w:w="1811"/>
          </w:tcPr>
          <w:p>
            <w:pPr>
              <w:pStyle w:val="Compact"/>
            </w:pPr>
            <w:r>
              <w:rPr>
                <w:rStyle w:val="VerbatimChar"/>
              </w:rPr>
              <w:t xml:space="preserve">org:managed-by</w:t>
            </w:r>
          </w:p>
        </w:tc>
        <w:tc>
          <w:tcPr>
            <w:tcW w:type="dxa" w:w="1422"/>
          </w:tcPr>
          <w:p>
            <w:pPr>
              <w:pStyle w:val="Compact"/>
            </w:pPr>
            <w:r>
              <w:rPr>
                <w:rStyle w:val="VerbatimChar"/>
              </w:rPr>
              <w:t xml:space="preserve">cloudinfra</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t xml:space="preserve">Marks resources only the platform pipeline may change</w:t>
            </w:r>
          </w:p>
        </w:tc>
      </w:tr>
      <w:tr>
        <w:tc>
          <w:tcPr>
            <w:tcW w:type="dxa" w:w="1811"/>
          </w:tcPr>
          <w:p>
            <w:pPr>
              <w:pStyle w:val="Compact"/>
            </w:pPr>
            <w:r>
              <w:rPr>
                <w:rStyle w:val="VerbatimChar"/>
              </w:rPr>
              <w:t xml:space="preserve">org:share-scope</w:t>
            </w:r>
          </w:p>
        </w:tc>
        <w:tc>
          <w:tcPr>
            <w:tcW w:type="dxa" w:w="1422"/>
          </w:tcPr>
          <w:p>
            <w:pPr>
              <w:pStyle w:val="Compact"/>
            </w:pPr>
            <w:r>
              <w:rPr>
                <w:rStyle w:val="VerbatimChar"/>
              </w:rPr>
              <w:t xml:space="preserve">product</w:t>
            </w:r>
          </w:p>
        </w:tc>
        <w:tc>
          <w:tcPr>
            <w:tcW w:type="dxa" w:w="2137"/>
          </w:tcPr>
          <w:p>
            <w:pPr>
              <w:pStyle w:val="Compact"/>
            </w:pPr>
            <w:r>
              <w:t xml:space="preserve">Binder (opt-in)</w:t>
            </w:r>
          </w:p>
        </w:tc>
        <w:tc>
          <w:tcPr>
            <w:tcW w:type="dxa" w:w="950"/>
          </w:tcPr>
          <w:p>
            <w:pPr>
              <w:pStyle w:val="Compact"/>
            </w:pPr>
            <w:r>
              <w:t xml:space="preserve">No</w:t>
            </w:r>
          </w:p>
        </w:tc>
        <w:tc>
          <w:tcPr>
            <w:tcW w:type="dxa" w:w="3760"/>
          </w:tcPr>
          <w:p>
            <w:pPr>
              <w:pStyle w:val="Compact"/>
            </w:pPr>
            <w:r>
              <w:t xml:space="preserve">Allows read by other projects in the same product (§4.6)</w:t>
            </w:r>
          </w:p>
        </w:tc>
      </w:tr>
      <w:tr>
        <w:tc>
          <w:tcPr>
            <w:tcW w:type="dxa" w:w="1811"/>
          </w:tcPr>
          <w:p>
            <w:pPr>
              <w:pStyle w:val="Compact"/>
            </w:pPr>
            <w:r>
              <w:rPr>
                <w:rStyle w:val="VerbatimChar"/>
              </w:rPr>
              <w:t xml:space="preserve">org:resilience</w:t>
            </w:r>
          </w:p>
        </w:tc>
        <w:tc>
          <w:tcPr>
            <w:tcW w:type="dxa" w:w="1422"/>
          </w:tcPr>
          <w:p>
            <w:pPr>
              <w:pStyle w:val="Compact"/>
            </w:pPr>
            <w:r>
              <w:rPr>
                <w:rStyle w:val="VerbatimChar"/>
              </w:rPr>
              <w:t xml:space="preserve">dr</w:t>
            </w:r>
          </w:p>
        </w:tc>
        <w:tc>
          <w:tcPr>
            <w:tcW w:type="dxa" w:w="2137"/>
          </w:tcPr>
          <w:p>
            <w:pPr>
              <w:pStyle w:val="Compact"/>
            </w:pPr>
            <w:r>
              <w:t xml:space="preserve">Platform (project setting)</w:t>
            </w:r>
          </w:p>
        </w:tc>
        <w:tc>
          <w:tcPr>
            <w:tcW w:type="dxa" w:w="950"/>
          </w:tcPr>
          <w:p>
            <w:pPr>
              <w:pStyle w:val="Compact"/>
            </w:pPr>
            <w:r>
              <w:t xml:space="preserve">Yes</w:t>
            </w:r>
          </w:p>
        </w:tc>
        <w:tc>
          <w:tcPr>
            <w:tcW w:type="dxa" w:w="3760"/>
          </w:tcPr>
          <w:p>
            <w:pPr>
              <w:pStyle w:val="Compact"/>
            </w:pPr>
            <w:r>
              <w:t xml:space="preserve">Reporting, cost, DR drill scheduling (§10)</w:t>
            </w:r>
          </w:p>
        </w:tc>
      </w:tr>
      <w:tr>
        <w:tc>
          <w:tcPr>
            <w:tcW w:type="dxa" w:w="1811"/>
          </w:tcPr>
          <w:p>
            <w:pPr>
              <w:pStyle w:val="Compact"/>
            </w:pPr>
            <w:r>
              <w:rPr>
                <w:rStyle w:val="VerbatimChar"/>
              </w:rPr>
              <w:t xml:space="preserve">org:region-role</w:t>
            </w:r>
          </w:p>
        </w:tc>
        <w:tc>
          <w:tcPr>
            <w:tcW w:type="dxa" w:w="142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2137"/>
          </w:tcPr>
          <w:p>
            <w:pPr>
              <w:pStyle w:val="Compact"/>
            </w:pPr>
            <w:r>
              <w:t xml:space="preserve">Platform (per region)</w:t>
            </w:r>
          </w:p>
        </w:tc>
        <w:tc>
          <w:tcPr>
            <w:tcW w:type="dxa" w:w="950"/>
          </w:tcPr>
          <w:p>
            <w:pPr>
              <w:pStyle w:val="Compact"/>
            </w:pPr>
            <w:r>
              <w:t xml:space="preserve">Yes</w:t>
            </w:r>
          </w:p>
        </w:tc>
        <w:tc>
          <w:tcPr>
            <w:tcW w:type="dxa" w:w="3760"/>
          </w:tcPr>
          <w:p>
            <w:pPr>
              <w:pStyle w:val="Compact"/>
            </w:pPr>
            <w:r>
              <w:t xml:space="preserve">Operations and failover tooling (§10)</w:t>
            </w:r>
          </w:p>
        </w:tc>
      </w:tr>
      <w:tr>
        <w:tc>
          <w:tcPr>
            <w:tcW w:type="dxa" w:w="1811"/>
          </w:tcPr>
          <w:p>
            <w:pPr>
              <w:pStyle w:val="Compact"/>
            </w:pPr>
            <w:r>
              <w:rPr>
                <w:rStyle w:val="VerbatimChar"/>
              </w:rPr>
              <w:t xml:space="preserve">org:expires-on</w:t>
            </w:r>
          </w:p>
        </w:tc>
        <w:tc>
          <w:tcPr>
            <w:tcW w:type="dxa" w:w="1422"/>
          </w:tcPr>
          <w:p>
            <w:pPr>
              <w:pStyle w:val="Compact"/>
            </w:pPr>
            <w:r>
              <w:rPr>
                <w:rStyle w:val="VerbatimChar"/>
              </w:rPr>
              <w:t xml:space="preserve">2026-11-01</w:t>
            </w:r>
          </w:p>
        </w:tc>
        <w:tc>
          <w:tcPr>
            <w:tcW w:type="dxa" w:w="2137"/>
          </w:tcPr>
          <w:p>
            <w:pPr>
              <w:pStyle w:val="Compact"/>
            </w:pPr>
            <w:r>
              <w:t xml:space="preserve">Platform (sandbox only)</w:t>
            </w:r>
          </w:p>
        </w:tc>
        <w:tc>
          <w:tcPr>
            <w:tcW w:type="dxa" w:w="950"/>
          </w:tcPr>
          <w:p>
            <w:pPr>
              <w:pStyle w:val="Compact"/>
            </w:pPr>
            <w:r>
              <w:t xml:space="preserve">Sandbox only</w:t>
            </w:r>
          </w:p>
        </w:tc>
        <w:tc>
          <w:tcPr>
            <w:tcW w:type="dxa" w:w="3760"/>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within a product (opt-in):</w:t>
      </w:r>
      <w:r>
        <w:t xml:space="preserve"> </w:t>
      </w:r>
      <w:r>
        <w:t xml:space="preserve">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only if:</w:t>
      </w:r>
      <w:r>
        <w:t xml:space="preserve"> </w:t>
      </w:r>
      <w:r>
        <w:t xml:space="preserve">1. The target resource carries</w:t>
      </w:r>
      <w:r>
        <w:t xml:space="preserve"> </w:t>
      </w:r>
      <w:r>
        <w:rPr>
          <w:rStyle w:val="VerbatimChar"/>
        </w:rPr>
        <w:t xml:space="preserve">org:share-scope=product</w:t>
      </w:r>
      <w:r>
        <w:t xml:space="preserve">.</w:t>
      </w:r>
      <w:r>
        <w:t xml:space="preserve"> </w:t>
      </w:r>
      <w:r>
        <w:t xml:space="preserve">2. The access is read-only (unless an approved exception exists).</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Opt-in sharing within a product (§4.6)</w:t>
            </w:r>
          </w:p>
        </w:tc>
        <w:tc>
          <w:tcPr>
            <w:tcW w:type="dxa" w:w="5982"/>
          </w:tcPr>
          <w:p>
            <w:pPr>
              <w:pStyle w:val="Compact"/>
            </w:pPr>
            <w:r>
              <w:t xml:space="preserve">Resource policy gets one extra</w:t>
            </w:r>
            <w:r>
              <w:t xml:space="preserve"> </w:t>
            </w:r>
            <w:r>
              <w:rPr>
                <w:b/>
                <w:bCs/>
              </w:rPr>
              <w:t xml:space="preserve">Allow-path</w:t>
            </w:r>
            <w:r>
              <w:t xml:space="preserve"> </w:t>
            </w:r>
            <w:r>
              <w:t xml:space="preserve">exception: principals with the same</w:t>
            </w:r>
            <w:r>
              <w:t xml:space="preserve"> </w:t>
            </w:r>
            <w:r>
              <w:rPr>
                <w:rStyle w:val="VerbatimChar"/>
              </w:rPr>
              <w:t xml:space="preserve">org:product</w:t>
            </w:r>
            <w:r>
              <w:t xml:space="preserve"> </w:t>
            </w:r>
            <w:r>
              <w:rPr>
                <w:i/>
                <w:iCs/>
              </w:rPr>
              <w:t xml:space="preserve">and</w:t>
            </w:r>
            <w:r>
              <w:t xml:space="preserve"> </w:t>
            </w:r>
            <w:r>
              <w:t xml:space="preserve">the target tagged</w:t>
            </w:r>
            <w:r>
              <w:t xml:space="preserve"> </w:t>
            </w:r>
            <w:r>
              <w:rPr>
                <w:rStyle w:val="VerbatimChar"/>
              </w:rPr>
              <w:t xml:space="preserve">org:share-scope=product</w:t>
            </w:r>
            <w:r>
              <w:t xml:space="preserve">,</w:t>
            </w:r>
            <w:r>
              <w:t xml:space="preserve"> </w:t>
            </w:r>
            <w:r>
              <w:rPr>
                <w:b/>
                <w:bCs/>
              </w:rPr>
              <w:t xml:space="preserve">read-only actions only</w:t>
            </w:r>
            <w:r>
              <w:t xml:space="preserve">, added only when such a connection exists</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7"/>
        </w:numPr>
      </w:pPr>
      <w:r>
        <w:rPr>
          <w:b/>
          <w:bCs/>
        </w:rPr>
        <w:t xml:space="preserve">Synthesis-time linter:</w:t>
      </w:r>
    </w:p>
    <w:p>
      <w:pPr>
        <w:pStyle w:val="Compact"/>
        <w:numPr>
          <w:ilvl w:val="1"/>
          <w:numId w:val="1008"/>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8"/>
        </w:numPr>
      </w:pPr>
      <w:r>
        <w:t xml:space="preserve">every runtime role has the boundary and tag conditions;</w:t>
      </w:r>
    </w:p>
    <w:p>
      <w:pPr>
        <w:pStyle w:val="Compact"/>
        <w:numPr>
          <w:ilvl w:val="1"/>
          <w:numId w:val="1008"/>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7"/>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7"/>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7. 5.1 Organization structure"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7.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09"/>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09"/>
        </w:numPr>
      </w:pPr>
      <w:r>
        <w:rPr>
          <w:b/>
          <w:bCs/>
        </w:rPr>
        <w:t xml:space="preserve">New projects</w:t>
      </w:r>
      <w:r>
        <w:t xml:space="preserve"> </w:t>
      </w:r>
      <w:r>
        <w:t xml:space="preserve">always use the current configuration.</w:t>
      </w:r>
    </w:p>
    <w:p>
      <w:pPr>
        <w:pStyle w:val="Compact"/>
        <w:numPr>
          <w:ilvl w:val="0"/>
          <w:numId w:val="1009"/>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0"/>
        </w:numPr>
      </w:pPr>
      <w:r>
        <w:t xml:space="preserve">Bootstraps the new account (§5.4).</w:t>
      </w:r>
    </w:p>
    <w:p>
      <w:pPr>
        <w:pStyle w:val="Compact"/>
        <w:numPr>
          <w:ilvl w:val="1"/>
          <w:numId w:val="1010"/>
        </w:numPr>
      </w:pPr>
      <w:r>
        <w:t xml:space="preserve">Updates the repo’s GitHub variables (§5.5.5).</w:t>
      </w:r>
    </w:p>
    <w:p>
      <w:pPr>
        <w:pStyle w:val="Compact"/>
        <w:numPr>
          <w:ilvl w:val="1"/>
          <w:numId w:val="1010"/>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09"/>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1"/>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1"/>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1"/>
        </w:numPr>
      </w:pPr>
      <w:r>
        <w:t xml:space="preserve">GitHub’s precedence is environment → repository → organization. The platform writes each variable at exactly one level, so precedence never decides a value by accident.</w:t>
      </w:r>
    </w:p>
    <w:p>
      <w:pPr>
        <w:pStyle w:val="Compact"/>
        <w:numPr>
          <w:ilvl w:val="0"/>
          <w:numId w:val="1011"/>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1"/>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2"/>
        </w:numPr>
      </w:pPr>
      <w:r>
        <w:t xml:space="preserve">OIDC trust in each account only accepts this repo + this environment.</w:t>
      </w:r>
    </w:p>
    <w:p>
      <w:pPr>
        <w:pStyle w:val="Compact"/>
        <w:numPr>
          <w:ilvl w:val="1"/>
          <w:numId w:val="1012"/>
        </w:numPr>
      </w:pPr>
      <w:r>
        <w:t xml:space="preserve">IAM only accepts stack tags equal to the deploy role’s own tags (§4.4).</w:t>
      </w:r>
    </w:p>
    <w:p>
      <w:pPr>
        <w:pStyle w:val="Compact"/>
        <w:numPr>
          <w:ilvl w:val="1"/>
          <w:numId w:val="1012"/>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1"/>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8. 6.1 Approach: building blocks + connection binders"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8. 6.1 Approach: building blocks + connection binders</w:t>
      </w:r>
    </w:p>
    <w:p>
      <w:pPr>
        <w:pStyle w:val="Compact"/>
        <w:numPr>
          <w:ilvl w:val="0"/>
          <w:numId w:val="1013"/>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3"/>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3"/>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9. 6.3 S3 → Lambda wiring (and the circular dependency trap)"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9. 6.3 S3 → Lambda wiring (and the circular dependency trap)</w:t>
      </w:r>
    </w:p>
    <w:p>
      <w:pPr>
        <w:pStyle w:val="Heading2"/>
      </w:pPr>
      <w:r>
        <w:t xml:space="preserve">6.4 Defaults built into each block</w:t>
      </w:r>
    </w:p>
    <w:p>
      <w:pPr>
        <w:pStyle w:val="Compact"/>
        <w:numPr>
          <w:ilvl w:val="0"/>
          <w:numId w:val="1014"/>
        </w:numPr>
      </w:pPr>
      <w:r>
        <w:rPr>
          <w:b/>
          <w:bCs/>
        </w:rPr>
        <w:t xml:space="preserve">S3:</w:t>
      </w:r>
    </w:p>
    <w:p>
      <w:pPr>
        <w:pStyle w:val="Compact"/>
        <w:numPr>
          <w:ilvl w:val="1"/>
          <w:numId w:val="1015"/>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5"/>
        </w:numPr>
      </w:pPr>
      <w:r>
        <w:t xml:space="preserve">Bucket policy: deny other projects and other environments by principal tag (§4.10.2), and deny non-TLS requests.</w:t>
      </w:r>
    </w:p>
    <w:p>
      <w:pPr>
        <w:pStyle w:val="Compact"/>
        <w:numPr>
          <w:ilvl w:val="1"/>
          <w:numId w:val="1015"/>
        </w:numPr>
      </w:pPr>
      <w:r>
        <w:t xml:space="preserve">Versioning + lifecycle.</w:t>
      </w:r>
    </w:p>
    <w:p>
      <w:pPr>
        <w:pStyle w:val="Compact"/>
        <w:numPr>
          <w:ilvl w:val="1"/>
          <w:numId w:val="1015"/>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4"/>
        </w:numPr>
      </w:pPr>
      <w:r>
        <w:rPr>
          <w:b/>
          <w:bCs/>
        </w:rPr>
        <w:t xml:space="preserve">Lambda:</w:t>
      </w:r>
    </w:p>
    <w:p>
      <w:pPr>
        <w:pStyle w:val="Compact"/>
        <w:numPr>
          <w:ilvl w:val="1"/>
          <w:numId w:val="1016"/>
        </w:numPr>
      </w:pPr>
      <w:r>
        <w:t xml:space="preserve">One execution role per function, with the shared boundary attached; exact-ARN inline policy (logs to its own log group + binder statements).</w:t>
      </w:r>
    </w:p>
    <w:p>
      <w:pPr>
        <w:pStyle w:val="Compact"/>
        <w:numPr>
          <w:ilvl w:val="1"/>
          <w:numId w:val="1016"/>
        </w:numPr>
      </w:pPr>
      <w:r>
        <w:t xml:space="preserve">An explicit log group with retention per environment; JSON logging.</w:t>
      </w:r>
    </w:p>
    <w:p>
      <w:pPr>
        <w:pStyle w:val="Compact"/>
        <w:numPr>
          <w:ilvl w:val="1"/>
          <w:numId w:val="1016"/>
        </w:numPr>
      </w:pPr>
      <w:r>
        <w:rPr>
          <w:rStyle w:val="VerbatimChar"/>
        </w:rPr>
        <w:t xml:space="preserve">arm64</w:t>
      </w:r>
      <w:r>
        <w:t xml:space="preserve">.</w:t>
      </w:r>
    </w:p>
    <w:p>
      <w:pPr>
        <w:pStyle w:val="Compact"/>
        <w:numPr>
          <w:ilvl w:val="1"/>
          <w:numId w:val="1016"/>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6"/>
        </w:numPr>
      </w:pPr>
      <w:r>
        <w:t xml:space="preserve">DLQ / on-failure destination recommended for S3 triggers.</w:t>
      </w:r>
    </w:p>
    <w:p>
      <w:pPr>
        <w:pStyle w:val="Compact"/>
        <w:numPr>
          <w:ilvl w:val="0"/>
          <w:numId w:val="1014"/>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7"/>
        </w:numPr>
      </w:pPr>
      <w:r>
        <w:t xml:space="preserve">Schema + graph + registry/entitlement checks (§3.3).</w:t>
      </w:r>
    </w:p>
    <w:p>
      <w:pPr>
        <w:pStyle w:val="Compact"/>
        <w:numPr>
          <w:ilvl w:val="0"/>
          <w:numId w:val="1017"/>
        </w:numPr>
      </w:pPr>
      <w:r>
        <w:rPr>
          <w:b/>
          <w:bCs/>
        </w:rPr>
        <w:t xml:space="preserve">Least-privilege linter:</w:t>
      </w:r>
    </w:p>
    <w:p>
      <w:pPr>
        <w:pStyle w:val="Compact"/>
        <w:numPr>
          <w:ilvl w:val="1"/>
          <w:numId w:val="1018"/>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8"/>
        </w:numPr>
      </w:pPr>
      <w:r>
        <w:t xml:space="preserve">No</w:t>
      </w:r>
      <w:r>
        <w:t xml:space="preserve"> </w:t>
      </w:r>
      <w:r>
        <w:rPr>
          <w:rStyle w:val="VerbatimChar"/>
        </w:rPr>
        <w:t xml:space="preserve">iam:*</w:t>
      </w:r>
      <w:r>
        <w:t xml:space="preserve">,</w:t>
      </w:r>
      <w:r>
        <w:t xml:space="preserve"> </w:t>
      </w:r>
      <w:r>
        <w:rPr>
          <w:rStyle w:val="VerbatimChar"/>
        </w:rPr>
        <w:t xml:space="preserve">sts:AssumeRole</w:t>
      </w:r>
      <w:r>
        <w:t xml:space="preserve"> </w:t>
      </w:r>
      <w:r>
        <w:t xml:space="preserve">or</w:t>
      </w:r>
      <w:r>
        <w:t xml:space="preserve"> </w:t>
      </w:r>
      <w:r>
        <w:rPr>
          <w:rStyle w:val="VerbatimChar"/>
        </w:rPr>
        <w:t xml:space="preserve">iam:PassRole</w:t>
      </w:r>
      <w:r>
        <w:t xml:space="preserve"> </w:t>
      </w:r>
      <w:r>
        <w:t xml:space="preserve">in app roles.</w:t>
      </w:r>
    </w:p>
    <w:p>
      <w:pPr>
        <w:pStyle w:val="Compact"/>
        <w:numPr>
          <w:ilvl w:val="1"/>
          <w:numId w:val="1018"/>
        </w:numPr>
      </w:pPr>
      <w:r>
        <w:t xml:space="preserve">Every generated role has the boundary.</w:t>
      </w:r>
    </w:p>
    <w:p>
      <w:pPr>
        <w:pStyle w:val="Compact"/>
        <w:numPr>
          <w:ilvl w:val="0"/>
          <w:numId w:val="1017"/>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7"/>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7"/>
        </w:numPr>
      </w:pPr>
      <w:r>
        <w:t xml:space="preserve">Golden-file tests for every catalog combination.</w:t>
      </w:r>
    </w:p>
    <w:p>
      <w:pPr>
        <w:pStyle w:val="Heading2"/>
      </w:pPr>
      <w:r>
        <w:t xml:space="preserve">6.7 Idempotency of the template</w:t>
      </w:r>
    </w:p>
    <w:p>
      <w:pPr>
        <w:pStyle w:val="Compact"/>
        <w:numPr>
          <w:ilvl w:val="0"/>
          <w:numId w:val="1019"/>
        </w:numPr>
      </w:pPr>
      <w:r>
        <w:t xml:space="preserve">Stable logical IDs and predictable physical names.</w:t>
      </w:r>
    </w:p>
    <w:p>
      <w:pPr>
        <w:pStyle w:val="Compact"/>
        <w:numPr>
          <w:ilvl w:val="0"/>
          <w:numId w:val="1019"/>
        </w:numPr>
      </w:pPr>
      <w:r>
        <w:t xml:space="preserve">Retain policies on stateful resources; stack policy in prod.</w:t>
      </w:r>
    </w:p>
    <w:p>
      <w:pPr>
        <w:pStyle w:val="Compact"/>
        <w:numPr>
          <w:ilvl w:val="0"/>
          <w:numId w:val="1019"/>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19"/>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0. 6.8.1 Two inputs published by AWS"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10.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879"/>
        <w:gridCol w:w="3711"/>
        <w:gridCol w:w="4490"/>
      </w:tblGrid>
      <w:tr>
        <w:trPr>
          <w:tblHeader w:val="on"/>
        </w:trPr>
        <w:tc>
          <w:tcPr>
            <w:tcW w:type="dxa" w:w="1879"/>
          </w:tcPr>
          <w:p>
            <w:pPr>
              <w:pStyle w:val="Compact"/>
            </w:pPr>
            <w:r>
              <w:t xml:space="preserve">Connection kind</w:t>
            </w:r>
          </w:p>
        </w:tc>
        <w:tc>
          <w:tcPr>
            <w:tcW w:type="dxa" w:w="3711"/>
          </w:tcPr>
          <w:p>
            <w:pPr>
              <w:pStyle w:val="Compact"/>
            </w:pPr>
            <w:r>
              <w:t xml:space="preserve">Examples</w:t>
            </w:r>
          </w:p>
        </w:tc>
        <w:tc>
          <w:tcPr>
            <w:tcW w:type="dxa" w:w="4490"/>
          </w:tcPr>
          <w:p>
            <w:pPr>
              <w:pStyle w:val="Compact"/>
            </w:pPr>
            <w:r>
              <w:t xml:space="preserve">What the binder generates</w:t>
            </w:r>
          </w:p>
        </w:tc>
      </w:tr>
      <w:tr>
        <w:tc>
          <w:tcPr>
            <w:tcW w:type="dxa" w:w="1879"/>
          </w:tcPr>
          <w:p>
            <w:pPr>
              <w:pStyle w:val="Compact"/>
            </w:pPr>
            <w:r>
              <w:rPr>
                <w:rStyle w:val="VerbatimChar"/>
              </w:rPr>
              <w:t xml:space="preserve">iam.access</w:t>
            </w:r>
            <w:r>
              <w:t xml:space="preserve"> </w:t>
            </w:r>
            <w:r>
              <w:t xml:space="preserve">(read / write / readwrite / admin-data)</w:t>
            </w:r>
          </w:p>
        </w:tc>
        <w:tc>
          <w:tcPr>
            <w:tcW w:type="dxa" w:w="3711"/>
          </w:tcPr>
          <w:p>
            <w:pPr>
              <w:pStyle w:val="Compact"/>
            </w:pPr>
            <w:r>
              <w:t xml:space="preserve">Lambda → DynamoDB, ECS → S3, Step Functions → Lambda, Glue → S3</w:t>
            </w:r>
          </w:p>
        </w:tc>
        <w:tc>
          <w:tcPr>
            <w:tcW w:type="dxa" w:w="4490"/>
          </w:tcPr>
          <w:p>
            <w:pPr>
              <w:pStyle w:val="Compact"/>
            </w:pPr>
            <w:r>
              <w:t xml:space="preserve">Least-privilege statements from the Service Authorization Reference for the target’s ARN; tag conditions where supported</w:t>
            </w:r>
          </w:p>
        </w:tc>
      </w:tr>
      <w:tr>
        <w:tc>
          <w:tcPr>
            <w:tcW w:type="dxa" w:w="1879"/>
          </w:tcPr>
          <w:p>
            <w:pPr>
              <w:pStyle w:val="Compact"/>
            </w:pPr>
            <w:r>
              <w:rPr>
                <w:rStyle w:val="VerbatimChar"/>
              </w:rPr>
              <w:t xml:space="preserve">network.access</w:t>
            </w:r>
          </w:p>
        </w:tc>
        <w:tc>
          <w:tcPr>
            <w:tcW w:type="dxa" w:w="3711"/>
          </w:tcPr>
          <w:p>
            <w:pPr>
              <w:pStyle w:val="Compact"/>
            </w:pPr>
            <w:r>
              <w:t xml:space="preserve">ECS → Aurora (5432), Lambda → ElastiCache (6379), EKS workload → OpenSearch (443)</w:t>
            </w:r>
          </w:p>
        </w:tc>
        <w:tc>
          <w:tcPr>
            <w:tcW w:type="dxa" w:w="4490"/>
          </w:tcPr>
          <w:p>
            <w:pPr>
              <w:pStyle w:val="Compact"/>
            </w:pPr>
            <w:r>
              <w:t xml:space="preserve">Security group ingress rule (source SG → target SG, engine port only); VPC config on the source if missing</w:t>
            </w:r>
          </w:p>
        </w:tc>
      </w:tr>
      <w:tr>
        <w:tc>
          <w:tcPr>
            <w:tcW w:type="dxa" w:w="1879"/>
          </w:tcPr>
          <w:p>
            <w:pPr>
              <w:pStyle w:val="Compact"/>
            </w:pPr>
            <w:r>
              <w:rPr>
                <w:rStyle w:val="VerbatimChar"/>
              </w:rPr>
              <w:t xml:space="preserve">event.source</w:t>
            </w:r>
            <w:r>
              <w:t xml:space="preserve"> </w:t>
            </w:r>
            <w:r>
              <w:t xml:space="preserve">(poll-based)</w:t>
            </w:r>
          </w:p>
        </w:tc>
        <w:tc>
          <w:tcPr>
            <w:tcW w:type="dxa" w:w="3711"/>
          </w:tcPr>
          <w:p>
            <w:pPr>
              <w:pStyle w:val="Compact"/>
            </w:pPr>
            <w:r>
              <w:t xml:space="preserve">SQS / Kinesis / DynamoDB Streams / MSK / Amazon MQ → Lambda</w:t>
            </w:r>
          </w:p>
        </w:tc>
        <w:tc>
          <w:tcPr>
            <w:tcW w:type="dxa" w:w="4490"/>
          </w:tcPr>
          <w:p>
            <w:pPr>
              <w:pStyle w:val="Compact"/>
            </w:pPr>
            <w:r>
              <w:t xml:space="preserve">Event source mapping + the poller permissions on the source</w:t>
            </w:r>
          </w:p>
        </w:tc>
      </w:tr>
      <w:tr>
        <w:tc>
          <w:tcPr>
            <w:tcW w:type="dxa" w:w="1879"/>
          </w:tcPr>
          <w:p>
            <w:pPr>
              <w:pStyle w:val="Compact"/>
            </w:pPr>
            <w:r>
              <w:rPr>
                <w:rStyle w:val="VerbatimChar"/>
              </w:rPr>
              <w:t xml:space="preserve">event.notify</w:t>
            </w:r>
            <w:r>
              <w:t xml:space="preserve"> </w:t>
            </w:r>
            <w:r>
              <w:t xml:space="preserve">(push-based)</w:t>
            </w:r>
          </w:p>
        </w:tc>
        <w:tc>
          <w:tcPr>
            <w:tcW w:type="dxa" w:w="3711"/>
          </w:tcPr>
          <w:p>
            <w:pPr>
              <w:pStyle w:val="Compact"/>
            </w:pPr>
            <w:r>
              <w:t xml:space="preserve">S3 → Lambda/SQS/SNS/EventBridge, SNS → SQS/Lambda</w:t>
            </w:r>
          </w:p>
        </w:tc>
        <w:tc>
          <w:tcPr>
            <w:tcW w:type="dxa" w:w="4490"/>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879"/>
          </w:tcPr>
          <w:p>
            <w:pPr>
              <w:pStyle w:val="Compact"/>
            </w:pPr>
            <w:r>
              <w:rPr>
                <w:rStyle w:val="VerbatimChar"/>
              </w:rPr>
              <w:t xml:space="preserve">event.rule</w:t>
            </w:r>
          </w:p>
        </w:tc>
        <w:tc>
          <w:tcPr>
            <w:tcW w:type="dxa" w:w="3711"/>
          </w:tcPr>
          <w:p>
            <w:pPr>
              <w:pStyle w:val="Compact"/>
            </w:pPr>
            <w:r>
              <w:t xml:space="preserve">EventBridge rule/schedule/pipe → any supported target</w:t>
            </w:r>
          </w:p>
        </w:tc>
        <w:tc>
          <w:tcPr>
            <w:tcW w:type="dxa" w:w="4490"/>
          </w:tcPr>
          <w:p>
            <w:pPr>
              <w:pStyle w:val="Compact"/>
            </w:pPr>
            <w:r>
              <w:t xml:space="preserve">Rule/schedule/pipe + target role or resource policy</w:t>
            </w:r>
          </w:p>
        </w:tc>
      </w:tr>
      <w:tr>
        <w:tc>
          <w:tcPr>
            <w:tcW w:type="dxa" w:w="1879"/>
          </w:tcPr>
          <w:p>
            <w:pPr>
              <w:pStyle w:val="Compact"/>
            </w:pPr>
            <w:r>
              <w:rPr>
                <w:rStyle w:val="VerbatimChar"/>
              </w:rPr>
              <w:t xml:space="preserve">api.route</w:t>
            </w:r>
          </w:p>
        </w:tc>
        <w:tc>
          <w:tcPr>
            <w:tcW w:type="dxa" w:w="3711"/>
          </w:tcPr>
          <w:p>
            <w:pPr>
              <w:pStyle w:val="Compact"/>
            </w:pPr>
            <w:r>
              <w:t xml:space="preserve">API Gateway / ALB → Lambda / ECS / Step Functions</w:t>
            </w:r>
          </w:p>
        </w:tc>
        <w:tc>
          <w:tcPr>
            <w:tcW w:type="dxa" w:w="4490"/>
          </w:tcPr>
          <w:p>
            <w:pPr>
              <w:pStyle w:val="Compact"/>
            </w:pPr>
            <w:r>
              <w:t xml:space="preserve">Integration, route, permission/target group</w:t>
            </w:r>
          </w:p>
        </w:tc>
      </w:tr>
      <w:tr>
        <w:tc>
          <w:tcPr>
            <w:tcW w:type="dxa" w:w="1879"/>
          </w:tcPr>
          <w:p>
            <w:pPr>
              <w:pStyle w:val="Compact"/>
            </w:pPr>
            <w:r>
              <w:rPr>
                <w:rStyle w:val="VerbatimChar"/>
              </w:rPr>
              <w:t xml:space="preserve">workflow.task</w:t>
            </w:r>
          </w:p>
        </w:tc>
        <w:tc>
          <w:tcPr>
            <w:tcW w:type="dxa" w:w="3711"/>
          </w:tcPr>
          <w:p>
            <w:pPr>
              <w:pStyle w:val="Compact"/>
            </w:pPr>
            <w:r>
              <w:t xml:space="preserve">Step Functions → Lambda / ECS / DynamoDB / SQS / SNS / Glue / Batch / Bedrock …</w:t>
            </w:r>
          </w:p>
        </w:tc>
        <w:tc>
          <w:tcPr>
            <w:tcW w:type="dxa" w:w="4490"/>
          </w:tcPr>
          <w:p>
            <w:pPr>
              <w:pStyle w:val="Compact"/>
            </w:pPr>
            <w:r>
              <w:t xml:space="preserve">Task state substitution values + state machine role statements for that integration</w:t>
            </w:r>
          </w:p>
        </w:tc>
      </w:tr>
      <w:tr>
        <w:tc>
          <w:tcPr>
            <w:tcW w:type="dxa" w:w="1879"/>
          </w:tcPr>
          <w:p>
            <w:pPr>
              <w:pStyle w:val="Compact"/>
            </w:pPr>
            <w:r>
              <w:rPr>
                <w:rStyle w:val="VerbatimChar"/>
              </w:rPr>
              <w:t xml:space="preserve">secret.binding</w:t>
            </w:r>
          </w:p>
        </w:tc>
        <w:tc>
          <w:tcPr>
            <w:tcW w:type="dxa" w:w="3711"/>
          </w:tcPr>
          <w:p>
            <w:pPr>
              <w:pStyle w:val="Compact"/>
            </w:pPr>
            <w:r>
              <w:t xml:space="preserve">Any compute → database secret / Secrets Manager secret / SSM parameter</w:t>
            </w:r>
          </w:p>
        </w:tc>
        <w:tc>
          <w:tcPr>
            <w:tcW w:type="dxa" w:w="4490"/>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879"/>
          </w:tcPr>
          <w:p>
            <w:pPr>
              <w:pStyle w:val="Compact"/>
            </w:pPr>
            <w:r>
              <w:rPr>
                <w:rStyle w:val="VerbatimChar"/>
              </w:rPr>
              <w:t xml:space="preserve">cdn.origin</w:t>
            </w:r>
          </w:p>
        </w:tc>
        <w:tc>
          <w:tcPr>
            <w:tcW w:type="dxa" w:w="3711"/>
          </w:tcPr>
          <w:p>
            <w:pPr>
              <w:pStyle w:val="Compact"/>
            </w:pPr>
            <w:r>
              <w:t xml:space="preserve">CloudFront → S3 / ALB / API Gateway</w:t>
            </w:r>
          </w:p>
        </w:tc>
        <w:tc>
          <w:tcPr>
            <w:tcW w:type="dxa" w:w="4490"/>
          </w:tcPr>
          <w:p>
            <w:pPr>
              <w:pStyle w:val="Compact"/>
            </w:pPr>
            <w:r>
              <w:t xml:space="preserve">Origin + origin access control and the matching bucket/resource policy</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0"/>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0"/>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0"/>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1"/>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1"/>
        </w:numPr>
      </w:pPr>
      <w:r>
        <w:rPr>
          <w:b/>
          <w:bCs/>
        </w:rPr>
        <w:t xml:space="preserve">Golden tests:</w:t>
      </w:r>
      <w:r>
        <w:t xml:space="preserve"> </w:t>
      </w:r>
      <w:r>
        <w:t xml:space="preserve">every Tier 1 block and every connection kind has reference templates in CI.</w:t>
      </w:r>
    </w:p>
    <w:p>
      <w:pPr>
        <w:pStyle w:val="Compact"/>
        <w:numPr>
          <w:ilvl w:val="0"/>
          <w:numId w:val="1021"/>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1"/>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1"/>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2"/>
        </w:numPr>
      </w:pPr>
      <w:r>
        <w:t xml:space="preserve">REST API + Lambda + Aurora Serverless;</w:t>
      </w:r>
    </w:p>
    <w:p>
      <w:pPr>
        <w:pStyle w:val="Compact"/>
        <w:numPr>
          <w:ilvl w:val="1"/>
          <w:numId w:val="1022"/>
        </w:numPr>
      </w:pPr>
      <w:r>
        <w:t xml:space="preserve">containerized service on ECS + ALB + RDS PostgreSQL + ElastiCache;</w:t>
      </w:r>
    </w:p>
    <w:p>
      <w:pPr>
        <w:pStyle w:val="Compact"/>
        <w:numPr>
          <w:ilvl w:val="1"/>
          <w:numId w:val="1022"/>
        </w:numPr>
      </w:pPr>
      <w:r>
        <w:t xml:space="preserve">event pipeline (S3 → EventBridge → Step Functions → Lambda → DynamoDB);</w:t>
      </w:r>
    </w:p>
    <w:p>
      <w:pPr>
        <w:pStyle w:val="Compact"/>
        <w:numPr>
          <w:ilvl w:val="1"/>
          <w:numId w:val="1022"/>
        </w:numPr>
      </w:pPr>
      <w:r>
        <w:t xml:space="preserve">streaming (Kinesis → Lambda → OpenSearch);</w:t>
      </w:r>
    </w:p>
    <w:p>
      <w:pPr>
        <w:pStyle w:val="Compact"/>
        <w:numPr>
          <w:ilvl w:val="1"/>
          <w:numId w:val="1022"/>
        </w:numPr>
      </w:pPr>
      <w:r>
        <w:t xml:space="preserve">data lake (S3 + Glue + Athena + Lake Formation).</w:t>
      </w:r>
    </w:p>
    <w:p>
      <w:pPr>
        <w:pStyle w:val="Heading3"/>
      </w:pPr>
      <w:r>
        <w:t xml:space="preserve">6.8.7 Governance for a large catalog</w:t>
      </w:r>
    </w:p>
    <w:p>
      <w:pPr>
        <w:pStyle w:val="Compact"/>
        <w:numPr>
          <w:ilvl w:val="0"/>
          <w:numId w:val="1023"/>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3"/>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3"/>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3"/>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4"/>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4"/>
        </w:numPr>
      </w:pPr>
      <w:r>
        <w:t xml:space="preserve">Content-creating calls are serialized per installation, at least 1 s apart (token bucket, §12.3).</w:t>
      </w:r>
    </w:p>
    <w:p>
      <w:pPr>
        <w:pStyle w:val="Compact"/>
        <w:numPr>
          <w:ilvl w:val="0"/>
          <w:numId w:val="1024"/>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4"/>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1. 8.1 Trust model per environment"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11. 8.1 Trust model per environment</w:t>
      </w:r>
    </w:p>
    <w:p>
      <w:pPr>
        <w:pStyle w:val="Compact"/>
        <w:numPr>
          <w:ilvl w:val="0"/>
          <w:numId w:val="1025"/>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5"/>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2. 8.2 Promotion flow"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12. 8.2 Promotion flow</w:t>
      </w:r>
    </w:p>
    <w:p>
      <w:pPr>
        <w:pStyle w:val="Compact"/>
        <w:numPr>
          <w:ilvl w:val="0"/>
          <w:numId w:val="1026"/>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6"/>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6"/>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3. 8.3 Approval gates: STAGE and PROD require GitHub reviewer approval before deployment"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13.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4. 8.4.1 The gate layers"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14.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7"/>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7"/>
        </w:numPr>
      </w:pPr>
      <w:r>
        <w:t xml:space="preserve">Workflows post results to the platform with the job’s OIDC token, so the platform can verify which repo, environment and run sent them.</w:t>
      </w:r>
    </w:p>
    <w:p>
      <w:pPr>
        <w:pStyle w:val="Compact"/>
        <w:numPr>
          <w:ilvl w:val="0"/>
          <w:numId w:val="1027"/>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8"/>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8"/>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8"/>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8"/>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5. 8.5.2 Promotion state machine (per commit, per gated environment)"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15. 8.5.2 Promotion state machine (per commit, per gated environment)</w:t>
      </w:r>
    </w:p>
    <w:p>
      <w:pPr>
        <w:pStyle w:val="Compact"/>
        <w:numPr>
          <w:ilvl w:val="0"/>
          <w:numId w:val="1029"/>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29"/>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6. 8.5.3 How an approval in the UI reaches GitHub (Mode B only)"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16. 8.5.3 How an approval in the UI reaches GitHub (Mode B only)</w:t>
      </w:r>
    </w:p>
    <w:p>
      <w:pPr>
        <w:pStyle w:val="Compact"/>
        <w:numPr>
          <w:ilvl w:val="0"/>
          <w:numId w:val="1030"/>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0"/>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0"/>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0"/>
        </w:numPr>
      </w:pPr>
      <w:r>
        <w:rPr>
          <w:b/>
          <w:bCs/>
        </w:rPr>
        <w:t xml:space="preserve">Promotion mode</w:t>
      </w:r>
      <w:r>
        <w:t xml:space="preserve"> </w:t>
      </w:r>
      <w:r>
        <w:t xml:space="preserve">(configurable per environment, §5.5.1):</w:t>
      </w:r>
    </w:p>
    <w:p>
      <w:pPr>
        <w:pStyle w:val="Compact"/>
        <w:numPr>
          <w:ilvl w:val="1"/>
          <w:numId w:val="1031"/>
        </w:numPr>
      </w:pPr>
      <w:r>
        <w:rPr>
          <w:rStyle w:val="VerbatimChar"/>
        </w:rPr>
        <w:t xml:space="preserve">auto</w:t>
      </w:r>
      <w:r>
        <w:t xml:space="preserve">: STAGE plan starts automatically after TEST succeeds.</w:t>
      </w:r>
    </w:p>
    <w:p>
      <w:pPr>
        <w:pStyle w:val="Compact"/>
        <w:numPr>
          <w:ilvl w:val="1"/>
          <w:numId w:val="1031"/>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2"/>
        </w:numPr>
      </w:pPr>
      <w:r>
        <w:t xml:space="preserve">Requester ≠ approver (platform check + GitHub prevent self-review).</w:t>
      </w:r>
    </w:p>
    <w:p>
      <w:pPr>
        <w:pStyle w:val="Compact"/>
        <w:numPr>
          <w:ilvl w:val="0"/>
          <w:numId w:val="1032"/>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2"/>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7. 9.1 The problem and the recommended model"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17.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3"/>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3"/>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4"/>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4"/>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5"/>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5"/>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5"/>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18. 10.2 What “deployed but inactive” means"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18.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6"/>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6"/>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6"/>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19. 10.5 Pipeline: deploying to both regions"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19. 10.5 Pipeline: deploying to both regions</w:t>
      </w:r>
    </w:p>
    <w:p>
      <w:pPr>
        <w:pStyle w:val="Compact"/>
        <w:numPr>
          <w:ilvl w:val="0"/>
          <w:numId w:val="1037"/>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7"/>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7"/>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7"/>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7"/>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38"/>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38"/>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38"/>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38"/>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39"/>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39"/>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39"/>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39"/>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0"/>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0"/>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0"/>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0"/>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1"/>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1"/>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1"/>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1"/>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0. 11.3 Undo policy"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20. 11.3 Undo policy</w:t>
      </w:r>
    </w:p>
    <w:p>
      <w:pPr>
        <w:pStyle w:val="Compact"/>
        <w:numPr>
          <w:ilvl w:val="0"/>
          <w:numId w:val="1042"/>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2"/>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364"/>
        <w:gridCol w:w="6766"/>
      </w:tblGrid>
      <w:tr>
        <w:trPr>
          <w:tblHeader w:val="on"/>
        </w:trPr>
        <w:tc>
          <w:tcPr>
            <w:tcW w:type="dxa" w:w="950"/>
          </w:tcPr>
          <w:p>
            <w:pPr>
              <w:pStyle w:val="Compact"/>
            </w:pPr>
            <w:r>
              <w:t xml:space="preserve">#</w:t>
            </w:r>
          </w:p>
        </w:tc>
        <w:tc>
          <w:tcPr>
            <w:tcW w:type="dxa" w:w="2364"/>
          </w:tcPr>
          <w:p>
            <w:pPr>
              <w:pStyle w:val="Compact"/>
            </w:pPr>
            <w:r>
              <w:t xml:space="preserve">Decision</w:t>
            </w:r>
          </w:p>
        </w:tc>
        <w:tc>
          <w:tcPr>
            <w:tcW w:type="dxa" w:w="6766"/>
          </w:tcPr>
          <w:p>
            <w:pPr>
              <w:pStyle w:val="Compact"/>
            </w:pPr>
            <w:r>
              <w:t xml:space="preserve">Recommendation</w:t>
            </w:r>
          </w:p>
        </w:tc>
      </w:tr>
      <w:tr>
        <w:tc>
          <w:tcPr>
            <w:tcW w:type="dxa" w:w="950"/>
          </w:tcPr>
          <w:p>
            <w:pPr>
              <w:pStyle w:val="Compact"/>
            </w:pPr>
            <w:r>
              <w:t xml:space="preserve">D1</w:t>
            </w:r>
          </w:p>
        </w:tc>
        <w:tc>
          <w:tcPr>
            <w:tcW w:type="dxa" w:w="2364"/>
          </w:tcPr>
          <w:p>
            <w:pPr>
              <w:pStyle w:val="Compact"/>
            </w:pPr>
            <w:r>
              <w:t xml:space="preserve">Backend language</w:t>
            </w:r>
          </w:p>
        </w:tc>
        <w:tc>
          <w:tcPr>
            <w:tcW w:type="dxa" w:w="6766"/>
          </w:tcPr>
          <w:p>
            <w:pPr>
              <w:pStyle w:val="Compact"/>
            </w:pPr>
            <w:r>
              <w:rPr>
                <w:b/>
                <w:bCs/>
              </w:rPr>
              <w:t xml:space="preserve">Python</w:t>
            </w:r>
          </w:p>
        </w:tc>
      </w:tr>
      <w:tr>
        <w:tc>
          <w:tcPr>
            <w:tcW w:type="dxa" w:w="950"/>
          </w:tcPr>
          <w:p>
            <w:pPr>
              <w:pStyle w:val="Compact"/>
            </w:pPr>
            <w:r>
              <w:t xml:space="preserve">D2</w:t>
            </w:r>
          </w:p>
        </w:tc>
        <w:tc>
          <w:tcPr>
            <w:tcW w:type="dxa" w:w="2364"/>
          </w:tcPr>
          <w:p>
            <w:pPr>
              <w:pStyle w:val="Compact"/>
            </w:pPr>
            <w:r>
              <w:t xml:space="preserve">GitHub identity</w:t>
            </w:r>
          </w:p>
        </w:tc>
        <w:tc>
          <w:tcPr>
            <w:tcW w:type="dxa" w:w="6766"/>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364"/>
          </w:tcPr>
          <w:p>
            <w:pPr>
              <w:pStyle w:val="Compact"/>
            </w:pPr>
            <w:r>
              <w:t xml:space="preserve">Tag key prefix</w:t>
            </w:r>
          </w:p>
        </w:tc>
        <w:tc>
          <w:tcPr>
            <w:tcW w:type="dxa" w:w="6766"/>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364"/>
          </w:tcPr>
          <w:p>
            <w:pPr>
              <w:pStyle w:val="Compact"/>
            </w:pPr>
            <w:r>
              <w:t xml:space="preserve">Main isolation level</w:t>
            </w:r>
          </w:p>
        </w:tc>
        <w:tc>
          <w:tcPr>
            <w:tcW w:type="dxa" w:w="6766"/>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364"/>
          </w:tcPr>
          <w:p>
            <w:pPr>
              <w:pStyle w:val="Compact"/>
            </w:pPr>
            <w:r>
              <w:t xml:space="preserve">Hierarchy</w:t>
            </w:r>
          </w:p>
        </w:tc>
        <w:tc>
          <w:tcPr>
            <w:tcW w:type="dxa" w:w="6766"/>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364"/>
          </w:tcPr>
          <w:p>
            <w:pPr>
              <w:pStyle w:val="Compact"/>
            </w:pPr>
            <w:r>
              <w:t xml:space="preserve">Account granularity</w:t>
            </w:r>
          </w:p>
        </w:tc>
        <w:tc>
          <w:tcPr>
            <w:tcW w:type="dxa" w:w="6766"/>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364"/>
          </w:tcPr>
          <w:p>
            <w:pPr>
              <w:pStyle w:val="Compact"/>
            </w:pPr>
            <w:r>
              <w:t xml:space="preserve">Registry source of truth</w:t>
            </w:r>
          </w:p>
        </w:tc>
        <w:tc>
          <w:tcPr>
            <w:tcW w:type="dxa" w:w="6766"/>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364"/>
          </w:tcPr>
          <w:p>
            <w:pPr>
              <w:pStyle w:val="Compact"/>
            </w:pPr>
            <w:r>
              <w:t xml:space="preserve">Sandbox model</w:t>
            </w:r>
          </w:p>
        </w:tc>
        <w:tc>
          <w:tcPr>
            <w:tcW w:type="dxa" w:w="6766"/>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364"/>
          </w:tcPr>
          <w:p>
            <w:pPr>
              <w:pStyle w:val="Compact"/>
            </w:pPr>
            <w:r>
              <w:t xml:space="preserve">Approvers</w:t>
            </w:r>
          </w:p>
        </w:tc>
        <w:tc>
          <w:tcPr>
            <w:tcW w:type="dxa" w:w="6766"/>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364"/>
          </w:tcPr>
          <w:p>
            <w:pPr>
              <w:pStyle w:val="Compact"/>
            </w:pPr>
            <w:r>
              <w:t xml:space="preserve">Regions</w:t>
            </w:r>
          </w:p>
        </w:tc>
        <w:tc>
          <w:tcPr>
            <w:tcW w:type="dxa" w:w="6766"/>
          </w:tcPr>
          <w:p>
            <w:pPr>
              <w:pStyle w:val="Compact"/>
            </w:pPr>
            <w:r>
              <w:t xml:space="preserve">Single region in v1, or multi-region from the start?</w:t>
            </w:r>
          </w:p>
        </w:tc>
      </w:tr>
      <w:tr>
        <w:tc>
          <w:tcPr>
            <w:tcW w:type="dxa" w:w="950"/>
          </w:tcPr>
          <w:p>
            <w:pPr>
              <w:pStyle w:val="Compact"/>
            </w:pPr>
            <w:r>
              <w:t xml:space="preserve">D11</w:t>
            </w:r>
          </w:p>
        </w:tc>
        <w:tc>
          <w:tcPr>
            <w:tcW w:type="dxa" w:w="2364"/>
          </w:tcPr>
          <w:p>
            <w:pPr>
              <w:pStyle w:val="Compact"/>
            </w:pPr>
            <w:r>
              <w:t xml:space="preserve">Onboarded today?</w:t>
            </w:r>
          </w:p>
        </w:tc>
        <w:tc>
          <w:tcPr>
            <w:tcW w:type="dxa" w:w="6766"/>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364"/>
          </w:tcPr>
          <w:p>
            <w:pPr>
              <w:pStyle w:val="Compact"/>
            </w:pPr>
            <w:r>
              <w:t xml:space="preserve">LLM</w:t>
            </w:r>
          </w:p>
        </w:tc>
        <w:tc>
          <w:tcPr>
            <w:tcW w:type="dxa" w:w="6766"/>
          </w:tcPr>
          <w:p>
            <w:pPr>
              <w:pStyle w:val="Compact"/>
            </w:pPr>
            <w:r>
              <w:t xml:space="preserve">Exclude from v1, or NL → draft payload only?</w:t>
            </w:r>
          </w:p>
        </w:tc>
      </w:tr>
      <w:tr>
        <w:tc>
          <w:tcPr>
            <w:tcW w:type="dxa" w:w="950"/>
          </w:tcPr>
          <w:p>
            <w:pPr>
              <w:pStyle w:val="Compact"/>
            </w:pPr>
            <w:r>
              <w:t xml:space="preserve">D13</w:t>
            </w:r>
          </w:p>
        </w:tc>
        <w:tc>
          <w:tcPr>
            <w:tcW w:type="dxa" w:w="2364"/>
          </w:tcPr>
          <w:p>
            <w:pPr>
              <w:pStyle w:val="Compact"/>
            </w:pPr>
            <w:r>
              <w:t xml:space="preserve">Who can configure environments and accounts</w:t>
            </w:r>
          </w:p>
        </w:tc>
        <w:tc>
          <w:tcPr>
            <w:tcW w:type="dxa" w:w="6766"/>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364"/>
          </w:tcPr>
          <w:p>
            <w:pPr>
              <w:pStyle w:val="Compact"/>
            </w:pPr>
            <w:r>
              <w:t xml:space="preserve">Binding scope</w:t>
            </w:r>
          </w:p>
        </w:tc>
        <w:tc>
          <w:tcPr>
            <w:tcW w:type="dxa" w:w="6766"/>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364"/>
          </w:tcPr>
          <w:p>
            <w:pPr>
              <w:pStyle w:val="Compact"/>
            </w:pPr>
            <w:r>
              <w:t xml:space="preserve">GitHub plan</w:t>
            </w:r>
          </w:p>
        </w:tc>
        <w:tc>
          <w:tcPr>
            <w:tcW w:type="dxa" w:w="6766"/>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364"/>
          </w:tcPr>
          <w:p>
            <w:pPr>
              <w:pStyle w:val="Compact"/>
            </w:pPr>
            <w:r>
              <w:t xml:space="preserve">Quality-gate thresholds</w:t>
            </w:r>
          </w:p>
        </w:tc>
        <w:tc>
          <w:tcPr>
            <w:tcW w:type="dxa" w:w="6766"/>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364"/>
          </w:tcPr>
          <w:p>
            <w:pPr>
              <w:pStyle w:val="Compact"/>
            </w:pPr>
            <w:r>
              <w:t xml:space="preserve">PROD approvals</w:t>
            </w:r>
          </w:p>
        </w:tc>
        <w:tc>
          <w:tcPr>
            <w:tcW w:type="dxa" w:w="6766"/>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364"/>
          </w:tcPr>
          <w:p>
            <w:pPr>
              <w:pStyle w:val="Compact"/>
            </w:pPr>
            <w:r>
              <w:t xml:space="preserve">Notifications</w:t>
            </w:r>
          </w:p>
        </w:tc>
        <w:tc>
          <w:tcPr>
            <w:tcW w:type="dxa" w:w="6766"/>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364"/>
          </w:tcPr>
          <w:p>
            <w:pPr>
              <w:pStyle w:val="Compact"/>
            </w:pPr>
            <w:r>
              <w:t xml:space="preserve">Application repo granularity</w:t>
            </w:r>
          </w:p>
        </w:tc>
        <w:tc>
          <w:tcPr>
            <w:tcW w:type="dxa" w:w="6766"/>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364"/>
          </w:tcPr>
          <w:p>
            <w:pPr>
              <w:pStyle w:val="Compact"/>
            </w:pPr>
            <w:r>
              <w:t xml:space="preserve">EKS deploy model</w:t>
            </w:r>
          </w:p>
        </w:tc>
        <w:tc>
          <w:tcPr>
            <w:tcW w:type="dxa" w:w="6766"/>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364"/>
          </w:tcPr>
          <w:p>
            <w:pPr>
              <w:pStyle w:val="Compact"/>
            </w:pPr>
            <w:r>
              <w:t xml:space="preserve">Languages in v1</w:t>
            </w:r>
          </w:p>
        </w:tc>
        <w:tc>
          <w:tcPr>
            <w:tcW w:type="dxa" w:w="6766"/>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364"/>
          </w:tcPr>
          <w:p>
            <w:pPr>
              <w:pStyle w:val="Compact"/>
            </w:pPr>
            <w:r>
              <w:t xml:space="preserve">Developer portal</w:t>
            </w:r>
          </w:p>
        </w:tc>
        <w:tc>
          <w:tcPr>
            <w:tcW w:type="dxa" w:w="6766"/>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364"/>
          </w:tcPr>
          <w:p>
            <w:pPr>
              <w:pStyle w:val="Compact"/>
            </w:pPr>
            <w:r>
              <w:t xml:space="preserve">Networking for ECS/EKS</w:t>
            </w:r>
          </w:p>
        </w:tc>
        <w:tc>
          <w:tcPr>
            <w:tcW w:type="dxa" w:w="6766"/>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364"/>
          </w:tcPr>
          <w:p>
            <w:pPr>
              <w:pStyle w:val="Compact"/>
            </w:pPr>
            <w:r>
              <w:t xml:space="preserve">Deprecation window</w:t>
            </w:r>
          </w:p>
        </w:tc>
        <w:tc>
          <w:tcPr>
            <w:tcW w:type="dxa" w:w="6766"/>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364"/>
          </w:tcPr>
          <w:p>
            <w:pPr>
              <w:pStyle w:val="Compact"/>
            </w:pPr>
            <w:r>
              <w:t xml:space="preserve">Infra approvals</w:t>
            </w:r>
          </w:p>
        </w:tc>
        <w:tc>
          <w:tcPr>
            <w:tcW w:type="dxa" w:w="6766"/>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364"/>
          </w:tcPr>
          <w:p>
            <w:pPr>
              <w:pStyle w:val="Compact"/>
            </w:pPr>
            <w:r>
              <w:t xml:space="preserve">Open-source license policy</w:t>
            </w:r>
          </w:p>
        </w:tc>
        <w:tc>
          <w:tcPr>
            <w:tcW w:type="dxa" w:w="6766"/>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364"/>
          </w:tcPr>
          <w:p>
            <w:pPr>
              <w:pStyle w:val="Compact"/>
            </w:pPr>
            <w:r>
              <w:t xml:space="preserve">Tier 1 services at launch</w:t>
            </w:r>
          </w:p>
        </w:tc>
        <w:tc>
          <w:tcPr>
            <w:tcW w:type="dxa" w:w="6766"/>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364"/>
          </w:tcPr>
          <w:p>
            <w:pPr>
              <w:pStyle w:val="Compact"/>
            </w:pPr>
            <w:r>
              <w:t xml:space="preserve">Commercial DB engines</w:t>
            </w:r>
          </w:p>
        </w:tc>
        <w:tc>
          <w:tcPr>
            <w:tcW w:type="dxa" w:w="6766"/>
          </w:tcPr>
          <w:p>
            <w:pPr>
              <w:pStyle w:val="Compact"/>
            </w:pPr>
            <w:r>
              <w:t xml:space="preserve">Exclude RDS for Oracle / SQL Server (default, per open-source policy), or allow them?</w:t>
            </w:r>
          </w:p>
        </w:tc>
      </w:tr>
      <w:tr>
        <w:tc>
          <w:tcPr>
            <w:tcW w:type="dxa" w:w="950"/>
          </w:tcPr>
          <w:p>
            <w:pPr>
              <w:pStyle w:val="Compact"/>
            </w:pPr>
            <w:r>
              <w:t xml:space="preserve">D30</w:t>
            </w:r>
          </w:p>
        </w:tc>
        <w:tc>
          <w:tcPr>
            <w:tcW w:type="dxa" w:w="2364"/>
          </w:tcPr>
          <w:p>
            <w:pPr>
              <w:pStyle w:val="Compact"/>
            </w:pPr>
            <w:r>
              <w:t xml:space="preserve">Region pairs</w:t>
            </w:r>
          </w:p>
        </w:tc>
        <w:tc>
          <w:tcPr>
            <w:tcW w:type="dxa" w:w="6766"/>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364"/>
          </w:tcPr>
          <w:p>
            <w:pPr>
              <w:pStyle w:val="Compact"/>
            </w:pPr>
            <w:r>
              <w:t xml:space="preserve">DR account model</w:t>
            </w:r>
          </w:p>
        </w:tc>
        <w:tc>
          <w:tcPr>
            <w:tcW w:type="dxa" w:w="6766"/>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364"/>
          </w:tcPr>
          <w:p>
            <w:pPr>
              <w:pStyle w:val="Compact"/>
            </w:pPr>
            <w:r>
              <w:t xml:space="preserve">DR defaults</w:t>
            </w:r>
          </w:p>
        </w:tc>
        <w:tc>
          <w:tcPr>
            <w:tcW w:type="dxa" w:w="6766"/>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364"/>
          </w:tcPr>
          <w:p>
            <w:pPr>
              <w:pStyle w:val="Compact"/>
            </w:pPr>
            <w:r>
              <w:t xml:space="preserve">Cognito and other non-replicating services</w:t>
            </w:r>
          </w:p>
        </w:tc>
        <w:tc>
          <w:tcPr>
            <w:tcW w:type="dxa" w:w="6766"/>
          </w:tcPr>
          <w:p>
            <w:pPr>
              <w:pStyle w:val="Compact"/>
            </w:pPr>
            <w:r>
              <w:t xml:space="preserve">Exclude from DR/HA projects, or allow with a documented recovery pattern?</w:t>
            </w:r>
          </w:p>
        </w:tc>
      </w:tr>
      <w:tr>
        <w:tc>
          <w:tcPr>
            <w:tcW w:type="dxa" w:w="950"/>
          </w:tcPr>
          <w:p>
            <w:pPr>
              <w:pStyle w:val="Compact"/>
            </w:pPr>
            <w:r>
              <w:t xml:space="preserve">D29</w:t>
            </w:r>
          </w:p>
        </w:tc>
        <w:tc>
          <w:tcPr>
            <w:tcW w:type="dxa" w:w="2364"/>
          </w:tcPr>
          <w:p>
            <w:pPr>
              <w:pStyle w:val="Compact"/>
            </w:pPr>
            <w:r>
              <w:t xml:space="preserve">Network ownership</w:t>
            </w:r>
          </w:p>
        </w:tc>
        <w:tc>
          <w:tcPr>
            <w:tcW w:type="dxa" w:w="6766"/>
          </w:tcPr>
          <w:p>
            <w:pPr>
              <w:pStyle w:val="Compact"/>
            </w:pPr>
            <w:r>
              <w:t xml:space="preserve">Does the landing zone provide shared VPCs with database/private subnets per environment account, or must the platform create project VPCs?</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32"/>
        <w:gridCol w:w="4375"/>
        <w:gridCol w:w="4373"/>
      </w:tblGrid>
      <w:tr>
        <w:trPr>
          <w:tblHeader w:val="on"/>
        </w:trPr>
        <w:tc>
          <w:tcPr>
            <w:tcW w:type="dxa" w:w="1332"/>
          </w:tcPr>
          <w:p>
            <w:pPr>
              <w:pStyle w:val="Compact"/>
            </w:pPr>
            <w:r>
              <w:t xml:space="preserve">Phase</w:t>
            </w:r>
          </w:p>
        </w:tc>
        <w:tc>
          <w:tcPr>
            <w:tcW w:type="dxa" w:w="4375"/>
          </w:tcPr>
          <w:p>
            <w:pPr>
              <w:pStyle w:val="Compact"/>
            </w:pPr>
            <w:r>
              <w:t xml:space="preserve">Deliverable</w:t>
            </w:r>
          </w:p>
        </w:tc>
        <w:tc>
          <w:tcPr>
            <w:tcW w:type="dxa" w:w="4373"/>
          </w:tcPr>
          <w:p>
            <w:pPr>
              <w:pStyle w:val="Compact"/>
            </w:pPr>
            <w:r>
              <w:t xml:space="preserve">Exit criteria</w:t>
            </w:r>
          </w:p>
        </w:tc>
      </w:tr>
      <w:tr>
        <w:tc>
          <w:tcPr>
            <w:tcW w:type="dxa" w:w="1332"/>
          </w:tcPr>
          <w:p>
            <w:pPr>
              <w:pStyle w:val="Compact"/>
            </w:pPr>
            <w:r>
              <w:rPr>
                <w:b/>
                <w:bCs/>
              </w:rPr>
              <w:t xml:space="preserve">P0 — Standards</w:t>
            </w:r>
          </w:p>
        </w:tc>
        <w:tc>
          <w:tcPr>
            <w:tcW w:type="dxa" w:w="4375"/>
          </w:tcPr>
          <w:p>
            <w:pPr>
              <w:pStyle w:val="Compact"/>
            </w:pPr>
            <w:r>
              <w:rPr>
                <w:rStyle w:val="VerbatimChar"/>
              </w:rPr>
              <w:t xml:space="preserve">TAGGING-STANDARD.md</w:t>
            </w:r>
            <w:r>
              <w:t xml:space="preserve">, registry schema, tag-support matrix for S3/Lambda/DynamoDB/Logs/IAM</w:t>
            </w:r>
          </w:p>
        </w:tc>
        <w:tc>
          <w:tcPr>
            <w:tcW w:type="dxa" w:w="4373"/>
          </w:tcPr>
          <w:p>
            <w:pPr>
              <w:pStyle w:val="Compact"/>
            </w:pPr>
            <w:r>
              <w:t xml:space="preserve">Signed off by security / cloud governance</w:t>
            </w:r>
          </w:p>
        </w:tc>
      </w:tr>
      <w:tr>
        <w:tc>
          <w:tcPr>
            <w:tcW w:type="dxa" w:w="1332"/>
          </w:tcPr>
          <w:p>
            <w:pPr>
              <w:pStyle w:val="Compact"/>
            </w:pPr>
            <w:r>
              <w:rPr>
                <w:b/>
                <w:bCs/>
              </w:rPr>
              <w:t xml:space="preserve">P1 — Org guardrails</w:t>
            </w:r>
          </w:p>
        </w:tc>
        <w:tc>
          <w:tcPr>
            <w:tcW w:type="dxa" w:w="4375"/>
          </w:tcPr>
          <w:p>
            <w:pPr>
              <w:pStyle w:val="Compact"/>
            </w:pPr>
            <w:r>
              <w:t xml:space="preserve">SCPs, Tag Policies, account-bootstrap StackSet with shared ABAC policies, same-tag resource policy patterns (§4.10)</w:t>
            </w:r>
          </w:p>
        </w:tc>
        <w:tc>
          <w:tcPr>
            <w:tcW w:type="dxa" w:w="437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32"/>
          </w:tcPr>
          <w:p>
            <w:pPr>
              <w:pStyle w:val="Compact"/>
            </w:pPr>
            <w:r>
              <w:rPr>
                <w:b/>
                <w:bCs/>
              </w:rPr>
              <w:t xml:space="preserve">P2 — Engine</w:t>
            </w:r>
          </w:p>
        </w:tc>
        <w:tc>
          <w:tcPr>
            <w:tcW w:type="dxa" w:w="4375"/>
          </w:tcPr>
          <w:p>
            <w:pPr>
              <w:pStyle w:val="Compact"/>
            </w:pPr>
            <w:r>
              <w:t xml:space="preserve">Payload schema, synthesis (S3, Lambda, DynamoDB, binders), linters, per-environment parameter files, golden tests</w:t>
            </w:r>
          </w:p>
        </w:tc>
        <w:tc>
          <w:tcPr>
            <w:tcW w:type="dxa" w:w="4373"/>
          </w:tcPr>
          <w:p>
            <w:pPr>
              <w:pStyle w:val="Compact"/>
            </w:pPr>
            <w:r>
              <w:t xml:space="preserve">Lambda + S3 template passes lint/guard for all 5 environments; regeneration gives identical output</w:t>
            </w:r>
          </w:p>
        </w:tc>
      </w:tr>
      <w:tr>
        <w:tc>
          <w:tcPr>
            <w:tcW w:type="dxa" w:w="1332"/>
          </w:tcPr>
          <w:p>
            <w:pPr>
              <w:pStyle w:val="Compact"/>
            </w:pPr>
            <w:r>
              <w:rPr>
                <w:b/>
                <w:bCs/>
              </w:rPr>
              <w:t xml:space="preserve">P3 — Pipeline</w:t>
            </w:r>
          </w:p>
        </w:tc>
        <w:tc>
          <w:tcPr>
            <w:tcW w:type="dxa" w:w="437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7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32"/>
          </w:tcPr>
          <w:p>
            <w:pPr>
              <w:pStyle w:val="Compact"/>
            </w:pPr>
            <w:r>
              <w:rPr>
                <w:b/>
                <w:bCs/>
              </w:rPr>
              <w:t xml:space="preserve">P4 — Provisioning</w:t>
            </w:r>
          </w:p>
        </w:tc>
        <w:tc>
          <w:tcPr>
            <w:tcW w:type="dxa" w:w="4375"/>
          </w:tcPr>
          <w:p>
            <w:pPr>
              <w:pStyle w:val="Compact"/>
            </w:pPr>
            <w:r>
              <w:t xml:space="preserve">GitHub App client, multi-account bootstrapper, saga, CLI</w:t>
            </w:r>
          </w:p>
        </w:tc>
        <w:tc>
          <w:tcPr>
            <w:tcW w:type="dxa" w:w="4373"/>
          </w:tcPr>
          <w:p>
            <w:pPr>
              <w:pStyle w:val="Compact"/>
            </w:pPr>
            <w:r>
              <w:t xml:space="preserve">One command creates a repo that bootstraps 5 accounts and deploys DEV; failures injected at each step undo cleanly</w:t>
            </w:r>
          </w:p>
        </w:tc>
      </w:tr>
      <w:tr>
        <w:tc>
          <w:tcPr>
            <w:tcW w:type="dxa" w:w="1332"/>
          </w:tcPr>
          <w:p>
            <w:pPr>
              <w:pStyle w:val="Compact"/>
            </w:pPr>
            <w:r>
              <w:rPr>
                <w:b/>
                <w:bCs/>
              </w:rPr>
              <w:t xml:space="preserve">P5 — API + UI</w:t>
            </w:r>
          </w:p>
        </w:tc>
        <w:tc>
          <w:tcPr>
            <w:tcW w:type="dxa" w:w="437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73"/>
          </w:tcPr>
          <w:p>
            <w:pPr>
              <w:pStyle w:val="Compact"/>
            </w:pPr>
            <w:r>
              <w:t xml:space="preserve">Click-to-DEV in the browser; entitlement filtering verified; an admin can add/reorder an environment and bind an account, and onboarding checks block an invalid account</w:t>
            </w:r>
          </w:p>
        </w:tc>
      </w:tr>
      <w:tr>
        <w:tc>
          <w:tcPr>
            <w:tcW w:type="dxa" w:w="1332"/>
          </w:tcPr>
          <w:p>
            <w:pPr>
              <w:pStyle w:val="Compact"/>
            </w:pPr>
            <w:r>
              <w:rPr>
                <w:b/>
                <w:bCs/>
              </w:rPr>
              <w:t xml:space="preserve">P5b — Quality gate service</w:t>
            </w:r>
          </w:p>
        </w:tc>
        <w:tc>
          <w:tcPr>
            <w:tcW w:type="dxa" w:w="4375"/>
          </w:tcPr>
          <w:p>
            <w:pPr>
              <w:pStyle w:val="Compact"/>
            </w:pPr>
            <w:r>
              <w:t xml:space="preserve">Release record, deployment protection rule app, change set risk analysis, Access Analyzer checks, G4/G5</w:t>
            </w:r>
          </w:p>
        </w:tc>
        <w:tc>
          <w:tcPr>
            <w:tcW w:type="dxa" w:w="4373"/>
          </w:tcPr>
          <w:p>
            <w:pPr>
              <w:pStyle w:val="Compact"/>
            </w:pPr>
            <w:r>
              <w:t xml:space="preserve">A high-risk change set is blocked; PROD is refused if the artifact differs from STAGE or bake time is not met</w:t>
            </w:r>
          </w:p>
        </w:tc>
      </w:tr>
      <w:tr>
        <w:tc>
          <w:tcPr>
            <w:tcW w:type="dxa" w:w="1332"/>
          </w:tcPr>
          <w:p>
            <w:pPr>
              <w:pStyle w:val="Compact"/>
            </w:pPr>
            <w:r>
              <w:rPr>
                <w:b/>
                <w:bCs/>
              </w:rPr>
              <w:t xml:space="preserve">P5c — Application golden paths</w:t>
            </w:r>
          </w:p>
        </w:tc>
        <w:tc>
          <w:tcPr>
            <w:tcW w:type="dxa" w:w="437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7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32"/>
          </w:tcPr>
          <w:p>
            <w:pPr>
              <w:pStyle w:val="Compact"/>
            </w:pPr>
            <w:r>
              <w:rPr>
                <w:b/>
                <w:bCs/>
              </w:rPr>
              <w:t xml:space="preserve">P5d — Full service catalog</w:t>
            </w:r>
          </w:p>
        </w:tc>
        <w:tc>
          <w:tcPr>
            <w:tcW w:type="dxa" w:w="437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73"/>
          </w:tcPr>
          <w:p>
            <w:pPr>
              <w:pStyle w:val="Compact"/>
            </w:pPr>
            <w:r>
              <w:t xml:space="preserve">Any enabled resource type can be composed and passes all gates; pairwise suite green; every database engine deploy-tested weekly</w:t>
            </w:r>
          </w:p>
        </w:tc>
      </w:tr>
      <w:tr>
        <w:tc>
          <w:tcPr>
            <w:tcW w:type="dxa" w:w="1332"/>
          </w:tcPr>
          <w:p>
            <w:pPr>
              <w:pStyle w:val="Compact"/>
            </w:pPr>
            <w:r>
              <w:rPr>
                <w:b/>
                <w:bCs/>
              </w:rPr>
              <w:t xml:space="preserve">P5e — Multi-region DR/HA</w:t>
            </w:r>
          </w:p>
        </w:tc>
        <w:tc>
          <w:tcPr>
            <w:tcW w:type="dxa" w:w="437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73"/>
          </w:tcPr>
          <w:p>
            <w:pPr>
              <w:pStyle w:val="Compact"/>
            </w:pPr>
            <w:r>
              <w:t xml:space="preserve">A DR project deploys to us-east-1 (active) and us-east-2 (standby); a STAGE drill fails over and back within target RTO/RPO; an HA project serves traffic from both regions</w:t>
            </w:r>
          </w:p>
        </w:tc>
      </w:tr>
      <w:tr>
        <w:tc>
          <w:tcPr>
            <w:tcW w:type="dxa" w:w="1332"/>
          </w:tcPr>
          <w:p>
            <w:pPr>
              <w:pStyle w:val="Compact"/>
            </w:pPr>
            <w:r>
              <w:rPr>
                <w:b/>
                <w:bCs/>
              </w:rPr>
              <w:t xml:space="preserve">P6 — Production control plane</w:t>
            </w:r>
          </w:p>
        </w:tc>
        <w:tc>
          <w:tcPr>
            <w:tcW w:type="dxa" w:w="4375"/>
          </w:tcPr>
          <w:p>
            <w:pPr>
              <w:pStyle w:val="Compact"/>
            </w:pPr>
            <w:r>
              <w:t xml:space="preserve">Step Functions, webhooks, reconciler, quotas, observability, Config compliance</w:t>
            </w:r>
          </w:p>
        </w:tc>
        <w:tc>
          <w:tcPr>
            <w:tcW w:type="dxa" w:w="437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2026-10-03T22:53:37Z</dcterms:created>
  <dcterms:modified xsi:type="dcterms:W3CDTF">2026-10-03T22:53:37Z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