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88" w:lineRule="auto"/>
        <w:jc w:val="center"/>
      </w:pPr>
      <w:r>
        <w:rPr>
          <w:rFonts w:ascii="MS Gothic" w:hAnsi="MS Gothic"/>
          <w:b/>
          <w:color w:val="1A5276"/>
          <w:sz w:val="48"/>
        </w:rPr>
        <w:t>リテアド (RetailMedia-ad)</w:t>
        <w:br/>
        <w:t>システム要件 ＆ セキュリティ設計仕様書</w:t>
      </w:r>
    </w:p>
    <w:p>
      <w:pPr>
        <w:spacing w:before="0" w:after="80" w:line="276" w:lineRule="auto"/>
        <w:jc w:val="center"/>
      </w:pPr>
      <w:r>
        <w:rPr>
          <w:rFonts w:ascii="MS Gothic" w:hAnsi="MS Gothic"/>
          <w:i/>
          <w:color w:val="7F8C8D"/>
          <w:sz w:val="28"/>
        </w:rPr>
        <w:br/>
        <w:t>— 開発・エンジニアリング部門向け技術共有資料 —</w:t>
      </w:r>
    </w:p>
    <w:p>
      <w:pPr>
        <w:spacing w:before="0" w:after="8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80" w:line="276" w:lineRule="auto"/>
      </w:pPr>
      <w:r>
        <w:br w:type="page"/>
      </w:r>
    </w:p>
    <w:p>
      <w:pPr>
        <w:pStyle w:val="Heading1"/>
        <w:spacing w:before="280" w:after="120" w:line="288" w:lineRule="auto"/>
      </w:pPr>
      <w:r>
        <w:rPr>
          <w:rFonts w:ascii="MS Gothic" w:hAnsi="MS Gothic"/>
          <w:b/>
          <w:color w:val="1A5276"/>
          <w:sz w:val="32"/>
        </w:rPr>
        <w:t>1. 本書の目的とシステム概要</w:t>
      </w:r>
    </w:p>
    <w:p>
      <w:pPr>
        <w:spacing w:line="276" w:lineRule="auto" w:after="8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20" w:line="288" w:lineRule="auto"/>
      </w:pPr>
      <w:r>
        <w:rPr>
          <w:rFonts w:ascii="MS Gothic" w:hAnsi="MS Gothic"/>
          <w:b/>
          <w:color w:val="1A5276"/>
          <w:sz w:val="32"/>
        </w:rPr>
        <w:t>2. 主要ポータルの要件とデータフロー</w:t>
      </w:r>
    </w:p>
    <w:p>
      <w:pPr>
        <w:spacing w:after="80" w:before="0" w:line="276" w:lineRule="auto"/>
      </w:pPr>
      <w:r>
        <w:rPr>
          <w:rFonts w:ascii="MS Gothic" w:hAnsi="MS Gothic"/>
          <w:b w:val="0"/>
          <w:sz w:val="22"/>
        </w:rPr>
        <w:t>本システムは以下のポータル群で構成され、相互にデータを引き渡します。</w:t>
      </w:r>
    </w:p>
    <w:p>
      <w:pPr>
        <w:pStyle w:val="ListBullet"/>
        <w:spacing w:after="8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8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8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8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8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8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80" w:before="0" w:line="276" w:lineRule="auto"/>
      </w:pPr>
    </w:p>
    <w:p>
      <w:pPr>
        <w:pStyle w:val="Heading1"/>
        <w:spacing w:before="280" w:after="120" w:line="288" w:lineRule="auto"/>
      </w:pPr>
      <w:r>
        <w:rPr>
          <w:rFonts w:ascii="MS Gothic" w:hAnsi="MS Gothic"/>
          <w:b/>
          <w:color w:val="1A5276"/>
          <w:sz w:val="32"/>
        </w:rPr>
        <w:t>3. 確立されたセキュリティ設計要件</w:t>
      </w:r>
    </w:p>
    <w:p>
      <w:pPr>
        <w:spacing w:after="8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ook w:firstColumn="1" w:firstRow="1" w:lastColumn="0" w:lastRow="0" w:noHBand="0" w:noVBand="1" w:val="04A0"/>
      </w:tblPr>
      <w:tblGrid>
        <w:gridCol w:w="4680"/>
        <w:gridCol w:w="4680"/>
      </w:tblGrid>
      <w:tr>
        <w:tc>
          <w:tcPr>
            <w:tcW w:type="dxa" w:w="4680"/>
            <w:shd w:fill="1A5276"/>
            <w:tcMar>
              <w:top w:w="140" w:type="dxa"/>
              <w:bottom w:w="140" w:type="dxa"/>
              <w:left w:w="150" w:type="dxa"/>
              <w:right w:w="150" w:type="dxa"/>
            </w:tcMar>
          </w:tcPr>
          <w:p>
            <w:pPr>
              <w:spacing w:before="0" w:after="40" w:line="264" w:lineRule="auto"/>
              <w:jc w:val="center"/>
            </w:pPr>
            <w:r>
              <w:rPr>
                <w:rFonts w:ascii="MS Gothic" w:hAnsi="MS Gothic"/>
                <w:b/>
                <w:color w:val="FFFFFF"/>
                <w:sz w:val="22"/>
              </w:rPr>
              <w:t>セキュリティ項目</w:t>
            </w:r>
          </w:p>
        </w:tc>
        <w:tc>
          <w:tcPr>
            <w:tcW w:type="dxa" w:w="4680"/>
            <w:shd w:fill="1A5276"/>
            <w:tcMar>
              <w:top w:w="140" w:type="dxa"/>
              <w:bottom w:w="140" w:type="dxa"/>
              <w:left w:w="150" w:type="dxa"/>
              <w:right w:w="150" w:type="dxa"/>
            </w:tcMar>
          </w:tcPr>
          <w:p>
            <w:pPr>
              <w:spacing w:before="0" w:after="40" w:line="264" w:lineRule="auto"/>
              <w:jc w:val="center"/>
            </w:pPr>
            <w:r>
              <w:rPr>
                <w:rFonts w:ascii="MS Gothic" w:hAnsi="MS Gothic"/>
                <w:b/>
                <w:color w:val="FFFFFF"/>
                <w:sz w:val="22"/>
              </w:rPr>
              <w:t>要件と具体的な実装仕様</w:t>
            </w:r>
          </w:p>
        </w:tc>
      </w:tr>
      <w:tr>
        <w:tc>
          <w:tcPr>
            <w:tcW w:type="dxa" w:w="4680"/>
            <w:tcMar>
              <w:top w:w="100" w:type="dxa"/>
              <w:bottom w:w="100" w:type="dxa"/>
              <w:left w:w="150" w:type="dxa"/>
              <w:right w:w="150" w:type="dxa"/>
            </w:tcMar>
          </w:tcPr>
          <w:p>
            <w:pPr>
              <w:spacing w:before="0" w:after="40" w:line="264" w:lineRule="auto"/>
            </w:pPr>
            <w:r>
              <w:rPr>
                <w:rFonts w:ascii="MS Gothic" w:hAnsi="MS Gothic"/>
                <w:b/>
                <w:sz w:val="20"/>
              </w:rPr>
              <w:t>IDOR (認可不備) の完全防御</w:t>
            </w:r>
          </w:p>
        </w:tc>
        <w:tc>
          <w:tcPr>
            <w:tcW w:type="dxa" w:w="4680"/>
            <w:tcMar>
              <w:top w:w="100" w:type="dxa"/>
              <w:bottom w:w="100" w:type="dxa"/>
              <w:left w:w="150" w:type="dxa"/>
              <w:right w:w="150" w:type="dxa"/>
            </w:tcMar>
          </w:tcPr>
          <w:p>
            <w:pPr>
              <w:spacing w:before="0" w:after="4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4680"/>
            <w:tcMar>
              <w:top w:w="100" w:type="dxa"/>
              <w:bottom w:w="100" w:type="dxa"/>
              <w:left w:w="150" w:type="dxa"/>
              <w:right w:w="150" w:type="dxa"/>
            </w:tcMar>
          </w:tcPr>
          <w:p>
            <w:pPr>
              <w:spacing w:before="0" w:after="40" w:line="264" w:lineRule="auto"/>
            </w:pPr>
            <w:r>
              <w:rPr>
                <w:rFonts w:ascii="MS Gothic" w:hAnsi="MS Gothic"/>
                <w:b/>
                <w:sz w:val="20"/>
              </w:rPr>
              <w:t>一元化された特権API保護</w:t>
            </w:r>
          </w:p>
        </w:tc>
        <w:tc>
          <w:tcPr>
            <w:tcW w:type="dxa" w:w="4680"/>
            <w:tcMar>
              <w:top w:w="100" w:type="dxa"/>
              <w:bottom w:w="100" w:type="dxa"/>
              <w:left w:w="150" w:type="dxa"/>
              <w:right w:w="150" w:type="dxa"/>
            </w:tcMar>
          </w:tcPr>
          <w:p>
            <w:pPr>
              <w:spacing w:before="0" w:after="4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4680"/>
            <w:tcMar>
              <w:top w:w="100" w:type="dxa"/>
              <w:bottom w:w="100" w:type="dxa"/>
              <w:left w:w="150" w:type="dxa"/>
              <w:right w:w="150" w:type="dxa"/>
            </w:tcMar>
          </w:tcPr>
          <w:p>
            <w:pPr>
              <w:spacing w:before="0" w:after="40" w:line="264" w:lineRule="auto"/>
            </w:pPr>
            <w:r>
              <w:rPr>
                <w:rFonts w:ascii="MS Gothic" w:hAnsi="MS Gothic"/>
                <w:b/>
                <w:sz w:val="20"/>
              </w:rPr>
              <w:t>二重処理の防止と排他制御 (Mutex)</w:t>
            </w:r>
          </w:p>
        </w:tc>
        <w:tc>
          <w:tcPr>
            <w:tcW w:type="dxa" w:w="4680"/>
            <w:tcMar>
              <w:top w:w="100" w:type="dxa"/>
              <w:bottom w:w="100" w:type="dxa"/>
              <w:left w:w="150" w:type="dxa"/>
              <w:right w:w="150" w:type="dxa"/>
            </w:tcMar>
          </w:tcPr>
          <w:p>
            <w:pPr>
              <w:spacing w:before="0" w:after="4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4680"/>
            <w:tcMar>
              <w:top w:w="100" w:type="dxa"/>
              <w:bottom w:w="100" w:type="dxa"/>
              <w:left w:w="150" w:type="dxa"/>
              <w:right w:w="150" w:type="dxa"/>
            </w:tcMar>
          </w:tcPr>
          <w:p>
            <w:pPr>
              <w:spacing w:before="0" w:after="40" w:line="264" w:lineRule="auto"/>
            </w:pPr>
            <w:r>
              <w:rPr>
                <w:rFonts w:ascii="MS Gothic" w:hAnsi="MS Gothic"/>
                <w:b/>
                <w:sz w:val="20"/>
              </w:rPr>
              <w:t>外部API (Gemini LLM等) の耐障害性保証</w:t>
            </w:r>
          </w:p>
        </w:tc>
        <w:tc>
          <w:tcPr>
            <w:tcW w:type="dxa" w:w="4680"/>
            <w:tcMar>
              <w:top w:w="100" w:type="dxa"/>
              <w:bottom w:w="100" w:type="dxa"/>
              <w:left w:w="150" w:type="dxa"/>
              <w:right w:w="150" w:type="dxa"/>
            </w:tcMar>
          </w:tcPr>
          <w:p>
            <w:pPr>
              <w:spacing w:before="0" w:after="4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4680"/>
            <w:tcMar>
              <w:top w:w="100" w:type="dxa"/>
              <w:bottom w:w="100" w:type="dxa"/>
              <w:left w:w="150" w:type="dxa"/>
              <w:right w:w="150" w:type="dxa"/>
            </w:tcMar>
          </w:tcPr>
          <w:p>
            <w:pPr>
              <w:spacing w:before="0" w:after="40" w:line="264" w:lineRule="auto"/>
            </w:pPr>
            <w:r>
              <w:t>AI Content Moderation (アカウント凍結)</w:t>
            </w:r>
          </w:p>
        </w:tc>
        <w:tc>
          <w:tcPr>
            <w:tcW w:type="dxa" w:w="4680"/>
            <w:tcMar>
              <w:top w:w="100" w:type="dxa"/>
              <w:bottom w:w="100" w:type="dxa"/>
              <w:left w:w="150" w:type="dxa"/>
              <w:right w:w="150" w:type="dxa"/>
            </w:tcMar>
          </w:tcPr>
          <w:p>
            <w:pPr>
              <w:spacing w:before="0" w:after="4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4680"/>
            <w:tcMar>
              <w:top w:w="100" w:type="dxa"/>
              <w:bottom w:w="100" w:type="dxa"/>
              <w:left w:w="150" w:type="dxa"/>
              <w:right w:w="150" w:type="dxa"/>
            </w:tcMar>
          </w:tcPr>
          <w:p>
            <w:pPr>
              <w:spacing w:before="0" w:after="40" w:line="264" w:lineRule="auto"/>
            </w:pPr>
            <w:r>
              <w:rPr>
                <w:rFonts w:ascii="MS Gothic" w:hAnsi="MS Gothic"/>
                <w:b/>
                <w:sz w:val="20"/>
              </w:rPr>
              <w:t>パスワードのハッシュ化と機密情報の分離</w:t>
            </w:r>
          </w:p>
        </w:tc>
        <w:tc>
          <w:tcPr>
            <w:tcW w:type="dxa" w:w="4680"/>
            <w:tcMar>
              <w:top w:w="100" w:type="dxa"/>
              <w:bottom w:w="100" w:type="dxa"/>
              <w:left w:w="150" w:type="dxa"/>
              <w:right w:w="150" w:type="dxa"/>
            </w:tcMar>
          </w:tcPr>
          <w:p>
            <w:pPr>
              <w:spacing w:before="0" w:after="4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4680"/>
            <w:tcMar>
              <w:top w:w="100" w:type="dxa"/>
              <w:bottom w:w="100" w:type="dxa"/>
              <w:left w:w="150" w:type="dxa"/>
              <w:right w:w="150" w:type="dxa"/>
            </w:tcMar>
          </w:tcPr>
          <w:p>
            <w:pPr>
              <w:spacing w:before="0" w:after="40" w:line="264" w:lineRule="auto"/>
            </w:pPr>
            <w:r>
              <w:rPr>
                <w:rFonts w:ascii="MS Gothic" w:hAnsi="MS Gothic"/>
                <w:b/>
                <w:sz w:val="20"/>
              </w:rPr>
              <w:t>SQLインジェクションの完全防御</w:t>
            </w:r>
          </w:p>
        </w:tc>
        <w:tc>
          <w:tcPr>
            <w:tcW w:type="dxa" w:w="4680"/>
            <w:tcMar>
              <w:top w:w="100" w:type="dxa"/>
              <w:bottom w:w="100" w:type="dxa"/>
              <w:left w:w="150" w:type="dxa"/>
              <w:right w:w="150" w:type="dxa"/>
            </w:tcMar>
          </w:tcPr>
          <w:p>
            <w:pPr>
              <w:spacing w:before="0" w:after="4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4680"/>
          </w:tcPr>
          <w:p>
            <w:pPr>
              <w:spacing w:before="0" w:after="40" w:line="264" w:lineRule="auto"/>
            </w:pPr>
            <w:r>
              <w:t>DBマイグレーション起動デッドロック防止＆自動タイムアウト</w:t>
            </w:r>
          </w:p>
        </w:tc>
        <w:tc>
          <w:tcPr>
            <w:tcW w:type="dxa" w:w="4680"/>
          </w:tcPr>
          <w:p>
            <w:pPr>
              <w:spacing w:before="0" w:after="4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4680"/>
          </w:tcPr>
          <w:p>
            <w:pPr>
              <w:spacing w:before="0" w:after="40" w:line="264" w:lineRule="auto"/>
            </w:pPr>
            <w:r>
              <w:t>クロスロール2FA（二段階認証）の動的同期</w:t>
            </w:r>
          </w:p>
        </w:tc>
        <w:tc>
          <w:tcPr>
            <w:tcW w:type="dxa" w:w="4680"/>
          </w:tcPr>
          <w:p>
            <w:pPr>
              <w:spacing w:before="0" w:after="4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4680"/>
          </w:tcPr>
          <w:p>
            <w:pPr>
              <w:spacing w:before="0" w:after="40" w:line="264" w:lineRule="auto"/>
            </w:pPr>
            <w:r>
              <w:t>添付ファイルの安全なデコード保存とXSSの徹底排除</w:t>
            </w:r>
          </w:p>
        </w:tc>
        <w:tc>
          <w:tcPr>
            <w:tcW w:type="dxa" w:w="4680"/>
          </w:tcPr>
          <w:p>
            <w:pPr>
              <w:spacing w:before="0" w:after="4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4680"/>
          </w:tcPr>
          <w:p>
            <w:pPr>
              <w:spacing w:before="0" w:after="40" w:line="264" w:lineRule="auto"/>
            </w:pPr>
            <w:r>
              <w:t>CORSおよびミドルウェアの適用漏れ自動防御</w:t>
            </w:r>
          </w:p>
        </w:tc>
        <w:tc>
          <w:tcPr>
            <w:tcW w:type="dxa" w:w="4680"/>
          </w:tcPr>
          <w:p>
            <w:pPr>
              <w:spacing w:before="0" w:after="4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80" w:before="0" w:line="276" w:lineRule="auto"/>
      </w:pPr>
    </w:p>
    <w:p>
      <w:pPr>
        <w:pStyle w:val="Heading1"/>
        <w:spacing w:before="280" w:after="120" w:line="288" w:lineRule="auto"/>
      </w:pPr>
      <w:r>
        <w:rPr>
          <w:rFonts w:ascii="MS Gothic" w:hAnsi="MS Gothic"/>
          <w:b/>
          <w:color w:val="1A5276"/>
          <w:sz w:val="32"/>
        </w:rPr>
        <w:t>4. データ永続化とインフラ移行ガイドライン</w:t>
      </w:r>
    </w:p>
    <w:p>
      <w:pPr>
        <w:spacing w:line="276" w:lineRule="auto" w:after="8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20" w:before="280" w:line="288" w:lineRule="auto"/>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12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2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80" w:before="0" w:line="276" w:lineRule="auto"/>
      </w:pPr>
    </w:p>
    <w:p>
      <w:pPr>
        <w:pStyle w:val="Heading1"/>
        <w:spacing w:before="280" w:after="120" w:line="288" w:lineRule="auto"/>
      </w:pPr>
      <w:r>
        <w:rPr>
          <w:rFonts w:ascii="MS Gothic" w:hAnsi="MS Gothic"/>
          <w:b/>
          <w:color w:val="1A5276"/>
          <w:sz w:val="32"/>
        </w:rPr>
        <w:t>5. デプロイおよびファイル破損防止ルール</w:t>
      </w:r>
    </w:p>
    <w:p>
      <w:pPr>
        <w:spacing w:line="276" w:lineRule="auto" w:after="8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80" w:before="0" w:line="276" w:lineRule="auto"/>
      </w:pPr>
      <w:r>
        <w:rPr>
          <w:rFonts w:ascii="MS Gothic" w:hAnsi="MS Gothic"/>
          <w:b w:val="0"/>
          <w:sz w:val="22"/>
        </w:rPr>
        <w:t>スクリプトおよびHTMLタグの「数」と「末尾」の整合性検証（閉じタグ欠落の防止）。</w:t>
      </w:r>
    </w:p>
    <w:p>
      <w:pPr>
        <w:pStyle w:val="ListBullet"/>
        <w:spacing w:after="80" w:before="0" w:line="276" w:lineRule="auto"/>
      </w:pPr>
      <w:r>
        <w:rPr>
          <w:rFonts w:ascii="MS Gothic" w:hAnsi="MS Gothic"/>
          <w:b w:val="0"/>
          <w:sz w:val="22"/>
        </w:rPr>
        <w:t>デプロイ前の「node --check」や「Syntax Checker」等を用いた構文チェックの100%パス確認。</w:t>
      </w:r>
    </w:p>
    <w:p>
      <w:pPr>
        <w:pStyle w:val="ListBullet"/>
        <w:spacing w:after="8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80" w:line="276" w:lineRule="auto"/>
      </w:pPr>
    </w:p>
    <w:p>
      <w:pPr>
        <w:pStyle w:val="Heading1"/>
        <w:spacing w:before="280" w:after="120" w:line="288" w:lineRule="auto"/>
      </w:pPr>
      <w:r>
        <w:t>6. 他システムとの差別化要素（セキュアUX ＆ 高レジリエンス設計）</w:t>
      </w:r>
    </w:p>
    <w:p>
      <w:pPr>
        <w:spacing w:before="0" w:after="8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2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2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2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20" w:line="288" w:lineRule="auto"/>
      </w:pPr>
      <w:r>
        <w:br/>
        <w:t>■ 店舗住所情報に基づく配信対象エリアの自動判別と広告マッチング仕様</w:t>
      </w:r>
    </w:p>
    <w:p>
      <w:pPr>
        <w:spacing w:before="0" w:after="8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20" w:line="288" w:lineRule="auto"/>
      </w:pPr>
      <w:r>
        <w:br/>
        <w:t>■ ストア・リテーラー共通ポータルの導線適正化と強制ログイン仕様</w:t>
      </w:r>
    </w:p>
    <w:p>
      <w:pPr>
        <w:spacing w:before="0" w:after="8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