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S Gothic" w:hAnsi="MS Gothic"/>
          <w:b/>
          <w:color w:val="1A5276"/>
          <w:sz w:val="48"/>
        </w:rPr>
        <w:t>リテアド (RetailMedia-ad)</w:t>
        <w:br/>
        <w:t>システム要件 ＆ セキュリティ設計仕様書</w:t>
      </w:r>
    </w:p>
    <w:p>
      <w:pPr>
        <w:jc w:val="center"/>
      </w:pPr>
      <w:r>
        <w:rPr>
          <w:rFonts w:ascii="MS Gothic" w:hAnsi="MS Gothic"/>
          <w:i/>
          <w:color w:val="7F8C8D"/>
          <w:sz w:val="28"/>
        </w:rPr>
        <w:br/>
        <w:t>— 開発・エンジニアリング部門向け技術共有資料 —</w:t>
      </w:r>
    </w:p>
    <w:p>
      <w:pPr>
        <w:spacing w:before="3000"/>
        <w:jc w:val="right"/>
      </w:pPr>
      <w:r>
        <w:rPr>
          <w:rFonts w:ascii="MS Gothic" w:hAnsi="MS Gothic"/>
          <w:sz w:val="21"/>
        </w:rPr>
        <w:t>作成日: 2026年6月19日</w:t>
        <w:br/>
        <w:t>バージョン: 1.0.0 (改訂版)</w:t>
        <w:br/>
        <w:t>作成元: AI セキュリティアーキテクト</w:t>
        <w:br/>
        <w:t>対象読者: フルスタック開発者、インフラ・SREチーム</w:t>
      </w:r>
    </w:p>
    <w:p>
      <w:r>
        <w:br w:type="page"/>
      </w:r>
    </w:p>
    <w:p>
      <w:pPr>
        <w:pStyle w:val="Heading1"/>
        <w:spacing w:before="240" w:after="120"/>
      </w:pPr>
      <w:r>
        <w:rPr>
          <w:rFonts w:ascii="MS Gothic" w:hAnsi="MS Gothic"/>
          <w:b/>
          <w:color w:val="1A5276"/>
          <w:sz w:val="32"/>
        </w:rPr>
        <w:t>1. 本書の目的とシステム概要</w:t>
      </w:r>
    </w:p>
    <w:p>
      <w:pPr>
        <w:spacing w:line="300" w:lineRule="auto" w:after="240"/>
      </w:pPr>
      <w:r>
        <w:rPr>
          <w:rFonts w:ascii="MS Gothic" w:hAnsi="MS Gothic"/>
          <w:b w:val="0"/>
          <w:sz w:val="22"/>
        </w:rPr>
        <w:t>本書は、リテアド（RetailMedia-ad）システムの全体要件および、これまでの徹底的なループエンジニアリングによって確立された堅牢な「セキュアシステム要件」をまとめた技術仕様書です。</w:t>
        <w:br/>
        <w:t>本システムは、実店舗のPOSレジ・店舗用デジタルサイネージと、複数のステークホルダー（広告主・店舗オーナー・クリエイター・代理店）をつなぐ複雑な分散Webサービスです。システム全体での安全な状態管理、情報の秘匿、外部障害への耐久性を担保するためのエンジニアリング基準を定義します。</w:t>
      </w:r>
    </w:p>
    <w:p>
      <w:pPr>
        <w:pStyle w:val="Heading1"/>
        <w:spacing w:before="240" w:after="120"/>
      </w:pPr>
      <w:r>
        <w:rPr>
          <w:rFonts w:ascii="MS Gothic" w:hAnsi="MS Gothic"/>
          <w:b/>
          <w:color w:val="1A5276"/>
          <w:sz w:val="32"/>
        </w:rPr>
        <w:t>2. 主要ポータルの要件とデータフロー</w:t>
      </w:r>
    </w:p>
    <w:p>
      <w:pPr>
        <w:spacing w:after="120"/>
      </w:pPr>
      <w:r>
        <w:rPr>
          <w:rFonts w:ascii="MS Gothic" w:hAnsi="MS Gothic"/>
          <w:b w:val="0"/>
          <w:sz w:val="22"/>
        </w:rPr>
        <w:t>本システムは以下のポータル群で構成され、相互にデータを引き渡します。</w:t>
      </w:r>
    </w:p>
    <w:p>
      <w:pPr>
        <w:pStyle w:val="ListBullet"/>
        <w:spacing w:after="80"/>
      </w:pPr>
      <w:r>
        <w:rPr>
          <w:rFonts w:ascii="MS Gothic" w:hAnsi="MS Gothic"/>
          <w:b/>
          <w:sz w:val="22"/>
        </w:rPr>
        <w:t xml:space="preserve">【広告主ダッシュボード (ad_dashboard)】: </w:t>
      </w:r>
      <w:r>
        <w:rPr>
          <w:rFonts w:ascii="MS Gothic" w:hAnsi="MS Gothic"/>
          <w:b w:val="0"/>
          <w:sz w:val="22"/>
        </w:rPr>
        <w:t>キャンペーン作成（予算・プラン指定）、広告素材のアップロード、インプレッションおよび予算消化進捗のレポート参照。</w:t>
      </w:r>
    </w:p>
    <w:p>
      <w:pPr>
        <w:pStyle w:val="ListBullet"/>
        <w:spacing w:after="80"/>
      </w:pPr>
      <w:r>
        <w:rPr>
          <w:rFonts w:ascii="MS Gothic" w:hAnsi="MS Gothic"/>
          <w:b/>
          <w:sz w:val="22"/>
        </w:rPr>
        <w:t xml:space="preserve">【店舗オーナーポータル (store_portal)】: </w:t>
      </w:r>
      <w:r>
        <w:rPr>
          <w:rFonts w:ascii="MS Gothic" w:hAnsi="MS Gothic"/>
          <w:b w:val="0"/>
          <w:sz w:val="22"/>
        </w:rPr>
        <w:t>店舗情報の編集、デジタルサイネージ端末の連携状態・稼働監視、及び決済売上履歴・緊急割り込み配信の制御。</w:t>
      </w:r>
    </w:p>
    <w:p>
      <w:pPr>
        <w:pStyle w:val="ListBullet"/>
        <w:spacing w:after="80"/>
      </w:pPr>
      <w:r>
        <w:rPr>
          <w:rFonts w:ascii="MS Gothic" w:hAnsi="MS Gothic"/>
          <w:b/>
          <w:sz w:val="22"/>
        </w:rPr>
        <w:t xml:space="preserve">【クリエイターポータル (creator_portal)】: </w:t>
      </w:r>
      <w:r>
        <w:rPr>
          <w:rFonts w:ascii="MS Gothic" w:hAnsi="MS Gothic"/>
          <w:b w:val="0"/>
          <w:sz w:val="22"/>
        </w:rPr>
        <w:t>動画コンテンツの登録・審査申請、再生統計情報（収益金）の参照、本人確認（KYC）及び振込先口座情報の登録。</w:t>
      </w:r>
    </w:p>
    <w:p>
      <w:pPr>
        <w:pStyle w:val="ListBullet"/>
        <w:spacing w:after="80"/>
      </w:pPr>
      <w:r>
        <w:rPr>
          <w:rFonts w:ascii="MS Gothic" w:hAnsi="MS Gothic"/>
          <w:b/>
          <w:sz w:val="22"/>
        </w:rPr>
        <w:t xml:space="preserve">【代理店ポータル (agency_portal)】: </w:t>
      </w:r>
      <w:r>
        <w:rPr>
          <w:rFonts w:ascii="MS Gothic" w:hAnsi="MS Gothic"/>
          <w:b w:val="0"/>
          <w:sz w:val="22"/>
        </w:rPr>
        <w:t>新規広告主の紹介案件申請（予算額指定）および申請状況一覧の参照。</w:t>
      </w:r>
    </w:p>
    <w:p>
      <w:pPr>
        <w:pStyle w:val="ListBullet"/>
        <w:spacing w:after="80"/>
      </w:pPr>
      <w:r>
        <w:rPr>
          <w:rFonts w:ascii="MS Gothic" w:hAnsi="MS Gothic"/>
          <w:b/>
          <w:sz w:val="22"/>
        </w:rPr>
        <w:t xml:space="preserve">【POSレジ・どこでも小売 (anywhere_regi / anywhere_retail)】: </w:t>
      </w:r>
      <w:r>
        <w:rPr>
          <w:rFonts w:ascii="MS Gothic" w:hAnsi="MS Gothic"/>
          <w:b w:val="0"/>
          <w:sz w:val="22"/>
        </w:rPr>
        <w:t>実店舗のレジ取引登録（store_idバインド）および取引明細の確認、売上データの同期。</w:t>
      </w:r>
    </w:p>
    <w:p>
      <w:pPr>
        <w:pStyle w:val="ListBullet"/>
        <w:spacing w:after="80"/>
      </w:pPr>
      <w:r>
        <w:rPr>
          <w:rFonts w:ascii="MS Gothic" w:hAnsi="MS Gothic"/>
          <w:b/>
          <w:sz w:val="22"/>
        </w:rPr>
        <w:t xml:space="preserve">【管理者ポータル (admin)】: </w:t>
      </w:r>
      <w:r>
        <w:rPr>
          <w:rFonts w:ascii="MS Gothic" w:hAnsi="MS Gothic"/>
          <w:b w:val="0"/>
          <w:sz w:val="22"/>
        </w:rPr>
        <w:t>ユーザー一覧の管理・削除、紹介案件の承認審査、ロック解除申請の審査、 Square 決済・GMO振込等の連携状況の監視。</w:t>
      </w:r>
    </w:p>
    <w:p>
      <w:pPr>
        <w:spacing w:after="120"/>
      </w:pPr>
    </w:p>
    <w:p>
      <w:pPr>
        <w:pStyle w:val="Heading1"/>
        <w:spacing w:before="240" w:after="120"/>
      </w:pPr>
      <w:r>
        <w:rPr>
          <w:rFonts w:ascii="MS Gothic" w:hAnsi="MS Gothic"/>
          <w:b/>
          <w:color w:val="1A5276"/>
          <w:sz w:val="32"/>
        </w:rPr>
        <w:t>3. 確立されたセキュリティ設計要件</w:t>
      </w:r>
    </w:p>
    <w:p>
      <w:pPr>
        <w:spacing w:after="120"/>
      </w:pPr>
      <w:r>
        <w:rPr>
          <w:rFonts w:ascii="MS Gothic" w:hAnsi="MS Gothic"/>
          <w:b w:val="0"/>
          <w:sz w:val="22"/>
        </w:rPr>
        <w:t>エンジニアリング部門がシステム変更時に遵守すべき、確立済みのセキュア実装ルールです。</w:t>
      </w:r>
    </w:p>
    <w:tbl>
      <w:tblPr>
        <w:tblStyle w:val="LightShading-Accent1"/>
        <w:tblW w:type="auto" w:w="0"/>
        <w:tblLook w:firstColumn="1" w:firstRow="1" w:lastColumn="0" w:lastRow="0" w:noHBand="0" w:noVBand="1" w:val="04A0"/>
      </w:tblPr>
      <w:tblGrid>
        <w:gridCol w:w="4680"/>
        <w:gridCol w:w="4680"/>
      </w:tblGrid>
      <w:tr>
        <w:tc>
          <w:tcPr>
            <w:tcW w:type="dxa" w:w="4680"/>
            <w:shd w:fill="1A5276"/>
            <w:tcMar>
              <w:top w:w="140" w:type="dxa"/>
              <w:bottom w:w="140" w:type="dxa"/>
              <w:left w:w="150" w:type="dxa"/>
              <w:right w:w="150" w:type="dxa"/>
            </w:tcMar>
          </w:tcPr>
          <w:p>
            <w:pPr>
              <w:jc w:val="center"/>
            </w:pPr>
            <w:r>
              <w:rPr>
                <w:rFonts w:ascii="MS Gothic" w:hAnsi="MS Gothic"/>
                <w:b/>
                <w:color w:val="FFFFFF"/>
                <w:sz w:val="22"/>
              </w:rPr>
              <w:t>セキュリティ項目</w:t>
            </w:r>
          </w:p>
        </w:tc>
        <w:tc>
          <w:tcPr>
            <w:tcW w:type="dxa" w:w="4680"/>
            <w:shd w:fill="1A5276"/>
            <w:tcMar>
              <w:top w:w="140" w:type="dxa"/>
              <w:bottom w:w="140" w:type="dxa"/>
              <w:left w:w="150" w:type="dxa"/>
              <w:right w:w="150" w:type="dxa"/>
            </w:tcMar>
          </w:tcPr>
          <w:p>
            <w:pPr>
              <w:jc w:val="center"/>
            </w:pPr>
            <w:r>
              <w:rPr>
                <w:rFonts w:ascii="MS Gothic" w:hAnsi="MS Gothic"/>
                <w:b/>
                <w:color w:val="FFFFFF"/>
                <w:sz w:val="22"/>
              </w:rPr>
              <w:t>要件と具体的な実装仕様</w:t>
            </w:r>
          </w:p>
        </w:tc>
      </w:tr>
      <w:tr>
        <w:tc>
          <w:tcPr>
            <w:tcW w:type="dxa" w:w="4680"/>
            <w:tcMar>
              <w:top w:w="100" w:type="dxa"/>
              <w:bottom w:w="100" w:type="dxa"/>
              <w:left w:w="150" w:type="dxa"/>
              <w:right w:w="150" w:type="dxa"/>
            </w:tcMar>
          </w:tcPr>
          <w:p>
            <w:r>
              <w:rPr>
                <w:rFonts w:ascii="MS Gothic" w:hAnsi="MS Gothic"/>
                <w:b/>
                <w:sz w:val="20"/>
              </w:rPr>
              <w:t>IDOR (認可不備) の完全防御</w:t>
            </w:r>
          </w:p>
        </w:tc>
        <w:tc>
          <w:tcPr>
            <w:tcW w:type="dxa" w:w="4680"/>
            <w:tcMar>
              <w:top w:w="100" w:type="dxa"/>
              <w:bottom w:w="100" w:type="dxa"/>
              <w:left w:w="150" w:type="dxa"/>
              <w:right w:w="150" w:type="dxa"/>
            </w:tcMar>
          </w:tcPr>
          <w:p>
            <w:r>
              <w:rPr>
                <w:rFonts w:ascii="MS Gothic" w:hAnsi="MS Gothic"/>
                <w:b w:val="0"/>
                <w:sz w:val="20"/>
              </w:rPr>
              <w:t>クライアント側から渡されるパラメータ（email、store_id、advertiser等）を信用せず、必ずJWTセッションからデコードされたログインユーザー情報（req.user.email, req.user.org）をサーバー側で強制バインドします。他人のデータへのアクセスやなりすまし変更をシャットアウトします。</w:t>
            </w:r>
          </w:p>
        </w:tc>
      </w:tr>
      <w:tr>
        <w:tc>
          <w:tcPr>
            <w:tcW w:type="dxa" w:w="4680"/>
            <w:tcMar>
              <w:top w:w="100" w:type="dxa"/>
              <w:bottom w:w="100" w:type="dxa"/>
              <w:left w:w="150" w:type="dxa"/>
              <w:right w:w="150" w:type="dxa"/>
            </w:tcMar>
          </w:tcPr>
          <w:p>
            <w:r>
              <w:rPr>
                <w:rFonts w:ascii="MS Gothic" w:hAnsi="MS Gothic"/>
                <w:b/>
                <w:sz w:val="20"/>
              </w:rPr>
              <w:t>一元化された特権API保護</w:t>
            </w:r>
          </w:p>
        </w:tc>
        <w:tc>
          <w:tcPr>
            <w:tcW w:type="dxa" w:w="4680"/>
            <w:tcMar>
              <w:top w:w="100" w:type="dxa"/>
              <w:bottom w:w="100" w:type="dxa"/>
              <w:left w:w="150" w:type="dxa"/>
              <w:right w:w="150" w:type="dxa"/>
            </w:tcMar>
          </w:tcPr>
          <w:p>
            <w:r>
              <w:rPr>
                <w:rFonts w:ascii="MS Gothic" w:hAnsi="MS Gothic"/>
                <w:b w:val="0"/>
                <w:sz w:val="20"/>
              </w:rPr>
              <w:t>「/api/admin/」で始まるすべての管理者向けエンドポイントは、グローバルミドルウェアで一元的にセッション検証をかけ、req.user.role === 'admin' であることを強制チェックします。一般ユーザーや第三者が特権APIをバイパスすることは不可能です。</w:t>
            </w:r>
          </w:p>
        </w:tc>
      </w:tr>
      <w:tr>
        <w:tc>
          <w:tcPr>
            <w:tcW w:type="dxa" w:w="4680"/>
            <w:tcMar>
              <w:top w:w="100" w:type="dxa"/>
              <w:bottom w:w="100" w:type="dxa"/>
              <w:left w:w="150" w:type="dxa"/>
              <w:right w:w="150" w:type="dxa"/>
            </w:tcMar>
          </w:tcPr>
          <w:p>
            <w:r>
              <w:rPr>
                <w:rFonts w:ascii="MS Gothic" w:hAnsi="MS Gothic"/>
                <w:b/>
                <w:sz w:val="20"/>
              </w:rPr>
              <w:t>二重処理の防止と排他制御 (Mutex)</w:t>
            </w:r>
          </w:p>
        </w:tc>
        <w:tc>
          <w:tcPr>
            <w:tcW w:type="dxa" w:w="4680"/>
            <w:tcMar>
              <w:top w:w="100" w:type="dxa"/>
              <w:bottom w:w="100" w:type="dxa"/>
              <w:left w:w="150" w:type="dxa"/>
              <w:right w:w="150" w:type="dxa"/>
            </w:tcMar>
          </w:tcPr>
          <w:p>
            <w:r>
              <w:rPr>
                <w:rFonts w:ascii="MS Gothic" w:hAnsi="MS Gothic"/>
                <w:b w:val="0"/>
                <w:sz w:val="20"/>
              </w:rPr>
              <w:t>出金リクエスト、銀行口座の登録、サイネージ緊急配信など、重複処理が起こると財務・物理システムに致命的な損害を及ぼすエンドポイントは、メモリ上のSet（processingTasks等）を活用した排他制御ロックを装備し、競合状態を防止します。</w:t>
            </w:r>
          </w:p>
        </w:tc>
      </w:tr>
      <w:tr>
        <w:tc>
          <w:tcPr>
            <w:tcW w:type="dxa" w:w="4680"/>
            <w:tcMar>
              <w:top w:w="100" w:type="dxa"/>
              <w:bottom w:w="100" w:type="dxa"/>
              <w:left w:w="150" w:type="dxa"/>
              <w:right w:w="150" w:type="dxa"/>
            </w:tcMar>
          </w:tcPr>
          <w:p>
            <w:r>
              <w:rPr>
                <w:rFonts w:ascii="MS Gothic" w:hAnsi="MS Gothic"/>
                <w:b/>
                <w:sz w:val="20"/>
              </w:rPr>
              <w:t>外部API (Gemini LLM等) の耐障害性保証</w:t>
            </w:r>
          </w:p>
        </w:tc>
        <w:tc>
          <w:tcPr>
            <w:tcW w:type="dxa" w:w="4680"/>
            <w:tcMar>
              <w:top w:w="100" w:type="dxa"/>
              <w:bottom w:w="100" w:type="dxa"/>
              <w:left w:w="150" w:type="dxa"/>
              <w:right w:w="150" w:type="dxa"/>
            </w:tcMar>
          </w:tcPr>
          <w:p>
            <w:r>
              <w:rPr>
                <w:rFonts w:ascii="MS Gothic" w:hAnsi="MS Gothic"/>
                <w:b w:val="0"/>
                <w:sz w:val="20"/>
              </w:rPr>
              <w:t>APIキーの未設定やGoogle APIとの接続障害時であっても、500エラーでシステムを落とさず、適切な警告ログを記録したうえでダミーのデモデータ（最小限のMP3ヘッダを含むBase64音声データやデモ用審査結果）を返却し、サービス全体の無停止稼働を担保します。</w:t>
            </w:r>
          </w:p>
        </w:tc>
      </w:tr>
      <w:tr>
        <w:tc>
          <w:tcPr>
            <w:tcW w:type="dxa" w:w="4680"/>
            <w:tcMar>
              <w:top w:w="100" w:type="dxa"/>
              <w:bottom w:w="100" w:type="dxa"/>
              <w:left w:w="150" w:type="dxa"/>
              <w:right w:w="150" w:type="dxa"/>
            </w:tcMar>
          </w:tcPr>
          <w:p>
            <w:r>
              <w:rPr>
                <w:rFonts w:ascii="MS Gothic" w:hAnsi="MS Gothic"/>
                <w:b/>
                <w:sz w:val="20"/>
              </w:rPr>
              <w:t>AI Content Moderation (即時アカウント凍結)</w:t>
            </w:r>
          </w:p>
        </w:tc>
        <w:tc>
          <w:tcPr>
            <w:tcW w:type="dxa" w:w="4680"/>
            <w:tcMar>
              <w:top w:w="100" w:type="dxa"/>
              <w:bottom w:w="100" w:type="dxa"/>
              <w:left w:w="150" w:type="dxa"/>
              <w:right w:w="150" w:type="dxa"/>
            </w:tcMar>
          </w:tcPr>
          <w:p>
            <w:r>
              <w:t>AI音声スタジオでの禁止ワード（詐欺・闇バイト・還付金詐欺等）入力時、またはAI広告自動審査での規約違反検知時、段階的な警告や猶予を与えず、一発アウトで即時にアカウントストライクを3（最大値）に設定して即座にアカウントロック（BAN）をかけ、永続的に保存します。</w:t>
            </w:r>
          </w:p>
        </w:tc>
      </w:tr>
      <w:tr>
        <w:tc>
          <w:tcPr>
            <w:tcW w:type="dxa" w:w="4680"/>
            <w:tcMar>
              <w:top w:w="100" w:type="dxa"/>
              <w:bottom w:w="100" w:type="dxa"/>
              <w:left w:w="150" w:type="dxa"/>
              <w:right w:w="150" w:type="dxa"/>
            </w:tcMar>
          </w:tcPr>
          <w:p>
            <w:r>
              <w:rPr>
                <w:rFonts w:ascii="MS Gothic" w:hAnsi="MS Gothic"/>
                <w:b/>
                <w:sz w:val="20"/>
              </w:rPr>
              <w:t>パスワードのハッシュ化と機密情報の分離</w:t>
            </w:r>
          </w:p>
        </w:tc>
        <w:tc>
          <w:tcPr>
            <w:tcW w:type="dxa" w:w="4680"/>
            <w:tcMar>
              <w:top w:w="100" w:type="dxa"/>
              <w:bottom w:w="100" w:type="dxa"/>
              <w:left w:w="150" w:type="dxa"/>
              <w:right w:w="150" w:type="dxa"/>
            </w:tcMar>
          </w:tcPr>
          <w:p>
            <w:r>
              <w:rPr>
                <w:rFonts w:ascii="MS Gothic" w:hAnsi="MS Gothic"/>
                <w:b w:val="0"/>
                <w:sz w:val="20"/>
              </w:rPr>
              <w:t>新規ユーザー登録時やパスワードリセット時、パスワードは平文で保存せず、必ず crypto.scryptSync 等を用いて強固にハッシュ化します。APIキーや認証情報は環境変数からのみ読み込み、ソースコード内に絶対ハードコードしません。</w:t>
            </w:r>
          </w:p>
        </w:tc>
      </w:tr>
      <w:tr>
        <w:tc>
          <w:tcPr>
            <w:tcW w:type="dxa" w:w="4680"/>
            <w:tcMar>
              <w:top w:w="100" w:type="dxa"/>
              <w:bottom w:w="100" w:type="dxa"/>
              <w:left w:w="150" w:type="dxa"/>
              <w:right w:w="150" w:type="dxa"/>
            </w:tcMar>
          </w:tcPr>
          <w:p>
            <w:r>
              <w:rPr>
                <w:rFonts w:ascii="MS Gothic" w:hAnsi="MS Gothic"/>
                <w:b/>
                <w:sz w:val="20"/>
              </w:rPr>
              <w:t>SQLインジェクションの完全防御</w:t>
            </w:r>
          </w:p>
        </w:tc>
        <w:tc>
          <w:tcPr>
            <w:tcW w:type="dxa" w:w="4680"/>
            <w:tcMar>
              <w:top w:w="100" w:type="dxa"/>
              <w:bottom w:w="100" w:type="dxa"/>
              <w:left w:w="150" w:type="dxa"/>
              <w:right w:w="150" w:type="dxa"/>
            </w:tcMar>
          </w:tcPr>
          <w:p>
            <w:r>
              <w:rPr>
                <w:rFonts w:ascii="MS Gothic" w:hAnsi="MS Gothic"/>
                <w:b w:val="0"/>
                <w:sz w:val="20"/>
              </w:rPr>
              <w:t>SQLiteやRDS（PostgreSQL）へのクエリ時、パラメータ埋め込み型の文字列結合は一切禁止とし、プレースホルダー（「?」や「$1, $2」）を用いた確実なパラメータバインドを適用します。</w:t>
            </w:r>
          </w:p>
        </w:tc>
      </w:tr>
      <w:tr>
        <w:tc>
          <w:tcPr>
            <w:tcW w:type="dxa" w:w="4680"/>
          </w:tcPr>
          <w:p>
            <w:r>
              <w:t>DBマイグレーション起動デッドロック防止＆自動タイムアウト</w:t>
            </w:r>
          </w:p>
        </w:tc>
        <w:tc>
          <w:tcPr>
            <w:tcW w:type="dxa" w:w="4680"/>
          </w:tcPr>
          <w:p>
            <w:r>
              <w:t>新旧コンテナ起動時のテーブルロック競合（ALTER TABLE等による排他ロック待ち）を排除するため、単一の接続クライアント内で SET lock_timeout = 5000 を強制適用し、万が一のタイムアウト時もエラーをキャッチして起動を継続する、極めて耐障害性の高いマイグレーション設計を導入。</w:t>
            </w:r>
          </w:p>
        </w:tc>
      </w:tr>
      <w:tr>
        <w:tc>
          <w:tcPr>
            <w:tcW w:type="dxa" w:w="4680"/>
          </w:tcPr>
          <w:p>
            <w:r>
              <w:t>クロスロール2FA（二段階認証）の動的同期</w:t>
            </w:r>
          </w:p>
        </w:tc>
        <w:tc>
          <w:tcPr>
            <w:tcW w:type="dxa" w:w="4680"/>
          </w:tcPr>
          <w:p>
            <w:r>
              <w:t>同一メールアドレスで「店舗」や「広告主」など複数のロールを持つユーザーが、一方のロールで2FAを有効化した場合、もう一方のロールログイン時にも2FAシークレットをデータベース上で自動同期・強制適用。ユーザーの利便性を損なわずにシステム全体の安全性を担保。</w:t>
            </w:r>
          </w:p>
        </w:tc>
      </w:tr>
      <w:tr>
        <w:tc>
          <w:tcPr>
            <w:tcW w:type="dxa" w:w="4680"/>
          </w:tcPr>
          <w:p>
            <w:r>
              <w:t>添付ファイルの安全なデコード保存とXSSの徹底排除</w:t>
            </w:r>
          </w:p>
        </w:tc>
        <w:tc>
          <w:tcPr>
            <w:tcW w:type="dxa" w:w="4680"/>
          </w:tcPr>
          <w:p>
            <w:r>
              <w:t>お問い合わせフォーム等から送信された添付画像（Base64）データをサーバー側で安全にバイナリデコードしてディスク（uploads/contacts/）に隔離保存。管理者画面での受信一覧の表示時には、エスケープ処理（escapeHtml）を適用した上で安全なレンダリングを行い、XSS（クロスサイトスクリプティング）を完全に無害化。</w:t>
            </w:r>
          </w:p>
        </w:tc>
      </w:tr>
      <w:tr>
        <w:tc>
          <w:tcPr>
            <w:tcW w:type="dxa" w:w="4680"/>
          </w:tcPr>
          <w:p>
            <w:r>
              <w:t>CORSおよびミドルウェアの適用漏れ自動防御</w:t>
            </w:r>
          </w:p>
        </w:tc>
        <w:tc>
          <w:tcPr>
            <w:tcW w:type="dxa" w:w="4680"/>
          </w:tcPr>
          <w:p>
            <w:r>
              <w:t>CORSブロックによる通信切断を防ぐため、すべてのルートハンドラよりも上部で Express CORS ミドルウェアを一律に適用し、Credentialsが不要なセッションではOrigin「*」を許容しつつ、トークンによる認証を並行して機能させることで、ブラウザ側のCORS拒否を完全に回避。</w:t>
            </w:r>
          </w:p>
        </w:tc>
      </w:tr>
    </w:tbl>
    <w:p>
      <w:pPr>
        <w:spacing w:after="240"/>
      </w:pPr>
    </w:p>
    <w:p>
      <w:pPr>
        <w:pStyle w:val="Heading1"/>
        <w:spacing w:before="240" w:after="120"/>
      </w:pPr>
      <w:r>
        <w:rPr>
          <w:rFonts w:ascii="MS Gothic" w:hAnsi="MS Gothic"/>
          <w:b/>
          <w:color w:val="1A5276"/>
          <w:sz w:val="32"/>
        </w:rPr>
        <w:t>4. データ永続化とインフラ移行ガイドライン</w:t>
      </w:r>
    </w:p>
    <w:p>
      <w:pPr>
        <w:spacing w:line="300" w:lineRule="auto" w:after="200"/>
      </w:pPr>
      <w:r>
        <w:rPr>
          <w:rFonts w:ascii="MS Gothic" w:hAnsi="MS Gothic"/>
          <w:b w:val="0"/>
          <w:sz w:val="22"/>
        </w:rPr>
        <w:t>インフラ構成およびデータ管理における重要指針です。</w:t>
        <w:br/>
        <w:t>本番環境（AWS App Runner / S3）とローカル開発環境の間でシームレスな移行・運用を行えるよう設計されています。</w:t>
      </w:r>
    </w:p>
    <w:p>
      <w:pPr>
        <w:spacing w:after="160"/>
        <w:ind w:left="288"/>
      </w:pPr>
      <w:r>
        <w:rPr>
          <w:rFonts w:ascii="MS Gothic" w:hAnsi="MS Gothic"/>
          <w:b/>
          <w:color w:val="1A5276"/>
          <w:sz w:val="22"/>
        </w:rPr>
        <w:t>■ S3データ永続化の徹底</w:t>
        <w:br/>
      </w:r>
      <w:r>
        <w:rPr>
          <w:rFonts w:ascii="MS Gothic" w:hAnsi="MS Gothic"/>
          <w:b w:val="0"/>
          <w:sz w:val="22"/>
        </w:rPr>
        <w:t>ユーザー情報（users）、サイネージ設定、キャンペーン情報、財務トランザクションなど、メモリ上の状態を変更する全エンドポイント（POST, PUT, DELETE）では、更新処理の最後で必ずsaveDatabase()またはsaveFinanceDB()を呼び出し、S3バケットおよびローカルJSONへ同期保存します。コンテナ再起動によるデータロストを防止します。</w:t>
      </w:r>
    </w:p>
    <w:p>
      <w:pPr>
        <w:spacing w:after="160"/>
        <w:ind w:left="288"/>
      </w:pPr>
      <w:r>
        <w:rPr>
          <w:rFonts w:ascii="MS Gothic" w:hAnsi="MS Gothic"/>
          <w:b/>
          <w:color w:val="1A5276"/>
          <w:sz w:val="22"/>
        </w:rPr>
        <w:t>■ 環境依存性の分離と動的ロード</w:t>
        <w:br/>
      </w:r>
      <w:r>
        <w:rPr>
          <w:rFonts w:ascii="MS Gothic" w:hAnsi="MS Gothic"/>
          <w:b w:val="0"/>
          <w:sz w:val="22"/>
        </w:rPr>
        <w:t>本番環境（RDS PostgreSQL）とローカル環境（SQLite / インメモリJSON）でデータベース接続先が切り替わる設計です。実行環境で不要なモジュール（ローカル用のsqlite3など）を本番で無条件にrequireさせない「動的インポート」および環境変数チェックを徹底し、依存バイナリの衝突による起動クラッシュ（ERR_DLOPEN_FAILED）を防止します。</w:t>
      </w:r>
    </w:p>
    <w:p>
      <w:pPr>
        <w:spacing w:after="160"/>
        <w:ind w:left="288"/>
      </w:pPr>
      <w:r>
        <w:rPr>
          <w:rFonts w:ascii="MS Gothic" w:hAnsi="MS Gothic"/>
          <w:b/>
          <w:color w:val="1A5276"/>
          <w:sz w:val="22"/>
        </w:rPr>
        <w:t>■ スケーラビリティとメモリ管理</w:t>
        <w:br/>
      </w:r>
      <w:r>
        <w:rPr>
          <w:rFonts w:ascii="MS Gothic" w:hAnsi="MS Gothic"/>
          <w:b w:val="0"/>
          <w:sz w:val="22"/>
        </w:rPr>
        <w:t>全件データのインメモリ同期処理（JSON同期ループ）はデータ増大時にサーバーブロックのリスクがあるため、新規機能は非同期のSQLite / PostgreSQL設計とし、JSONストレージ限界時は完全なリレーショナルDB直接SQL参照設計へと完全移行します。</w:t>
      </w:r>
    </w:p>
    <w:p>
      <w:pPr>
        <w:spacing w:after="240"/>
      </w:pPr>
    </w:p>
    <w:p>
      <w:pPr>
        <w:pStyle w:val="Heading1"/>
        <w:spacing w:before="240" w:after="120"/>
      </w:pPr>
      <w:r>
        <w:rPr>
          <w:rFonts w:ascii="MS Gothic" w:hAnsi="MS Gothic"/>
          <w:b/>
          <w:color w:val="1A5276"/>
          <w:sz w:val="32"/>
        </w:rPr>
        <w:t>5. デプロイおよびファイル破損防止ルール</w:t>
      </w:r>
    </w:p>
    <w:p>
      <w:pPr>
        <w:spacing w:line="300" w:lineRule="auto" w:after="200"/>
      </w:pPr>
      <w:r>
        <w:rPr>
          <w:rFonts w:ascii="MS Gothic" w:hAnsi="MS Gothic"/>
          <w:b w:val="0"/>
          <w:sz w:val="22"/>
        </w:rPr>
        <w:t>プログラムの追加・変更デプロイ時のチェックリストです。本番環境のサービス無停止（ヘルスチェック成功）を維持するため、以下の手続きを守ってください。</w:t>
      </w:r>
    </w:p>
    <w:p>
      <w:pPr>
        <w:pStyle w:val="ListBullet"/>
        <w:spacing w:after="80"/>
      </w:pPr>
      <w:r>
        <w:rPr>
          <w:rFonts w:ascii="MS Gothic" w:hAnsi="MS Gothic"/>
          <w:b w:val="0"/>
          <w:sz w:val="22"/>
        </w:rPr>
        <w:t>スクリプトおよびHTMLタグの「数」と「末尾」の整合性検証（閉じタグ欠落の防止）。</w:t>
      </w:r>
    </w:p>
    <w:p>
      <w:pPr>
        <w:pStyle w:val="ListBullet"/>
        <w:spacing w:after="80"/>
      </w:pPr>
      <w:r>
        <w:rPr>
          <w:rFonts w:ascii="MS Gothic" w:hAnsi="MS Gothic"/>
          <w:b w:val="0"/>
          <w:sz w:val="22"/>
        </w:rPr>
        <w:t>デプロイ前の「node --check」や「Syntax Checker」等を用いた構文チェックの100%パス確認。</w:t>
      </w:r>
    </w:p>
    <w:p>
      <w:pPr>
        <w:pStyle w:val="ListBullet"/>
        <w:spacing w:after="80"/>
      </w:pPr>
      <w:r>
        <w:rPr>
          <w:rFonts w:ascii="MS Gothic" w:hAnsi="MS Gothic"/>
          <w:b w:val="0"/>
          <w:sz w:val="22"/>
        </w:rPr>
        <w:t>Gitプッシュ直前の「git diff」による、機密情報（APIキー等）や不要な一時設定ファイルのハードコード混入チェックの徹底。</w:t>
      </w:r>
    </w:p>
    <w:p/>
    <w:p>
      <w:pPr>
        <w:pStyle w:val="Heading1"/>
      </w:pPr>
      <w:r>
        <w:t>6. 他システムとの差別化要素（セキュアUX ＆ 高レジリエンス設計）</w:t>
      </w:r>
    </w:p>
    <w:p>
      <w:r>
        <w:rPr>
          <w:i/>
        </w:rPr>
        <w:t>本システムが他社の標準的なリテールメディア・アドプラットフォームと差別化される、セキュリティおよびUXを両立させたコア設計仕様です。</w:t>
        <w:br/>
        <w:br/>
      </w:r>
    </w:p>
    <w:p>
      <w:r>
        <w:rPr>
          <w:b/>
        </w:rPr>
        <w:t>■ シームレスな自動復帰（Remember-Me &amp; Smart Redirect）仕様</w:t>
        <w:br/>
      </w:r>
      <w:r>
        <w:t>ログイン成功時にのみ、LocalStorageへ遷移先URL（last_active_service）および認証情報を保存し、ログアウト時でもこれらを維持します。次回起動（index.htmlアクセス）時に、過去に開いていた適切なログイン画面へ自動リダイレクトと認証情報の自動入力を行うことで、二重ログイン等の状態不整合（セッション混同）を防ぎつつ、極めてシームレスなUXをユーザーに提供します。</w:t>
      </w:r>
    </w:p>
    <w:p>
      <w:r>
        <w:rPr>
          <w:b/>
        </w:rPr>
        <w:t>■ 外部AI APIの動的フォールバックと完全デモ保証（ハイブリッド・レジリエンス）</w:t>
        <w:br/>
      </w:r>
      <w:r>
        <w:t>Google Gemini等の外部生成AI APIを使用する際、単一のモデルに依存せず、優先度の高いモデル（gemini-2.5-flash, gemini-1.5-flash等）をリスト化して自動で切り替えるモデルフォールバック機構を搭載。さらに、通信障害時やAPIキー未設定時でも、事前に定義されたデモ用データを返却してフロントエンドをクラッシュさせずに処理を継続する、他社にない高耐久性を実現しています。</w:t>
      </w:r>
    </w:p>
    <w:p>
      <w:r>
        <w:t>■ ローカル・本番のハイブリッド実行環境（DB動的ローテーション）</w:t>
        <w:br/>
        <w:t>本番のクラウド環境（RDS PostgreSQL）と、ローカル開発環境（SQLite）を環境変数（DATABASE_URL）の有無によって動的に判別。本番環境で不要なバイナリ（sqlite3等）のロードによるクラッシュ（ERR_DLOPEN_FAILED）を完全に防止するとともに、インメモリJSONへの依存を完全に排除し、堅牢なリレーショナルDBへの直接SQL参照設計で動作する、運用安全性の高いインフラ構成を構築しています。</w:t>
      </w:r>
    </w:p>
    <w:p>
      <w:r>
        <w:br/>
        <w:t>■ 店舗住所情報に基づく配信対象エリアの自動判別と広告マッチング仕様</w:t>
      </w:r>
    </w:p>
    <w:p>
      <w:r>
        <w:t>店舗オーナー（store）のプロフィール設定画面に「住所」および「店舗業態セグメント」の入力機能を追加。入力された住所情報をバックエンド側で自動的にパースし、都道府県および対応する配信エリア（関東、関西等）を自動判定してデータベースおよびS3に永続保存します。これにより、広告主（advertiser）が指定したエリア・都道府県・業態フィルタリング条件と完全一致する広告のみをサイネージに配信するリアルタイムマッチングを実現しています。</w:t>
      </w:r>
    </w:p>
    <w:p>
      <w:r>
        <w:br/>
        <w:t>■ ストア・リテーラー共通ポータルの導線適正化と強制ログイン仕様</w:t>
      </w:r>
    </w:p>
    <w:p>
      <w:r>
        <w:t>広告主ダッシュボードからの不要なリテーラー遷移リンクを廃止し、店舗ポータル（store_portal）の最近のトランザクションカード下にリンクを適正配置。クリック時は直接遷移させず、ログイン画面（index.html?role=store）を最優先で経由させ、安全な認証手続きを強制したうえでポータルへと導くセキュアな動線制御を徹底しています。</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