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line="288" w:lineRule="auto"/>
        <w:jc w:val="center"/>
      </w:pPr>
      <w:r>
        <w:rPr>
          <w:rFonts w:ascii="MS Gothic" w:hAnsi="MS Gothic"/>
          <w:b/>
          <w:color w:val="1A5276"/>
          <w:sz w:val="48"/>
        </w:rPr>
        <w:t>リテアド (RetailMedia-ad)</w:t>
        <w:br/>
        <w:t>システム要件 ＆ セキュリティ設計仕様書</w:t>
      </w:r>
    </w:p>
    <w:p>
      <w:pPr>
        <w:spacing w:before="0" w:after="120" w:line="276" w:lineRule="auto"/>
        <w:jc w:val="center"/>
      </w:pPr>
      <w:r>
        <w:rPr>
          <w:rFonts w:ascii="MS Gothic" w:hAnsi="MS Gothic"/>
          <w:i/>
          <w:color w:val="7F8C8D"/>
          <w:sz w:val="28"/>
        </w:rPr>
        <w:br/>
        <w:t>— 開発・エンジニアリング部門向け技術共有資料 —</w:t>
      </w:r>
    </w:p>
    <w:p>
      <w:pPr>
        <w:spacing w:before="0" w:after="120" w:line="276" w:lineRule="auto"/>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pPr>
        <w:spacing w:before="0" w:after="120" w:line="276" w:lineRule="auto"/>
      </w:pPr>
      <w:r>
        <w:br w:type="page"/>
      </w:r>
    </w:p>
    <w:p>
      <w:pPr>
        <w:pStyle w:val="Heading1"/>
        <w:spacing w:before="280" w:after="160" w:line="288" w:lineRule="auto"/>
      </w:pPr>
      <w:r>
        <w:rPr>
          <w:rFonts w:ascii="MS Gothic" w:hAnsi="MS Gothic"/>
          <w:b/>
          <w:color w:val="1A5276"/>
          <w:sz w:val="32"/>
        </w:rPr>
        <w:t>1. 本書の目的とシステム概要</w:t>
      </w:r>
    </w:p>
    <w:p>
      <w:pPr>
        <w:spacing w:line="276" w:lineRule="auto" w:after="120" w:before="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80" w:after="160" w:line="288" w:lineRule="auto"/>
      </w:pPr>
      <w:r>
        <w:rPr>
          <w:rFonts w:ascii="MS Gothic" w:hAnsi="MS Gothic"/>
          <w:b/>
          <w:color w:val="1A5276"/>
          <w:sz w:val="32"/>
        </w:rPr>
        <w:t>2. 主要ポータルの要件とデータフロー</w:t>
      </w:r>
    </w:p>
    <w:p>
      <w:pPr>
        <w:spacing w:after="120" w:before="0" w:line="276" w:lineRule="auto"/>
      </w:pPr>
      <w:r>
        <w:rPr>
          <w:rFonts w:ascii="MS Gothic" w:hAnsi="MS Gothic"/>
          <w:b w:val="0"/>
          <w:sz w:val="22"/>
        </w:rPr>
        <w:t>本システムは以下のポータル群で構成され、相互にデータを引き渡します。</w:t>
      </w:r>
    </w:p>
    <w:p>
      <w:pPr>
        <w:spacing w:before="0" w:after="120" w:line="276" w:lineRule="auto"/>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retail_media_portal_flow_jp_1782735685283.png"/>
                    <pic:cNvPicPr/>
                  </pic:nvPicPr>
                  <pic:blipFill>
                    <a:blip r:embed="rId9"/>
                    <a:stretch>
                      <a:fillRect/>
                    </a:stretch>
                  </pic:blipFill>
                  <pic:spPr>
                    <a:xfrm>
                      <a:off x="0" y="0"/>
                      <a:ext cx="5303520" cy="5303520"/>
                    </a:xfrm>
                    <a:prstGeom prst="rect"/>
                  </pic:spPr>
                </pic:pic>
              </a:graphicData>
            </a:graphic>
          </wp:inline>
        </w:drawing>
      </w:r>
    </w:p>
    <w:p>
      <w:pPr>
        <w:spacing w:before="0" w:after="120" w:line="276" w:lineRule="auto"/>
        <w:jc w:val="center"/>
      </w:pPr>
      <w:r>
        <w:rPr>
          <w:i/>
          <w:color w:val="646464"/>
          <w:sz w:val="19"/>
        </w:rPr>
        <w:t>図 2.1 主要ポータル間のデータフローと相互関係</w:t>
      </w:r>
    </w:p>
    <w:p>
      <w:pPr>
        <w:pStyle w:val="ListBullet"/>
        <w:spacing w:after="120" w:before="0" w:line="276" w:lineRule="auto"/>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120" w:before="0" w:line="276" w:lineRule="auto"/>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120" w:before="0" w:line="276" w:lineRule="auto"/>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120" w:before="0" w:line="276" w:lineRule="auto"/>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120" w:before="0" w:line="276" w:lineRule="auto"/>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120" w:before="0" w:line="276" w:lineRule="auto"/>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120" w:before="0" w:line="276" w:lineRule="auto"/>
      </w:pPr>
    </w:p>
    <w:p>
      <w:pPr>
        <w:pStyle w:val="Heading1"/>
        <w:spacing w:before="280" w:after="160" w:line="288" w:lineRule="auto"/>
      </w:pPr>
      <w:r>
        <w:rPr>
          <w:rFonts w:ascii="MS Gothic" w:hAnsi="MS Gothic"/>
          <w:b/>
          <w:color w:val="1A5276"/>
          <w:sz w:val="32"/>
        </w:rPr>
        <w:t>3. 確立されたセキュリティ設計要件</w:t>
      </w:r>
    </w:p>
    <w:p>
      <w:pPr>
        <w:spacing w:after="120" w:before="0" w:line="276" w:lineRule="auto"/>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ayout w:type="fixed"/>
        <w:tblLook w:firstColumn="1" w:firstRow="1" w:lastColumn="0" w:lastRow="0" w:noHBand="0" w:noVBand="1" w:val="04A0"/>
      </w:tblPr>
      <w:tblGrid>
        <w:gridCol w:w="4680"/>
        <w:gridCol w:w="4680"/>
      </w:tblGrid>
      <w:tr>
        <w:tc>
          <w:tcPr>
            <w:tcW w:type="dxa" w:w="2592"/>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セキュリティ項目</w:t>
            </w:r>
          </w:p>
        </w:tc>
        <w:tc>
          <w:tcPr>
            <w:tcW w:type="dxa" w:w="6437"/>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要件と具体的な実装仕様</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IDOR (認可不備) 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一元化された特権API保護</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二重処理の防止と排他制御 (Mutex)</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外部API (Gemini LLM等) の耐障害性保証</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2592"/>
            <w:tcMar>
              <w:top w:w="100" w:type="dxa"/>
              <w:bottom w:w="100" w:type="dxa"/>
              <w:left w:w="150" w:type="dxa"/>
              <w:right w:w="150" w:type="dxa"/>
            </w:tcMar>
          </w:tcPr>
          <w:p>
            <w:pPr>
              <w:spacing w:before="0" w:after="80" w:line="264" w:lineRule="auto"/>
            </w:pPr>
            <w:r>
              <w:t>AI Content Moderation (アカウント凍結)</w:t>
            </w:r>
          </w:p>
        </w:tc>
        <w:tc>
          <w:tcPr>
            <w:tcW w:type="dxa" w:w="6437"/>
            <w:tcMar>
              <w:top w:w="100" w:type="dxa"/>
              <w:bottom w:w="100" w:type="dxa"/>
              <w:left w:w="150" w:type="dxa"/>
              <w:right w:w="150" w:type="dxa"/>
            </w:tcMar>
          </w:tcPr>
          <w:p>
            <w:pPr>
              <w:spacing w:before="0" w:after="80" w:line="264" w:lineRule="auto"/>
            </w:pPr>
            <w:r>
              <w:t>AI音声スタジオでの禁止ワード入力時、またはAI広告自動審査での規約違反検知時、アカウントストライクを加算（警告）し、累積3ストライクに達した時点でアカウントを即座にロック（BAN）します。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パスワードのハッシュ化と機密情報の分離</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SQLインジェクションの完全防御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2592"/>
          </w:tcPr>
          <w:p>
            <w:pPr>
              <w:spacing w:before="0" w:after="80" w:line="264" w:lineRule="auto"/>
            </w:pPr>
            <w:r>
              <w:t>DBマイグレーション起動デッドロック防止＆自動タイムアウト</w:t>
            </w:r>
          </w:p>
        </w:tc>
        <w:tc>
          <w:tcPr>
            <w:tcW w:type="dxa" w:w="6437"/>
          </w:tcPr>
          <w:p>
            <w:pPr>
              <w:spacing w:before="0" w:after="80" w:line="264" w:lineRule="auto"/>
            </w:pPr>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2592"/>
          </w:tcPr>
          <w:p>
            <w:pPr>
              <w:spacing w:before="0" w:after="80" w:line="264" w:lineRule="auto"/>
            </w:pPr>
            <w:r>
              <w:t>クロスロール2FA（二段階認証）の動的同期</w:t>
            </w:r>
          </w:p>
        </w:tc>
        <w:tc>
          <w:tcPr>
            <w:tcW w:type="dxa" w:w="6437"/>
          </w:tcPr>
          <w:p>
            <w:pPr>
              <w:spacing w:before="0" w:after="80" w:line="264" w:lineRule="auto"/>
            </w:pPr>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2592"/>
          </w:tcPr>
          <w:p>
            <w:pPr>
              <w:spacing w:before="0" w:after="80" w:line="264" w:lineRule="auto"/>
            </w:pPr>
            <w:r>
              <w:t>添付ファイルの安全なデコード保存とXSSの徹底排除</w:t>
            </w:r>
          </w:p>
        </w:tc>
        <w:tc>
          <w:tcPr>
            <w:tcW w:type="dxa" w:w="6437"/>
          </w:tcPr>
          <w:p>
            <w:pPr>
              <w:spacing w:before="0" w:after="80" w:line="264" w:lineRule="auto"/>
            </w:pPr>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2592"/>
          </w:tcPr>
          <w:p>
            <w:pPr>
              <w:spacing w:before="0" w:after="80" w:line="264" w:lineRule="auto"/>
            </w:pPr>
            <w:r>
              <w:t>CORSおよびミドルウェアの適用漏れ自動防御</w:t>
            </w:r>
          </w:p>
        </w:tc>
        <w:tc>
          <w:tcPr>
            <w:tcW w:type="dxa" w:w="6437"/>
          </w:tcPr>
          <w:p>
            <w:pPr>
              <w:spacing w:before="0" w:after="80" w:line="264" w:lineRule="auto"/>
            </w:pPr>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120" w:before="0" w:line="276" w:lineRule="auto"/>
      </w:pPr>
    </w:p>
    <w:p>
      <w:pPr>
        <w:pStyle w:val="Heading1"/>
        <w:spacing w:before="280" w:after="160" w:line="288" w:lineRule="auto"/>
      </w:pPr>
      <w:r>
        <w:rPr>
          <w:rFonts w:ascii="MS Gothic" w:hAnsi="MS Gothic"/>
          <w:b/>
          <w:color w:val="1A5276"/>
          <w:sz w:val="32"/>
        </w:rPr>
        <w:t>4. データ永続化とインフラ移行ガイドライン</w:t>
      </w:r>
    </w:p>
    <w:p>
      <w:pPr>
        <w:spacing w:line="276" w:lineRule="auto" w:after="120" w:before="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60" w:before="280" w:line="288" w:lineRule="auto"/>
        <w:ind w:left="288"/>
      </w:pPr>
      <w:r>
        <w:rPr>
          <w:rFonts w:ascii="MS Gothic" w:hAnsi="MS Gothic"/>
          <w:b/>
          <w:color w:val="1A5276"/>
          <w:sz w:val="22"/>
        </w:rPr>
        <w:t>■ S3データ永続化の徹底</w:t>
        <w:br/>
      </w:r>
      <w:r>
        <w:rPr>
          <w:rFonts w:ascii="MS Gothic" w:hAnsi="MS Gothic"/>
          <w:b w:val="0"/>
          <w:sz w:val="22"/>
        </w:rPr>
        <w:t>ユーザー情報（users）、サイネージ設定、キャンペーン情報、財務トランザクションなど、メモリ上の状態を変更する全エンドポイント（POST, PUT, DELETE）では、更新処理の最後で必ずsaveDatabase()またはsaveFinanceDB()を呼び出し、S3バケットおよびローカルJSONへ同期保存します。コンテナ再起動によるデータロストを防止します。</w:t>
      </w:r>
    </w:p>
    <w:p>
      <w:pPr>
        <w:spacing w:after="160" w:before="280" w:line="288" w:lineRule="auto"/>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60" w:before="280" w:line="288" w:lineRule="auto"/>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120" w:before="0" w:line="276" w:lineRule="auto"/>
      </w:pPr>
    </w:p>
    <w:p>
      <w:pPr>
        <w:pStyle w:val="Heading1"/>
        <w:spacing w:before="280" w:after="160" w:line="288" w:lineRule="auto"/>
      </w:pPr>
      <w:r>
        <w:rPr>
          <w:rFonts w:ascii="MS Gothic" w:hAnsi="MS Gothic"/>
          <w:b/>
          <w:color w:val="1A5276"/>
          <w:sz w:val="32"/>
        </w:rPr>
        <w:t>5. デプロイおよびファイル破損防止ルール</w:t>
      </w:r>
    </w:p>
    <w:p>
      <w:pPr>
        <w:spacing w:line="276" w:lineRule="auto" w:after="120" w:before="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120" w:before="0" w:line="276" w:lineRule="auto"/>
      </w:pPr>
      <w:r>
        <w:rPr>
          <w:rFonts w:ascii="MS Gothic" w:hAnsi="MS Gothic"/>
          <w:b w:val="0"/>
          <w:sz w:val="22"/>
        </w:rPr>
        <w:t>スクリプトおよびHTMLタグの「数」と「末尾」の整合性検証（閉じタグ欠落の防止）。</w:t>
      </w:r>
    </w:p>
    <w:p>
      <w:pPr>
        <w:pStyle w:val="ListBullet"/>
        <w:spacing w:after="120" w:before="0" w:line="276" w:lineRule="auto"/>
      </w:pPr>
      <w:r>
        <w:rPr>
          <w:rFonts w:ascii="MS Gothic" w:hAnsi="MS Gothic"/>
          <w:b w:val="0"/>
          <w:sz w:val="22"/>
        </w:rPr>
        <w:t>デプロイ前の「node --check」や「Syntax Checker」等を用いた構文チェックの100%パス確認。</w:t>
      </w:r>
    </w:p>
    <w:p>
      <w:pPr>
        <w:pStyle w:val="ListBullet"/>
        <w:spacing w:after="120" w:before="0" w:line="276" w:lineRule="auto"/>
      </w:pPr>
      <w:r>
        <w:rPr>
          <w:rFonts w:ascii="MS Gothic" w:hAnsi="MS Gothic"/>
          <w:b w:val="0"/>
          <w:sz w:val="22"/>
        </w:rPr>
        <w:t>Gitプッシュ直前の「git diff」による、機密情報（APIキー等）や不要な一時設定ファイルのハードコード混入チェックの徹底。</w:t>
      </w:r>
    </w:p>
    <w:p>
      <w:pPr>
        <w:spacing w:before="0" w:after="120" w:line="276" w:lineRule="auto"/>
      </w:pPr>
    </w:p>
    <w:p>
      <w:pPr>
        <w:pStyle w:val="Heading1"/>
        <w:spacing w:before="280" w:after="160" w:line="288" w:lineRule="auto"/>
      </w:pPr>
      <w:r>
        <w:t>6. 他システムとの差別化要素（セキュアUX ＆ 高レジリエンス設計）</w:t>
      </w:r>
    </w:p>
    <w:p>
      <w:pPr>
        <w:spacing w:before="0" w:after="120" w:line="276" w:lineRule="auto"/>
      </w:pPr>
      <w:r>
        <w:rPr>
          <w:i/>
        </w:rPr>
        <w:t>本システムが他社の標準的なリテールメディア・アドプラットフォームと差別化される、セキュリティおよびUXを両立させたコア設計仕様です。</w:t>
        <w:br/>
        <w:br/>
      </w:r>
    </w:p>
    <w:p>
      <w:pPr>
        <w:spacing w:before="280" w:after="160" w:line="288" w:lineRule="auto"/>
      </w:pPr>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pPr>
        <w:spacing w:before="280" w:after="160" w:line="288" w:lineRule="auto"/>
      </w:pPr>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pPr>
        <w:spacing w:before="280" w:after="160" w:line="288" w:lineRule="auto"/>
      </w:pPr>
      <w:r>
        <w:t>■ ローカル・本番のハイブリッド実行環境（DB動的ローテーション）</w:t>
        <w:br/>
        <w:t>本番のクラウド環境（RDS PostgreSQL）と、ローカル開発環境（SQLite）を環境変数（DATABASE_URL）の有無によって動的に判別。本番環境で不要なバイナリ（sqlite3等）のロードによるクラッシュ（ERR_DLOPEN_FAILED）を完全に防止するとともに、インメモリJSONへの依存を完全に排除し、堅牢なリレーショナルDBへの直接SQL参照設計で動作する、運用安全性の高いインフラ構成を構築しています。</w:t>
      </w:r>
    </w:p>
    <w:p>
      <w:pPr>
        <w:spacing w:before="280" w:after="160" w:line="288" w:lineRule="auto"/>
      </w:pPr>
      <w:r>
        <w:br/>
        <w:t>■ 店舗住所情報に基づく配信対象エリアの自動判別と広告マッチング仕様</w:t>
      </w:r>
    </w:p>
    <w:p>
      <w:pPr>
        <w:spacing w:before="0" w:after="120" w:line="276" w:lineRule="auto"/>
      </w:pPr>
      <w:r>
        <w:t>店舗オーナー（store）のプロフィール設定画面に「住所」および「店舗業態セグメント」の入力機能を追加。入力された住所情報をバックエンド側で自動的にパースし、都道府県および対応する配信エリア（関東、関西等）を自動判定してデータベースおよびS3に永続保存します。これにより、広告主（advertiser）が指定したエリア・都道府県・業態フィルタリング条件と完全一致する広告のみをサイネージに配信するリアルタイムマッチングを実現しています。</w:t>
      </w:r>
    </w:p>
    <w:p>
      <w:pPr>
        <w:spacing w:before="280" w:after="160" w:line="288" w:lineRule="auto"/>
      </w:pPr>
      <w:r>
        <w:br/>
        <w:t>■ ストア・リテーラー共通ポータルの導線適正化と強制ログイン仕様</w:t>
      </w:r>
    </w:p>
    <w:p>
      <w:pPr>
        <w:spacing w:before="0" w:after="120" w:line="276" w:lineRule="auto"/>
      </w:pPr>
      <w:r>
        <w:t>広告主ダッシュボードからの不要なリテーラー遷移リンクを廃止し、店舗ポータル（store_portal）の最近のトランザクションカード下にリンクを適正配置。クリック時は直接遷移させず、ログイン画面（index.html?role=store）を最優先で経由させ、安全な認証手続きを強制したうえでポータルへと導くセキュアな動線制御を徹底しています。</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