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aster-services-agreement"/>
    <w:p>
      <w:pPr>
        <w:pStyle w:val="Heading1"/>
      </w:pPr>
      <w:r>
        <w:t xml:space="preserve">Master Services Agreement</w:t>
      </w:r>
    </w:p>
    <w:bookmarkStart w:id="20" w:name="definitions"/>
    <w:p>
      <w:pPr>
        <w:pStyle w:val="Heading2"/>
      </w:pPr>
      <w:r>
        <w:t xml:space="preserve">1. Definitions</w:t>
      </w:r>
    </w:p>
    <w:p>
      <w:pPr>
        <w:pStyle w:val="FirstParagraph"/>
      </w:pPr>
      <w:r>
        <w:t xml:space="preserve">In this Agreement,</w:t>
      </w:r>
      <w:r>
        <w:t xml:space="preserve"> </w:t>
      </w:r>
      <w:r>
        <w:t xml:space="preserve">“</w:t>
      </w:r>
      <w:r>
        <w:t xml:space="preserve">Services</w:t>
      </w:r>
      <w:r>
        <w:t xml:space="preserve">”</w:t>
      </w:r>
      <w:r>
        <w:t xml:space="preserve"> </w:t>
      </w:r>
      <w:r>
        <w:t xml:space="preserve">means the services described in Schedule A.</w:t>
      </w:r>
      <w:r>
        <w:t xml:space="preserve"> </w:t>
      </w:r>
      <w:r>
        <w:t xml:space="preserve">“</w:t>
      </w:r>
      <w:r>
        <w:t xml:space="preserve">Confidential Information</w:t>
      </w:r>
      <w:r>
        <w:t xml:space="preserve">”</w:t>
      </w:r>
      <w:r>
        <w:t xml:space="preserve"> </w:t>
      </w:r>
      <w:r>
        <w:t xml:space="preserve">means any non-public information disclosed by one party to the other.</w:t>
      </w:r>
    </w:p>
    <w:bookmarkEnd w:id="20"/>
    <w:bookmarkStart w:id="23" w:name="term-and-termination"/>
    <w:p>
      <w:pPr>
        <w:pStyle w:val="Heading2"/>
      </w:pPr>
      <w:r>
        <w:t xml:space="preserve">2. Term and Termination</w:t>
      </w:r>
    </w:p>
    <w:bookmarkStart w:id="21" w:name="term"/>
    <w:p>
      <w:pPr>
        <w:pStyle w:val="Heading3"/>
      </w:pPr>
      <w:r>
        <w:t xml:space="preserve">2.1 Term</w:t>
      </w:r>
    </w:p>
    <w:p>
      <w:pPr>
        <w:pStyle w:val="FirstParagraph"/>
      </w:pPr>
      <w:r>
        <w:t xml:space="preserve">This Agreement commences on the Effective Date and continues for twelve (12) months unless terminated earlier in accordance with this Article.</w:t>
      </w:r>
    </w:p>
    <w:bookmarkEnd w:id="21"/>
    <w:bookmarkStart w:id="22" w:name="termination-for-cause"/>
    <w:p>
      <w:pPr>
        <w:pStyle w:val="Heading3"/>
      </w:pPr>
      <w:r>
        <w:t xml:space="preserve">2.2 Termination for Cause</w:t>
      </w:r>
    </w:p>
    <w:p>
      <w:pPr>
        <w:pStyle w:val="FirstParagraph"/>
      </w:pPr>
      <w:r>
        <w:t xml:space="preserve">Either party may terminate this Agreement upon thirty (30) days written notice if the other party materially breaches any provision and fails to cure such breach within the notice period.</w:t>
      </w:r>
    </w:p>
    <w:bookmarkEnd w:id="22"/>
    <w:bookmarkEnd w:id="23"/>
    <w:bookmarkStart w:id="24" w:name="governing-law"/>
    <w:p>
      <w:pPr>
        <w:pStyle w:val="Heading2"/>
      </w:pPr>
      <w:r>
        <w:t xml:space="preserve">3. Governing Law</w:t>
      </w:r>
    </w:p>
    <w:p>
      <w:pPr>
        <w:pStyle w:val="FirstParagraph"/>
      </w:pPr>
      <w:r>
        <w:t xml:space="preserve">This Agreement shall be governed by and construed in accordance with the laws of Japan, without regard to its conflict-of-laws principles.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2026-06-13T06:21:03Z</dcterms:created>
  <dcterms:modified xsi:type="dcterms:W3CDTF">2026-06-13T06:21:03Z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