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LEXWAREAI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DOCUMENT 3 OF 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LEARNING SYSTEM</w:t>
      </w:r>
    </w:p>
    <w:p>
      <w:pPr>
        <w:pBdr>
          <w:bottom w:val="single" w:color="2E75B6" w:sz="6" w:space="6"/>
        </w:pBdr>
        <w:spacing w:after="12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How the system remembers, learns, and becomes more accurate with every document processed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Three Learning Systems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Operational, Audit, Pattern — distinct purposes, distinct rules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Vendor Intelligence Engine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4-tier matching, dedup on sync, silent enrichment, confidence model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Initial Sync — Free Learning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Reading Lexware history to build knowledge before first invoice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Line Item Pattern Memory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Embeddings, deduplication, similarity search, update strategy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 Category Distribution System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Per-vendor per-item statistics, correction weighting, trust model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 Platform Behavior Learning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pattern detection for any platform, not hardcoded rules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 Business Intelligence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Tenant-level learning, operational patterns, batch updates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 GoBD Audit Trail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Immutable logging, append-only, schema, export format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 The Learning Pipeline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Async after success, parallel jobs, error handling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 Conflict Resolution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Mutable vs immutable, correction workflow, user trust hierarchy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 Database Schema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schema for all learning tables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 Token Economics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learning reduces AI cost over time with real numbers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THREE LEARNING SYSTEMS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learning system is not one thing. It is three completely separate systems that never conflict because they serve different purposes.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9"/>
        <w:gridCol w:w="2223"/>
        <w:gridCol w:w="1213"/>
        <w:gridCol w:w="2425"/>
        <w:gridCol w:w="2425"/>
      </w:tblGrid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Mutable?</w:t>
            </w:r>
          </w:p>
        </w:tc>
        <w:tc>
          <w:tcPr>
            <w:tcW w:type="dxa" w:w="2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of Truth For</w:t>
            </w:r>
          </w:p>
        </w:tc>
        <w:tc>
          <w:tcPr>
            <w:tcW w:type="dxa" w:w="2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Used For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Operational Knowledge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to do next time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selection, vendor routing, confidence scoring</w:t>
            </w:r>
          </w:p>
        </w:tc>
        <w:tc>
          <w:tcPr>
            <w:tcW w:type="dxa" w:w="2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Audit/compliance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happened and why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— IMMUTABLE</w:t>
            </w:r>
          </w:p>
        </w:tc>
        <w:tc>
          <w:tcPr>
            <w:tcW w:type="dxa" w:w="2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 inspectors, compliance, debugging, GoBD</w:t>
            </w:r>
          </w:p>
        </w:tc>
        <w:tc>
          <w:tcPr>
            <w:tcW w:type="dxa" w:w="2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decisions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Pattern Memory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patterns we have seen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ADDITIVE ONLY</w:t>
            </w:r>
          </w:p>
        </w:tc>
        <w:tc>
          <w:tcPr>
            <w:tcW w:type="dxa" w:w="2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Similarity search, context injection for AI</w:t>
            </w:r>
          </w:p>
        </w:tc>
        <w:tc>
          <w:tcPr>
            <w:tcW w:type="dxa" w:w="2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decisions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5B6" w:sz="16"/>
              <w:left w:val="single" w:color="2E75B6" w:sz="24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The Core Separation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Audit log records WHAT HAPPENED (never changes). Operational knowledge records WHAT WE KNOW (updates with every success). Pattern memory records WHAT WE HAVE SEEN (only grows, never shrinks).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VENDOR INTELLIGENCE ENGINE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impactful learning system. After enough transactions, the vendor engine eliminates AI calls entirely for known vendors.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vendor_index Schema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vendor_index (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       UUID PRIMARY KEY DEFAULT gen_random_uuid(),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tenant_id               UUID NOT NULL REFERENCES tenant_profiles(id),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Canonical identity (cleaned, deduplicated)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canonical_name          TEXT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canonical_name_norm     TEXT NOT NULL, -- lowercase, stripped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canonical_vat_id        TEXT,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canonical_iban          TEXT,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All known variations (handles typos, duplicates, aliases)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name_aliases            TEXT[] DEFAULT "{}",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vat_id_aliases          TEXT[] DEFAULT "{}",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iban_aliases            TEXT[] DEFAULT "{}",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Links to Lexware (may be multiple due to dedup)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lexware_contact_ids     TEXT[] DEFAULT "{}",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primary_lexware_contact TEXT,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Knowledge state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posting_rules           JSONB NOT NULL DEFAULT "{}",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behavior_summary        TEXT, -- 30-word AI-ready summary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confidence              DECIMAL(4,3) DEFAULT 0.0,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transaction_count       INT DEFAULT 0,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user_confirmed          BOOLEAN DEFAULT FALSE,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has_incomplete_data     BOOLEAN DEFAULT FALSE,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Search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search_vector           TSVECTOR,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name_embedding          VECTOR(1536),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Metadata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created_from            TEXT, -- initial_sync | live_processing | manual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last_transaction_date   DATE,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        TIMESTAMPTZ DEFAULT now(),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updated_at              TIMESTAMPTZ DEFAULT now()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The 4-Tier Lookup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STEP T1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Exact VAT ID match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—  SELECT * WHERE $vat_id = ANY(vat_id_aliases). ~1ms. Binary.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6B"/>
                <w:sz w:val="20"/>
                <w:szCs w:val="20"/>
              </w:rPr>
              <w:t xml:space="preserve">STEP T2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Exact IBAN match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—  SELECT * WHERE $iban = ANY(iban_aliases). ~1ms. Binary. Side effect: updates stale VAT ID.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5B00"/>
                <w:sz w:val="20"/>
                <w:szCs w:val="20"/>
              </w:rPr>
              <w:t xml:space="preserve">STEP T3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pg_trgm fuzzy name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—  Normalize both names. similarity() &gt; 0.82. Returns top 3 by score. ~5ms.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STEP T4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pgvector semantic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—  Embed vendor name from invoice. Cosine similarity search. Top 3 candidates. ~15ms.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Confidence multipliers: T1 = unchanged. T2 = ×0.95. T3 = ×(similarity score). T4 = ×(cosine similarity score).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T1 or T2 matches: result is returned immediately. T3 and T4 not called. Speed is critical in parallel execution.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Deduplication on Initial Sync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Fetch all Lexware contacts (paginated)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Group by exact VAT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Group remaining by exact IBAN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Normalize all remaining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pg_trgm cluster normalized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canonical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 sees dedup report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Confidence Model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6"/>
        <w:gridCol w:w="3234"/>
        <w:gridCol w:w="2830"/>
        <w:gridCol w:w="2527"/>
      </w:tblGrid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at Next Invoice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Tokens Used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1.00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explicitly confirmed via exception answer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rules directly, open voucher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0.92-0.99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10+ consistent transactions, same pattern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rules directly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0.85-0.91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3-9 consistent transactions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rules directly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0.70-0.84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transactions or fuzzy name match 0.90-0.99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15-word summary to Haiku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~100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0.50-0.69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match 0.82-0.89 or inferred from similar vendors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to Sonnet with context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~600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0.00-0.49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Never seen or very low similarity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 queue → user answers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Silent Vendor Enrichment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vendor exists in vendor_index but has missing data (no VAT ID or no IBAN), the enrichment pipeline runs in parallel with every invoice from that vendor.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Runs in vendor-enrichment queue (non-blocking):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vatIdMatch = invoiceText.match(/\bDE\d{9}\b/);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ibanMatch = invoiceText.match(/\bDE\d{2}[A-Z0-9]{18}\b/);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(vatIdMatch &amp;&amp; !vendor.vat_id_aliases.includes(vatIdMatch[0])) {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db.query(`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 vendor_index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 vat_id_aliases = array_append(vat_id_aliases, $1),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has_incomplete_data = (iban IS NULL),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updated_at = now()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id = $2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`, [vatIdMatch[0], vendor.id]);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auditLog(VENDOR_ENRICHED, { field: "vat_id", new_value: vatIdMatch[0] });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INITIAL SYNC — FREE LEARNING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powerful single step in the learning system. When a user connects their Lexware API key, we read all historical vouchers and extract the patterns they have already established. Zero AI tokens. Pure data extraction.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F5C2E" w:sz="16"/>
              <w:left w:val="single" w:color="1F5C2E" w:sz="24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26"/>
                <w:szCs w:val="26"/>
              </w:rPr>
              <w:t xml:space="preserve">Why This Is Valuable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 business with 2 years of Lexware history gives us 2 years of human-categorised accounting data instantly. We learn from it before processing a single new invoice.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What the Initial Sync Reads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 /v1/contacts (all pages)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 /v1/posting-categories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 /v1/vouchers?voucherStatus=open (last 200)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 each voucher: extract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vendor_knowledge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Embed top 5 line items per vendor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business intelligence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What Is NOT Learned in Initial Sync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Unchecked or draft vouchers (may contain errors — not trusted)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Cancelled or deleted vouchers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Vouchers older than 2 years (configurable)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Vouchers where contact is missing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initial sync uses only confirmed, open vouchers. Quality over quantity.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Initial Sync Output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 business with 500 historical open vouchers: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~200 unique vendor records built at confidence 0.70-0.90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~800 line item embeddings stored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~40 category distribution records built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Business intelligence profile populated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Entire sync runs in background, takes 3-8 minutes (Lexware API rate limits)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sees real-time progress in onboarding step 3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LINE ITEM PATTERN MEMORY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semantic memory layer. Instead of storing invoice text, we store the mathematical representation of line item descriptions as vectors. Similarity search replaces text search.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line_item_patterns Schema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line_item_patterns (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     UUID PRIMARY KEY DEFAULT gen_random_uuid(),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tenant_id             UUID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vendor_index_id       UUID REFERENCES vendor_index(id),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The concept (vector) not the words (text)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description_embedding VECTOR(1536)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description_sample    TEXT NOT NULL, -- ONE representative example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description_norm      TEXT NOT NULL, -- normalised for display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What this concept maps to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category_id           UUID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category_name         TEXT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vat_rate              INT,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Frequency tracking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occurrence_count      INT DEFAULT 1,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last_seen             DATE,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first_seen            DATE DEFAULT CURRENT_DATE,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user_confirmed_count  INT DEFAULT 0, -- times user confirmed this mapping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ON line_item_patterns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hnsw (description_embedding vector_cosine_ops)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(m = 16, ef_construction = 64);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Embedding Strategy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embedded: the normalised line item description. Not the full invoice text. Not the vendor name. Just the description of what was purchased.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Normalisation before embedding: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normalizeForEmbedding(description: string): string {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description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.toLowerCase()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.replace(/\d{4}-\d{2}(-\d{2})?/g, "")  // remove dates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.replace(/\d+([.,]\d+)?\s*(kg|l|ml|stk|st|pcs)/gi, "") // remove quantities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.replace(/[#§€$%]/g, "")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.replace(/\s+/g, " ")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.trim();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Why normalise before embedding: "Rindfleisch Gulasch 2.5kg März 2026" and "Rindfleisch Gulasch 3.0kg April 2026" should produce nearly identical vectors because the semantic content is the same — only the quantity and month differ.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Deduplication of Vectors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inserting a new embedding, we check if a semantically identical one already exists. This prevents bloat.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Check for near-duplicate before insert: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id, occurrence_count FROM line_item_patterns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tenant_id = $1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1 - (description_embedding &lt;=&gt; $2) &gt; 0.95  -- 95% similar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category_id = $3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If found: increment occurrence_count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If not found: INSERT new record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Similarity Search in Category Determination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new line item arrives and needs categorisation, we search for the most similar past items: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lp.category_id, lp.category_name, lp.vat_rate,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lp.occurrence_count, lp.user_confirmed_count,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1 - (lp.description_embedding &lt;=&gt; $query_vector) AS similarity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line_item_patterns lp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lp.tenant_id = $tenant_id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lp.description_embedding &lt;=&gt; $query_vector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3;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top 3 similar past items. These 3 rows (not raw text) are sent to AI as context. ~25 words total regardless of how many past invoices exist.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CATEGORY DISTRIBUTION SYSTEM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which categories are used per vendor, with frequency statistics. Used as a prior in category determination — not as a direct answer.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category_distribution Schema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category_distribution (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 UUID PRIMARY KEY DEFAULT gen_random_uuid(),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tenant_id         UUID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vendor_index_id   UUID REFERENCES vendor_index(id),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category_id       UUID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category_name     TEXT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usage_count       INT DEFAULT 0,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usage_rate        DECIMAL(5,4),  -- recalculated after each update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user_confirmed_ct INT DEFAULT 0, -- times user explicitly confirmed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last_used         DATE,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UNIQUE(tenant_id, vendor_index_id, category_id)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Why Category Distribution Exists (Not Just Vendor Rules)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vendor posting_rules stores the PRIMARY pattern. The category_distribution stores ALL patterns with frequency. This handles the case where the same vendor sometimes maps to different categories.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 — Amazon for a mixed-use business: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2021"/>
        <w:gridCol w:w="2021"/>
        <w:gridCol w:w="2527"/>
      </w:tblGrid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Count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Confirmed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Bürobedarf 19%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IT-Ausstattung 19%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Büroausstattung 19%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0.08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distribution tells the system: "When Amazon sends an invoice, it is usually Bürobedarf (72% of the time) but not always." This shapes AI prompts but does not replace line item analysis.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Correction Weighting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user corrects a category, that correction receives 3× weight in the distribution. This prevents the system from reverting to old wrong patterns.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On user correction: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category_distribution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usage_count = usage_count + 3,  -- 3x weight for corrections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user_confirmed_ct = user_confirmed_ct + 1,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last_used = CURRENT_DATE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vendor_index_id = $1 AND category_id = $2 (corrected category);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Recalculate all rates for this vendor: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category_distribution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usage_rate = usage_count::decimal / SUM(usage_count) OVER (PARTITION BY vendor_index_id)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vendor_index_id = $1;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PLATFORM BEHAVIOR LEARNING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most important design decision in the learning system: platform behavior is NOT hardcoded. It is learned from patterns and stored generically. This means any new platform is handled automatically once we have seen it a few times.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F5B00" w:sz="16"/>
              <w:left w:val="single" w:color="7F5B00" w:sz="24"/>
              <w:bottom w:val="single" w:color="CCCCCC" w:sz="1"/>
              <w:right w:val="single" w:color="CCCCCC" w:sz="1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5B00"/>
                <w:sz w:val="26"/>
                <w:szCs w:val="26"/>
              </w:rPr>
              <w:t xml:space="preserve">No Hardcoded Platform Rules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The system does not know "Lieferando always does split booking." It learns that a platform with certain patterns always produces a certain accounting structure. This is the same mechanism whether it is Lieferando, Wolt, Uber Eats, or any future platform.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platform_behaviors Schema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platform_behaviors (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   UUID PRIMARY KEY DEFAULT gen_random_uuid(),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tenant_id           UUID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vendor_index_id     UUID NOT NULL, -- the platform vendor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document_type       TEXT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Learned patterns (structured, not text)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voucher_structure   JSONB,  -- how many vouchers, what types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revenue_component   JSONB,  -- how revenue is structured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fee_component       JSONB,  -- how fees are structured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deduction_types     JSONB,  -- loan, chargeback, etc.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vat_patterns        JSONB,  -- which VAT rates appear where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payout_formula      TEXT,   -- e.g. "revenue - fees - loans = payout"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typical_payout_day  INT,    -- day of month payout usually arrives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amount_range        JSONB,  -- { min, max, average }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Confidence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observed_count      INT DEFAULT 0,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confidence          DECIMAL(4,3) DEFAULT 0.0,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first_seen          DATE DEFAULT CURRENT_DATE,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last_seen           DATE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How Platform Behavior Is Learned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every successful settlement processing, the system extracts the structural pattern and stores it: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processed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Extract platform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Match to existing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If match: increment observed_count, update confidence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If no match: insert new pattern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After 3 observations of same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After 10 observations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How Learned Platform Behavior Is Used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new document arrives from a known platform (vendor_index match), the platform_behaviors record is loaded: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pb.* FROM platform_behaviors pb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pb.tenant_id = $1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pb.vendor_index_id = $2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pb.document_type = $3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pb.confidence &gt;= 0.85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 high-confidence pattern is found: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Solution Builder uses the stored voucher_structure directly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 AI needed to determine how many vouchers and what types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(Haiku) still verifies the amounts extracted from this specific document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Saves the expensive multi-voucher reasoning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how Lieferando, SumUp, HelloCash, and any future platform get handled after being seen 3+ times — the structural pattern is stored and reused.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BUSINESS INTELLIGENCE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Tenant-level learning. What does this business do? What are their typical expenses? This context shapes every AI call without consuming per-invoice tokens.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What Gets Learned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Stored in tenant_profiles.business_intelligence JSONB: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"primary_revenue_sources": ["lexware_sync", "lieferando", "sumup"],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"primary_expense_categories": [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"category": "Wareneinsatz Speisen", "rate": 0.45 },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"category": "Personalkosten", "rate": 0.28 },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"category": "Miete", "rate": 0.12 }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"known_platforms": ["lieferando", "sumup", "hellocash"],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"vat_regime_confirmed": "standard",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"has_active_loans": true,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"loan_vendors": ["sumup-limited"],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"avg_monthly_invoices": 147,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"avg_monthly_gross": 28500,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"high_value_threshold": 2000,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"settlement_expected_days": { "lieferando": 7, "sumup": 1 },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"last_updated": "2026-04-01"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How Business Intelligence Is Updated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updated on every invoice — that would be expensive. Updated in batch every 50 successful processings or at the end of each calendar month, whichever comes first.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Batch update trigger: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(processings_since_last_bi_update &gt;= 50) OR (last_bi_update &lt; start_of_month):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ENQUEUE bi_update_job for this tenant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The job runs in background: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Query last 3 months of processed vouchers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Recalculate expense distribution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 primary_revenue_sources ranking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Refresh avg_monthly_invoices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 known_platforms 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batch update ensures business intelligence stays fresh without adding overhead to every invoice processing path.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GOBD AUDIT TRAIL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immutable record of everything that has ever happened. GoBD (German bookkeeping law) requires every booking to be traceable. The audit_log is how we prove what happened, when, and why.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Immutability Enforcement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Enforced at the database level — not just by application convention.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audit_log (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PRIMARY KEY DEFAULT gen_random_uuid(),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tenant_id       UUID NOT NULL,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user_id         UUID,             -- null for system actions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document_id     UUID,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voucher_id      TEXT,             -- Lexware UUID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action_type     TEXT NOT NULL,    -- see action types below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before_state    JSONB,            -- state before this action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after_state     JSONB,            -- state after this action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ai_model        TEXT,             -- which model made this decision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ai_confidence   DECIMAL(4,3),     -- null if no AI involved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ai_reasoning    TEXT,             -- why AI made this decision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error_detail    JSONB,            -- if action failed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NOT NULL DEFAULT now()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IMMUTABILITY: deny UPDATE and DELETE at database level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RULE no_update_audit AS ON UPDATE TO audit_log DO INSTEAD NOTHING;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RULE no_delete_audit AS ON DELETE TO audit_log DO INSTEAD NOTHING;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Or use RLS / row-level security to enforce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Every Action Type Logged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2830"/>
        <w:gridCol w:w="4447"/>
      </w:tblGrid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Type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Written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Fields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DOCUMENT_RECEIVED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 at intake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file_hash, source, file_size, received_at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INTAKE_DUPLICATE_HASH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Layer 1 dedup match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original_document_id, file_hash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INTAKE_DUPLICATE_SEMANTIC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Layer 2 dedup match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original_document_id, match_criteria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VENDOR_MATCHED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vendor lookup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tier_used, confidence, match_method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VENDOR_NOT_FOUND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no vendor match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search_criteria, tier_reached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VENDOR_ENRICHED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Silent enrichment success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field_updated, new_value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EXTRACTION_COMPLETE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Gemini extraction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total_gross, line_item_count, model_used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EXTRACTION_FAILED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extraction fails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error_type, file_url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SOLVABILITY_AUTO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 routes auto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confidence_factors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SOLVABILITY_CLARIFICATION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 routes to exception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missing_pieces, questions_generated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SOLVABILITY_AMBIGUOUS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 cannot proceed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CATEGORY_ASSIGNED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each line item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category_id, method, confidence, reasoning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GWG_THRESHOLD_TRIGGERED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Capital asset check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net_amount, item_keywords, decision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MATH_VERIFIED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Math check passes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calculated_total, stated_total, difference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MATH_FAILED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Math check fails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calculated_total, stated_total, difference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RECONCILIATION_PASSED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Settlement balances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expected_payout, actual_payout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RECONCILIATION_FAILED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Settlement does not balance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discrepancy_amount, likely_cause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RECONCILIATION_SKIPPED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Simple invoice type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reason (invoice type)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VOUCHER_CREATED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Lexware API success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lexware_voucher_id, voucher_type, amount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VOUCHER_FAILED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Lexware API failure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error_code, payload_hash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CSV_GENERATED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Fallback path taken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file_url, csv_type, reason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EXCEPTION_CREATED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Cannot auto-process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trigger_reasons, questions_asked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CLARIFICATION_ASKED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Question sent to user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question_text, trigger_id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CLARIFICATION_RECEIVED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answered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answer_text, quality_score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WORKFLOW_RESUMED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clarification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which_context_injected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CORRECTION_APPLIED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corrects category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old_category, new_category, user_id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LEARNING_UPDATED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Post-success learning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what_changed, confidence_delta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WORKFLOW_COMPLETE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6 verified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all_voucher_ids, reconciliation_status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WORKFLOW_ESCALATED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3 failed rounds</w:t>
            </w:r>
          </w:p>
        </w:tc>
        <w:tc>
          <w:tcPr>
            <w:tcW w:type="dxa" w:w="4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THE LEARNING PIPELINE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Learning updates fire asynchronously after Phase 6 confirms success. They are never in the critical path of document processing. If learning fails, the document is still correctly processed — learning just retries later.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The Learning Trigger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After Phase 6 WORKFLOW_COMPLETE: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learningQueue.add("learning-update", {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tenantId,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documentId,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extractedData,    // the JSON from Gemini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vendorMatchId,    // which vendor_index record matched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categoriesUsed,   // { lineItemId: categoryId }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confidence,       // final confidence score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voucherStructure, // how many vouchers, what types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wasCorrection: false,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Returns immediately — does not wait for learning to complete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Parallel Learning Jobs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6"/>
      </w:tblGrid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JOB 1
Vendor Knowledge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Increment transaction_count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Recalculate confidence score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Update posting_rules if pattern changed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Regenerate behavior_summary (30 words)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Update last_transaction_date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JOB 2
Line Item Patterns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Embed each line item description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Check for near-duplicate (cosine &gt; 0.95)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If dup: increment occurrence_count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If new: insert with embedding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Never delete old patterns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5F6B"/>
                <w:sz w:val="19"/>
                <w:szCs w:val="19"/>
              </w:rPr>
              <w:t xml:space="preserve">JOB 3
Category Distribution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Upsert per category per vendor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Increment usage_count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Recalculate usage_rate for all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Update user_confirmed_ct if was correction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Update last_used date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JOB 4
Platform Behavior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Extract structural pattern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Match or create platform_behaviors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Increment observed_count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Update confidence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▸ Update payout timing patterns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four jobs run in parallel within the learning-update queue worker. Total learning time: ~500ms (mostly OpenAI embedding API call for Job 2).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Learning Error Handling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any learning job fails, it retries automatically (up to 3 times). Failed learning does NOT affect the document processing result — the voucher is already in Lexware. Learning failure is a background concern.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Embedding API failure: retry in 60s. After 3 failures: skip embedding for this document, do not fail processing.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Database write failure: retry in 30s with backoff.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After 3 learning failures for same document: log warning, skip, continue.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CONFLICT RESOLUTION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mutable operational knowledge and the immutable audit trail are different systems. They can never conflict because they answer different questions. But there is one scenario that requires careful handling: corrections.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When a User Corrects a Category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looks at a posted voucher and says "this should be Frachtkosten, not Sonstige Kosten."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 makes correction in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CORRECTION_APPLIED written to audit_log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New audit entry alongside old 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Operational knowledge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Line item pattern updated (if high confidence)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Voucher updated in Lexware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 log: VOUCHER_UPDATED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Critically: the original audit entry is never modified. A tax inspector can see both the original AI decision AND the human correction with full attribution.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User Trust Hierarchy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operational knowledge conflicts with a user correction, the user always wins: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021"/>
        <w:gridCol w:w="2527"/>
        <w:gridCol w:w="3032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Level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Boost</w:t>
            </w:r>
          </w:p>
        </w:tc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 Permitted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(Haiku)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1× weight</w:t>
            </w:r>
          </w:p>
        </w:tc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— suggestions only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(Sonnet)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Elevated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1× weight</w:t>
            </w:r>
          </w:p>
        </w:tc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— suggestions only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(initial sync)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Trusted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1× weight</w:t>
            </w:r>
          </w:p>
        </w:tc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— base knowledge only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 user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3× weight</w:t>
            </w:r>
          </w:p>
        </w:tc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can override AI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/ Admin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Highest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5× weight</w:t>
            </w:r>
          </w:p>
        </w:tc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can override everything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Steuerberater role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Highest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5× weight</w:t>
            </w:r>
          </w:p>
        </w:tc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— professional judgment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COMPLETE DATABASE SCHEMA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All Learning and Audit Tables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2223"/>
        <w:gridCol w:w="2527"/>
        <w:gridCol w:w="2527"/>
      </w:tblGrid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Count Estimate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Index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vendor_index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100-500 per tenant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vat_id_aliases (GIN), name_normalized (pg_trgm), name_embedding (HNSW)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Indefinite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line_item_patterns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500-5,000 per tenant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description_embedding (HNSW), (tenant_id, category_id)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Indefinite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category_distribution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200-2,000 per tenant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(tenant_id, vendor_index_id, category_id)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Indefinite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platform_behaviors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10-50 per tenant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(tenant_id, vendor_index_id, document_type)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Indefinite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audit_log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100-1,000 per month per tenant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tenant_id, document_id, created_at (BRIN)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years (GoBD)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clarification_sessions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Varies — cleared on resolution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workflow_run_id, trigger_id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years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workflow_runs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per document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tenant_id, status, created_at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years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processed_lexware_vouchers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per Lexware-synced doc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(tenant_id, lexware_voucher_id)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years</w:t>
            </w:r>
          </w:p>
        </w:tc>
      </w:tr>
      <w:tr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usage_events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per processed doc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(tenant_id, period_month)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years (billing)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TOKEN ECONOMICS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Learning directly reduces AI costs over time. Here is the actual progression for a restaurant processing 150 invoices per month.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2"/>
        <w:gridCol w:w="1718"/>
        <w:gridCol w:w="1718"/>
        <w:gridCol w:w="1718"/>
        <w:gridCol w:w="1718"/>
      </w:tblGrid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6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12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confidence ≥ 0.85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55%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92%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Zero-AI-needed invoices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55%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92%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Sonnet calls per month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Haiku calls per month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Flash calls per month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AI cost per month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~€1.20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~€0.65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~€0.40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~€0.28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per invoice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€0.008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€0.004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€0.003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€0.002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Gemini Flash cost (PDF extraction) is fixed — it runs for every invoice regardless of vendor knowledge. This is the irreducible baseline. Everything above that (vendor confirmation, category reasoning) reduces as the system learns.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month 12, a restaurant on the €19/month Solo plan generates approximately €0.28 in AI costs. Gross margin on AI: 98.5%.</w:t>
      </w:r>
    </w:p>
    <w:p>
      <w:r>
        <w:br w:type="page"/>
      </w:r>
    </w:p>
    <w:sectPr>
      <w:head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Arial" w:cs="Arial" w:eastAsia="Arial" w:hAnsi="Arial"/>
        <w:color w:val="595959"/>
        <w:sz w:val="16"/>
        <w:szCs w:val="16"/>
      </w:rPr>
      <w:t xml:space="preserve">LexwareAI — Document 3 of 4 — Learning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2026-05-21T12:48:07.678Z</dcterms:created>
  <dcterms:modified xsi:type="dcterms:W3CDTF">2026-05-21T12:48:07.678Z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