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Resource-Allocation Playbook — Flood-Relief Kits, Coastal Odisha</w:t>
      </w:r>
    </w:p>
    <w:p>
      <w:pPr>
        <w:spacing w:after="120"/>
      </w:pPr>
      <w:r>
        <w:rPr>
          <w:i/>
          <w:iCs/>
          <w:color w:val="595959"/>
          <w:sz w:val="19"/>
          <w:szCs w:val="19"/>
        </w:rPr>
        <w:t xml:space="preserve">For NGO operations managers &amp; district disaster cells. Pairs with the Flood-Relief Demand Forecast dashboard (7/14/30-day relief-kit forecasts for Puri, Ganjam, Kendrapara, Balasore, Jagatsinghpur, Bhadrak and Khordha).</w:t>
      </w:r>
    </w:p>
    <w:p>
      <w:pPr>
        <w:pStyle w:val="Heading2"/>
      </w:pPr>
      <w:r>
        <w:t xml:space="preserve">1. Decision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500"/>
        <w:gridCol w:w="45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 condition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WATCH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Gauge below danger mark; forecast rainfall within seasonal baseline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Confirm warehouse stock levels against forecast lower bound. No movement.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ALERT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Forecast rainfall &gt; 50 mm/day OR rising river-gauge trend over 7 days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Move the 10th-percentile (lower-bound) quantity to the nearest taluk-level staging point within 48 hours.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River gauge at/above danger mark OR cyclone warning issued for the district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Dispatch the 90th-percentile (upper-bound) quantity to flood-shelter network immediately; activate NGO field teams.</w:t>
            </w:r>
          </w:p>
        </w:tc>
      </w:tr>
    </w:tbl>
    <w:p>
      <w:pPr>
        <w:pStyle w:val="Heading2"/>
      </w:pPr>
      <w:r>
        <w:t xml:space="preserve">2. Relief-Kit Composition (SPHERE-aligned minimums)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Supply item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Quantity per relief kit (per person / 3 days)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Drinking water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 litres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Dry-ration family pack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pack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ORS sachets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sachets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Tarpaulin sheet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0.25 sheet (1 per ~4 kits)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Medical-kit unit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0.1 unit (1 per ~10 kits)</w:t>
            </w:r>
          </w:p>
        </w:tc>
      </w:tr>
    </w:tbl>
    <w:p>
      <w:pPr>
        <w:pStyle w:val="Heading2"/>
      </w:pPr>
      <w:r>
        <w:t xml:space="preserve">3. Weekly Operating Rhythm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Every Monday, pull the latest IMD 7-day rainfall outlook and CWC river-gauge bulletin for each district and enter them into the dashboard's Scenario Simulator.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Compare the predicted demand range to current warehouse stock; raise procurement/transfer requests for any shortfall versus the lower (10th-percentile) bound.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If any district crosses into the ACTION tier, escalate to the state-level NGO network for surge stock from neighbouring lower-need districts — use the dashboard's ranked district map to identify donor districts.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After each relief event, log actual kit consumption and feed it back into the model's training data monthly to keep demand-trend features current.</w:t>
      </w:r>
    </w:p>
    <w:p>
      <w:pPr>
        <w:pStyle w:val="Heading2"/>
      </w:pPr>
      <w:r>
        <w:t xml:space="preserve">4. Handling Data Gaps in Remote Districts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If live IMD rainfall or CWC gauge feeds are unavailable for a district, substitute the regional average of neighbouring coastal districts.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The model already encodes district-level population density and road-accessibility priors, so it degrades gracefully rather than failing outright when live inputs are missing.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Flag any district running on substituted inputs in the weekly report so coordinators apply extra judgement.</w:t>
      </w:r>
    </w:p>
    <w:p>
      <w:pPr>
        <w:pStyle w:val="Heading2"/>
      </w:pPr>
      <w:r>
        <w:t xml:space="preserve">5. Communicating Uncertainty to Relief Coordinators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Always quote the 10th-90th percentile RANGE, never a single number.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Framing for a yes/no decision: “plan to move the lower-bound quantity now; hold the difference up to the upper bound in reserve at the nearest staging hub.”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If the range is wide (low model confidence), treat that itself as a signal — prioritise getting better local rainfall/gauge data for that district before the next cycle.</w:t>
      </w:r>
    </w:p>
    <w:p>
      <w:pPr>
        <w:pBdr>
          <w:top w:val="single" w:color="BFBFBF" w:sz="6" w:space="4"/>
        </w:pBdr>
        <w:spacing w:before="200"/>
      </w:pPr>
      <w:r>
        <w:rPr>
          <w:i/>
          <w:iCs/>
          <w:color w:val="808080"/>
          <w:sz w:val="16"/>
          <w:szCs w:val="16"/>
        </w:rPr>
        <w:t xml:space="preserve">Reference: SPHERE Handbook (Humanitarian Charter and Minimum Standards) for per-capita supply norms. Data sources for live deployment: data.gov.in, NDMA incident database, IMD, Bhuvan (ISRO), OpenStreetMap, SEDAC population grids.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2026-06-13T05:09:15.695Z</dcterms:created>
  <dcterms:modified xsi:type="dcterms:W3CDTF">2026-06-13T05:09:15.695Z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