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092B1B" w14:textId="77777777" w:rsidR="00DC6930" w:rsidRPr="00DC6930" w:rsidRDefault="00DC6930" w:rsidP="00DC6930">
      <w:r w:rsidRPr="00DC6930">
        <w:t>Free registered users are granted access to five stock reports per month to maintain ongoing site engagement, but critical analytical details remain gated to drive subscriptions.</w:t>
      </w:r>
    </w:p>
    <w:p w14:paraId="60C75E48" w14:textId="77777777" w:rsidR="00DC6930" w:rsidRPr="00DC6930" w:rsidRDefault="00DC6930" w:rsidP="00DC6930">
      <w:r w:rsidRPr="00DC6930">
        <w:t>For recent analyst actions, the overall consensus direction—such as a "Strong Buy" tag—is displayed, but the exact target price and "Raised" status metrics are hidden.</w:t>
      </w:r>
    </w:p>
    <w:p w14:paraId="5B78E831" w14:textId="77777777" w:rsidR="00DC6930" w:rsidRPr="00DC6930" w:rsidRDefault="00DC6930" w:rsidP="00DC6930">
      <w:r w:rsidRPr="00DC6930">
        <w:t>The top analyst coverage section reveals analyst names and star ratings while blurring their bullish case breakdowns.</w:t>
      </w:r>
    </w:p>
    <w:p w14:paraId="48707931" w14:textId="77777777" w:rsidR="00DC6930" w:rsidRPr="00DC6930" w:rsidRDefault="00DC6930" w:rsidP="00DC6930">
      <w:r w:rsidRPr="00DC6930">
        <w:t>Within the research briefings, free users can read the first two lines of the summary before the rest of the text, key risks to monitor, and upcoming catalyst sections are cut off.</w:t>
      </w:r>
    </w:p>
    <w:p w14:paraId="1DE61B07" w14:textId="77777777" w:rsidR="00DC6930" w:rsidRPr="00DC6930" w:rsidRDefault="00DC6930" w:rsidP="00DC6930">
      <w:r w:rsidRPr="00DC6930">
        <w:t>In the coverage details, the bullish thesis is obscured, while the insider and institutional tracking sections block out detailed trade logs and exact dollar amounts.</w:t>
      </w:r>
    </w:p>
    <w:p w14:paraId="1FA7A74C" w14:textId="77777777" w:rsidR="00DC6930" w:rsidRPr="00DC6930" w:rsidRDefault="00DC6930" w:rsidP="00DC6930">
      <w:r w:rsidRPr="00DC6930">
        <w:t>Crucially, all blurred content is secured on the backend by replacing sensitive values with dummy placeholders—such as $$$.$$—to prevent technical users from bypassing the paywall via browser developer tools.</w:t>
      </w:r>
    </w:p>
    <w:p w14:paraId="7DC9DA95" w14:textId="77777777" w:rsidR="00DC6930" w:rsidRPr="00DC6930" w:rsidRDefault="00DC6930" w:rsidP="00DC6930">
      <w:r w:rsidRPr="00DC6930">
        <w:t>To maximize conversions, locked content is paired with clear "</w:t>
      </w:r>
      <w:r w:rsidRPr="00DC6930">
        <w:rPr>
          <w:rFonts w:ascii="Segoe UI Emoji" w:hAnsi="Segoe UI Emoji" w:cs="Segoe UI Emoji"/>
        </w:rPr>
        <w:t>🔒</w:t>
      </w:r>
      <w:r w:rsidRPr="00DC6930">
        <w:t xml:space="preserve"> Unlock Full Analyst Briefing ($7/mo)" call-to-action buttons.</w:t>
      </w:r>
    </w:p>
    <w:p w14:paraId="43D38D60" w14:textId="77777777" w:rsidR="00DC6930" w:rsidRPr="00DC6930" w:rsidRDefault="00DC6930" w:rsidP="00DC6930">
      <w:r w:rsidRPr="00DC6930">
        <w:t>Pro users unlocking the $7/month tier receive full access to unblurred metrics alongside automated real-time email alerts, which notify them instantly whenever a top-rated analyst upgrades a stock, modifies a target price, or when significant insider transactions occur on their watched tickers.</w:t>
      </w:r>
    </w:p>
    <w:p w14:paraId="66BAA6DD" w14:textId="77777777" w:rsidR="00DC6930" w:rsidRDefault="00DC6930" w:rsidP="00DC6930">
      <w:r>
        <w:t xml:space="preserve">Build a simple login-gated paywall for stock reports. </w:t>
      </w:r>
    </w:p>
    <w:p w14:paraId="21A06286" w14:textId="77777777" w:rsidR="00DC6930" w:rsidRDefault="00DC6930" w:rsidP="00DC6930"/>
    <w:p w14:paraId="20F07A49" w14:textId="77777777" w:rsidR="00DC6930" w:rsidRDefault="00DC6930" w:rsidP="00DC6930">
      <w:r>
        <w:t>Key Requirements:</w:t>
      </w:r>
    </w:p>
    <w:p w14:paraId="4490008F" w14:textId="77777777" w:rsidR="00DC6930" w:rsidRDefault="00DC6930" w:rsidP="00DC6930">
      <w:r>
        <w:t>1. Public Page View: Guests (not logged in) can see basic stock details (Ticker, Analyst Name, Firm, Consensus "Strong Buy" tag), but the target price and report summaries must be hidden/blurred.</w:t>
      </w:r>
    </w:p>
    <w:p w14:paraId="63725712" w14:textId="77777777" w:rsidR="00DC6930" w:rsidRDefault="00DC6930" w:rsidP="00DC6930">
      <w:r>
        <w:t>2. Login Gate: When an unauthenticated user clicks "View Full Analyst Report", block access and open a modal: "Sign in to view full report. Create a free account to unlock 5 free reports every month."</w:t>
      </w:r>
    </w:p>
    <w:p w14:paraId="348347AC" w14:textId="77777777" w:rsidR="00DC6930" w:rsidRDefault="00DC6930" w:rsidP="00DC6930">
      <w:r>
        <w:t>3. User Authentication: Connect the modal to the existing authentication system to log users in or sign them up.</w:t>
      </w:r>
    </w:p>
    <w:p w14:paraId="2B616E2C" w14:textId="77777777" w:rsidR="00DC6930" w:rsidRDefault="00DC6930" w:rsidP="00DC6930">
      <w:r>
        <w:lastRenderedPageBreak/>
        <w:t>4. Free Registered Tier: Once logged in, allow users to view up to 5 full reports per month. Track their monthly view count in the database.</w:t>
      </w:r>
    </w:p>
    <w:p w14:paraId="53CC5BE9" w14:textId="77777777" w:rsidR="00DC6930" w:rsidRDefault="00DC6930" w:rsidP="00DC6930">
      <w:r>
        <w:t>5. Paywall / Blurred Content: For free registered users, unblur basic report data up to their limit, but replace sensitive Pro data (exact target prices like $$$.$$ and key risk factors) with dummy backend placeholders to prevent dev-tools inspection.</w:t>
      </w:r>
    </w:p>
    <w:p w14:paraId="290264BE" w14:textId="61EECFE3" w:rsidR="00DC6930" w:rsidRDefault="00DC6930" w:rsidP="00DC6930">
      <w:r>
        <w:t>6. Pro Upgrade CTA: Place a clear upgrade button on blurred sections: "</w:t>
      </w:r>
      <w:r>
        <w:rPr>
          <w:rFonts w:ascii="Segoe UI Emoji" w:hAnsi="Segoe UI Emoji" w:cs="Segoe UI Emoji"/>
        </w:rPr>
        <w:t>🔒</w:t>
      </w:r>
      <w:r>
        <w:t xml:space="preserve"> Unlock Full Analyst Briefing ($7/mo)" linking to the existing payment checkout flow.</w:t>
      </w:r>
    </w:p>
    <w:p w14:paraId="2B17FBA4" w14:textId="77777777" w:rsidR="00252BF1" w:rsidRDefault="00252BF1" w:rsidP="00DC6930"/>
    <w:p w14:paraId="469966C8" w14:textId="77777777" w:rsidR="00252BF1" w:rsidRDefault="00252BF1" w:rsidP="00252BF1">
      <w:r>
        <w:t>DISCLAIMER OF WARRANTIES AND LIMITATION OF LIABILITY</w:t>
      </w:r>
    </w:p>
    <w:p w14:paraId="1D48BD6F" w14:textId="77777777" w:rsidR="00252BF1" w:rsidRDefault="00252BF1" w:rsidP="00252BF1">
      <w:r>
        <w:t>1. NOT FINANCIAL ADVICE: All content, data, analyst ratings, target prices, and research metrics provided on this platform are for educational and informational purposes only. Nothing contained herein constitutes investment, legal, tax, or financial advice. We are not a SEBI, SEC, or FINRA-registered Investment Advisor or Broker-Dealer.</w:t>
      </w:r>
    </w:p>
    <w:p w14:paraId="04111068" w14:textId="77777777" w:rsidR="00252BF1" w:rsidRDefault="00252BF1" w:rsidP="00252BF1">
      <w:r>
        <w:t>2. ACCURACY &amp; "AS IS" DATA: Data is aggregated from third-party public sources and financial APIs. We make no representations or warranties, express or implied, regarding the accuracy, completeness, timeliness, or reliability of any rating, price target, or calculation. Data may contain errors, omissions, or delay-induced false results.</w:t>
      </w:r>
    </w:p>
    <w:p w14:paraId="6293BD32" w14:textId="77777777" w:rsidR="00252BF1" w:rsidRDefault="00252BF1" w:rsidP="00252BF1">
      <w:r>
        <w:t>3. USER RESPONSIBILITY: Past performance of analysts, algorithms, or stocks is no guarantee of future returns. You assume full risk for any financial or investment decisions you make. Always conduct independent research and consult a licensed financial advisor before making any investment decisions.</w:t>
      </w:r>
    </w:p>
    <w:p w14:paraId="54430F56" w14:textId="76BADEF9" w:rsidR="00252BF1" w:rsidRDefault="00252BF1" w:rsidP="00252BF1">
      <w:r>
        <w:t>4. LIMITATION OF LIABILITY: In no event shall the platform, its operators, or affiliates be liable for any direct, indirect, incidental, or consequential financial losses or damages resulting from the use of, or inability to use, the information provided.</w:t>
      </w:r>
    </w:p>
    <w:p w14:paraId="4569FD73" w14:textId="77777777" w:rsidR="00252BF1" w:rsidRDefault="00252BF1" w:rsidP="00252BF1"/>
    <w:p w14:paraId="1831BD58" w14:textId="77777777" w:rsidR="00252BF1" w:rsidRDefault="00252BF1" w:rsidP="00252BF1">
      <w:r>
        <w:t>Build Social Login &amp; Authentication Gate.</w:t>
      </w:r>
    </w:p>
    <w:p w14:paraId="47398CBE" w14:textId="77777777" w:rsidR="00252BF1" w:rsidRDefault="00252BF1" w:rsidP="00252BF1"/>
    <w:p w14:paraId="05D94293" w14:textId="77777777" w:rsidR="00252BF1" w:rsidRDefault="00252BF1" w:rsidP="00252BF1">
      <w:r>
        <w:t>Tasks:</w:t>
      </w:r>
    </w:p>
    <w:p w14:paraId="7ADBA3F1" w14:textId="77777777" w:rsidR="00252BF1" w:rsidRDefault="00252BF1" w:rsidP="00252BF1">
      <w:r>
        <w:t>1. Social Auth Configuration: Configure Google and Apple OAuth inside the existing authentication provider.</w:t>
      </w:r>
    </w:p>
    <w:p w14:paraId="572D4AA3" w14:textId="77777777" w:rsidR="00252BF1" w:rsidRDefault="00252BF1" w:rsidP="00252BF1">
      <w:r>
        <w:lastRenderedPageBreak/>
        <w:t>2. Sign-In Modal: Add "Continue with Google" and "Continue with Apple" buttons to the main authentication modal alongside standard email sign-up.</w:t>
      </w:r>
    </w:p>
    <w:p w14:paraId="7F95333E" w14:textId="77777777" w:rsidR="00252BF1" w:rsidRDefault="00252BF1" w:rsidP="00252BF1">
      <w:r>
        <w:t>3. User Session Management: When a user successfully authenticates via social login, automatically create their account profile in the database and assign them to the default 'Free Registered' tier (5 monthly reports).</w:t>
      </w:r>
    </w:p>
    <w:p w14:paraId="71C02795" w14:textId="19DBBE2C" w:rsidR="00252BF1" w:rsidRDefault="00252BF1" w:rsidP="00252BF1">
      <w:r>
        <w:t>4. Redirect Flow: After a successful login, automatically close the modal and refresh the current page state to unlock the user's report access without losing their position on the site.</w:t>
      </w:r>
    </w:p>
    <w:p w14:paraId="1B445432" w14:textId="77777777" w:rsidR="00252BF1" w:rsidRDefault="00252BF1" w:rsidP="00252BF1"/>
    <w:p w14:paraId="446CFF9A" w14:textId="77777777" w:rsidR="00252BF1" w:rsidRDefault="00252BF1" w:rsidP="00252BF1">
      <w:r>
        <w:t>Build Stripe Subscription Checkout &amp; Access Flow.</w:t>
      </w:r>
    </w:p>
    <w:p w14:paraId="24967E21" w14:textId="77777777" w:rsidR="00252BF1" w:rsidRDefault="00252BF1" w:rsidP="00252BF1"/>
    <w:p w14:paraId="3C7180E5" w14:textId="77777777" w:rsidR="00252BF1" w:rsidRDefault="00252BF1" w:rsidP="00252BF1">
      <w:r>
        <w:t>Tasks:</w:t>
      </w:r>
    </w:p>
    <w:p w14:paraId="696AA0EA" w14:textId="77777777" w:rsidR="00252BF1" w:rsidRDefault="00252BF1" w:rsidP="00252BF1">
      <w:r>
        <w:t>1. Stripe Setup: Initialize the official Stripe SDK on the backend and create a recurring $7/month product tier.</w:t>
      </w:r>
    </w:p>
    <w:p w14:paraId="3AAC150A" w14:textId="77777777" w:rsidR="00252BF1" w:rsidRDefault="00252BF1" w:rsidP="00252BF1">
      <w:r>
        <w:t>2. Checkout API Endpoint: Create a secure backend route (/api/checkout) that generates a Stripe Checkout Session using the logged-in user's account ID.</w:t>
      </w:r>
    </w:p>
    <w:p w14:paraId="76AFE6EA" w14:textId="77777777" w:rsidR="00252BF1" w:rsidRDefault="00252BF1" w:rsidP="00252BF1">
      <w:r>
        <w:t>3. Upgrade Call-to-Action: Connect all locked UI elements ("</w:t>
      </w:r>
      <w:r>
        <w:rPr>
          <w:rFonts w:ascii="Segoe UI Emoji" w:hAnsi="Segoe UI Emoji" w:cs="Segoe UI Emoji"/>
        </w:rPr>
        <w:t>🔒</w:t>
      </w:r>
      <w:r>
        <w:t xml:space="preserve"> Unlock Full Analyst Briefing ($7/mo)") so that clicking them initiates the checkout redirect.</w:t>
      </w:r>
    </w:p>
    <w:p w14:paraId="553A8762" w14:textId="77777777" w:rsidR="00252BF1" w:rsidRDefault="00252BF1" w:rsidP="00252BF1">
      <w:r>
        <w:t>4. Webhook Listener: Build a server webhook endpoint (/api/webhooks/stripe) that listens for the 'checkout.session.completed' and 'customer.subscription.deleted' events.</w:t>
      </w:r>
    </w:p>
    <w:p w14:paraId="77096AA5" w14:textId="4168957D" w:rsidR="00252BF1" w:rsidRDefault="00252BF1" w:rsidP="00252BF1">
      <w:r>
        <w:t>5. Permission Sync: When a successful payment webhook event is received, automatically update the user's subscription status in the database to 'Pro' to unblur all data. If a subscription cancels or fails, revert their account status back to 'Free'.</w:t>
      </w:r>
    </w:p>
    <w:sectPr w:rsidR="00252BF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6930"/>
    <w:rsid w:val="00252BF1"/>
    <w:rsid w:val="0035050D"/>
    <w:rsid w:val="005F2A8B"/>
    <w:rsid w:val="00DC6930"/>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135F10"/>
  <w15:chartTrackingRefBased/>
  <w15:docId w15:val="{D9E6B0A2-4B00-41FF-A373-D3A5ED7EF8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693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C693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C693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C693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C693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C69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69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69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69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693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C693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C693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C693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C693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C69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69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69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6930"/>
    <w:rPr>
      <w:rFonts w:eastAsiaTheme="majorEastAsia" w:cstheme="majorBidi"/>
      <w:color w:val="272727" w:themeColor="text1" w:themeTint="D8"/>
    </w:rPr>
  </w:style>
  <w:style w:type="paragraph" w:styleId="Title">
    <w:name w:val="Title"/>
    <w:basedOn w:val="Normal"/>
    <w:next w:val="Normal"/>
    <w:link w:val="TitleChar"/>
    <w:uiPriority w:val="10"/>
    <w:qFormat/>
    <w:rsid w:val="00DC69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69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69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69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6930"/>
    <w:pPr>
      <w:spacing w:before="160"/>
      <w:jc w:val="center"/>
    </w:pPr>
    <w:rPr>
      <w:i/>
      <w:iCs/>
      <w:color w:val="404040" w:themeColor="text1" w:themeTint="BF"/>
    </w:rPr>
  </w:style>
  <w:style w:type="character" w:customStyle="1" w:styleId="QuoteChar">
    <w:name w:val="Quote Char"/>
    <w:basedOn w:val="DefaultParagraphFont"/>
    <w:link w:val="Quote"/>
    <w:uiPriority w:val="29"/>
    <w:rsid w:val="00DC6930"/>
    <w:rPr>
      <w:i/>
      <w:iCs/>
      <w:color w:val="404040" w:themeColor="text1" w:themeTint="BF"/>
    </w:rPr>
  </w:style>
  <w:style w:type="paragraph" w:styleId="ListParagraph">
    <w:name w:val="List Paragraph"/>
    <w:basedOn w:val="Normal"/>
    <w:uiPriority w:val="34"/>
    <w:qFormat/>
    <w:rsid w:val="00DC6930"/>
    <w:pPr>
      <w:ind w:left="720"/>
      <w:contextualSpacing/>
    </w:pPr>
  </w:style>
  <w:style w:type="character" w:styleId="IntenseEmphasis">
    <w:name w:val="Intense Emphasis"/>
    <w:basedOn w:val="DefaultParagraphFont"/>
    <w:uiPriority w:val="21"/>
    <w:qFormat/>
    <w:rsid w:val="00DC6930"/>
    <w:rPr>
      <w:i/>
      <w:iCs/>
      <w:color w:val="0F4761" w:themeColor="accent1" w:themeShade="BF"/>
    </w:rPr>
  </w:style>
  <w:style w:type="paragraph" w:styleId="IntenseQuote">
    <w:name w:val="Intense Quote"/>
    <w:basedOn w:val="Normal"/>
    <w:next w:val="Normal"/>
    <w:link w:val="IntenseQuoteChar"/>
    <w:uiPriority w:val="30"/>
    <w:qFormat/>
    <w:rsid w:val="00DC693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C6930"/>
    <w:rPr>
      <w:i/>
      <w:iCs/>
      <w:color w:val="0F4761" w:themeColor="accent1" w:themeShade="BF"/>
    </w:rPr>
  </w:style>
  <w:style w:type="character" w:styleId="IntenseReference">
    <w:name w:val="Intense Reference"/>
    <w:basedOn w:val="DefaultParagraphFont"/>
    <w:uiPriority w:val="32"/>
    <w:qFormat/>
    <w:rsid w:val="00DC693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2002</TotalTime>
  <Pages>3</Pages>
  <Words>818</Words>
  <Characters>4664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jay a</dc:creator>
  <cp:keywords/>
  <dc:description/>
  <cp:lastModifiedBy>jay a</cp:lastModifiedBy>
  <cp:revision>1</cp:revision>
  <dcterms:created xsi:type="dcterms:W3CDTF">2026-09-06T07:48:00Z</dcterms:created>
  <dcterms:modified xsi:type="dcterms:W3CDTF">2026-09-07T17:10:00Z</dcterms:modified>
</cp:coreProperties>
</file>