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4E79"/>
          <w:sz w:val="44"/>
          <w:szCs w:val="44"/>
        </w:rPr>
        <w:t xml:space="preserve">Predictive Maintenance using MLOps</w:t>
      </w:r>
    </w:p>
    <w:p>
      <w:pPr>
        <w:spacing w:after="600" w:before="200"/>
        <w:jc w:val="center"/>
      </w:pPr>
      <w:r>
        <w:rPr>
          <w:i/>
          <w:iCs/>
          <w:color w:val="555555"/>
          <w:sz w:val="26"/>
          <w:szCs w:val="26"/>
        </w:rPr>
        <w:t xml:space="preserve">An End-to-End Machine Learning Operations Pipeline on the AI4I 2020 Dataset</w:t>
      </w:r>
    </w:p>
    <w:p>
      <w:pPr>
        <w:spacing w:after="100"/>
        <w:jc w:val="center"/>
      </w:pPr>
      <w:r>
        <w:rPr>
          <w:sz w:val="22"/>
          <w:szCs w:val="22"/>
        </w:rPr>
        <w:t xml:space="preserve">MLOps Course End-Term Project — Technical Report (Initial / In-Progress Draft)</w:t>
      </w:r>
    </w:p>
    <w:p>
      <w:pPr>
        <w:spacing w:after="100"/>
        <w:jc w:val="center"/>
      </w:pPr>
      <w:r>
        <w:rPr>
          <w:sz w:val="22"/>
          <w:szCs w:val="22"/>
        </w:rPr>
        <w:t xml:space="preserve">Team Members: [Name 1], [Name 2], [Name 3]</w:t>
      </w:r>
    </w:p>
    <w:p>
      <w:pPr>
        <w:spacing w:after="100"/>
        <w:jc w:val="center"/>
      </w:pPr>
      <w:r>
        <w:rPr>
          <w:sz w:val="22"/>
          <w:szCs w:val="22"/>
        </w:rPr>
        <w:t xml:space="preserve">Date: [Insert Date]</w:t>
      </w:r>
    </w:p>
    <w:p>
      <w:r>
        <w:br w:type="page"/>
      </w:r>
    </w:p>
    <w:p>
      <w:pPr>
        <w:pStyle w:val="Heading1"/>
        <w:spacing w:after="160" w:before="320"/>
      </w:pPr>
      <w:r>
        <w:rPr>
          <w:b/>
          <w:bCs/>
          <w:color w:val="1F4E79"/>
          <w:sz w:val="28"/>
          <w:szCs w:val="28"/>
        </w:rPr>
        <w:t xml:space="preserve">1. Problem Statement</w:t>
      </w:r>
    </w:p>
    <w:p>
      <w:pPr>
        <w:spacing w:after="160" w:line="276"/>
      </w:pPr>
      <w:r>
        <w:rPr>
          <w:sz w:val="22"/>
          <w:szCs w:val="22"/>
        </w:rPr>
        <w:t xml:space="preserve">Unplanned equipment failure is one of the leading causes of production downtime and cost overrun in manufacturing environments. Traditional maintenance strategies are either reactive (repair after failure, causing costly downtime) or scheduled (periodic maintenance regardless of actual machine condition, wasting resources on healthy equipment). Predictive maintenance addresses this gap by using sensor telemetry to forecast failures before they occur, allowing maintenance to be scheduled precisely when needed.</w:t>
      </w:r>
    </w:p>
    <w:p>
      <w:pPr>
        <w:spacing w:after="160" w:line="276"/>
      </w:pPr>
      <w:r>
        <w:rPr>
          <w:sz w:val="22"/>
          <w:szCs w:val="22"/>
        </w:rPr>
        <w:t xml:space="preserve">This project builds a production-style machine learning system that predicts whether an industrial machine will fail, based on real-time process parameters such as air temperature, process temperature, rotational speed, torque, and tool wear. Beyond model accuracy, the project's core objective is to operationalize the full lifecycle of this model — automated data ingestion, validation, feature engineering, experiment tracking, versioning, containerized deployment, monitoring, and continuous retraining — following MLOps best practices, so the system is reproducible, observable, and maintainable in a production setting.</w:t>
      </w:r>
    </w:p>
    <w:p>
      <w:pPr>
        <w:spacing w:after="160" w:line="276"/>
      </w:pPr>
      <w:r>
        <w:rPr>
          <w:sz w:val="22"/>
          <w:szCs w:val="22"/>
        </w:rPr>
        <w:t xml:space="preserve">Project Objectives:</w:t>
      </w:r>
    </w:p>
    <w:p>
      <w:pPr>
        <w:pStyle w:val="ListParagraph"/>
        <w:numPr>
          <w:ilvl w:val="0"/>
          <w:numId w:val="2"/>
        </w:numPr>
        <w:spacing w:after="80"/>
      </w:pPr>
      <w:r>
        <w:rPr>
          <w:sz w:val="22"/>
          <w:szCs w:val="22"/>
        </w:rPr>
        <w:t xml:space="preserve">Build an automated, orchestrated data pipeline that ingests and validates raw sensor data.</w:t>
      </w:r>
    </w:p>
    <w:p>
      <w:pPr>
        <w:pStyle w:val="ListParagraph"/>
        <w:numPr>
          <w:ilvl w:val="0"/>
          <w:numId w:val="2"/>
        </w:numPr>
        <w:spacing w:after="80"/>
      </w:pPr>
      <w:r>
        <w:rPr>
          <w:sz w:val="22"/>
          <w:szCs w:val="22"/>
        </w:rPr>
        <w:t xml:space="preserve">Engineer features that capture the operating condition of the machine and address severe class imbalance in the failure label.</w:t>
      </w:r>
    </w:p>
    <w:p>
      <w:pPr>
        <w:pStyle w:val="ListParagraph"/>
        <w:numPr>
          <w:ilvl w:val="0"/>
          <w:numId w:val="2"/>
        </w:numPr>
        <w:spacing w:after="80"/>
      </w:pPr>
      <w:r>
        <w:rPr>
          <w:sz w:val="22"/>
          <w:szCs w:val="22"/>
        </w:rPr>
        <w:t xml:space="preserve">Train and compare multiple classification models to predict machine failure, tracked via MLflow.</w:t>
      </w:r>
    </w:p>
    <w:p>
      <w:pPr>
        <w:pStyle w:val="ListParagraph"/>
        <w:numPr>
          <w:ilvl w:val="0"/>
          <w:numId w:val="2"/>
        </w:numPr>
        <w:spacing w:after="80"/>
      </w:pPr>
      <w:r>
        <w:rPr>
          <w:sz w:val="22"/>
          <w:szCs w:val="22"/>
        </w:rPr>
        <w:t xml:space="preserve">Version datasets and models for full reproducibility using DVC.</w:t>
      </w:r>
    </w:p>
    <w:p>
      <w:pPr>
        <w:pStyle w:val="ListParagraph"/>
        <w:numPr>
          <w:ilvl w:val="0"/>
          <w:numId w:val="2"/>
        </w:numPr>
        <w:spacing w:after="80"/>
      </w:pPr>
      <w:r>
        <w:rPr>
          <w:sz w:val="22"/>
          <w:szCs w:val="22"/>
        </w:rPr>
        <w:t xml:space="preserve">Deploy the selected model as a containerized REST API for real-time inference.</w:t>
      </w:r>
    </w:p>
    <w:p>
      <w:pPr>
        <w:pStyle w:val="ListParagraph"/>
        <w:numPr>
          <w:ilvl w:val="0"/>
          <w:numId w:val="2"/>
        </w:numPr>
        <w:spacing w:after="80"/>
      </w:pPr>
      <w:r>
        <w:rPr>
          <w:sz w:val="22"/>
          <w:szCs w:val="22"/>
        </w:rPr>
        <w:t xml:space="preserve">Monitor the deployed system for performance degradation and data/prediction drift, with alerting.</w:t>
      </w:r>
    </w:p>
    <w:p>
      <w:pPr>
        <w:pStyle w:val="ListParagraph"/>
        <w:numPr>
          <w:ilvl w:val="0"/>
          <w:numId w:val="2"/>
        </w:numPr>
        <w:spacing w:after="80"/>
      </w:pPr>
      <w:r>
        <w:rPr>
          <w:sz w:val="22"/>
          <w:szCs w:val="22"/>
        </w:rPr>
        <w:t xml:space="preserve">Automate testing and deployment through a CI/CD pipeline.</w:t>
      </w:r>
    </w:p>
    <w:p>
      <w:pPr>
        <w:pStyle w:val="Heading1"/>
        <w:spacing w:after="160" w:before="320"/>
      </w:pPr>
      <w:r>
        <w:rPr>
          <w:b/>
          <w:bCs/>
          <w:color w:val="1F4E79"/>
          <w:sz w:val="28"/>
          <w:szCs w:val="28"/>
        </w:rPr>
        <w:t xml:space="preserve">2. Dataset Description</w:t>
      </w:r>
    </w:p>
    <w:p>
      <w:pPr>
        <w:spacing w:after="160" w:line="276"/>
      </w:pPr>
      <w:r>
        <w:rPr>
          <w:sz w:val="22"/>
          <w:szCs w:val="22"/>
        </w:rPr>
        <w:t xml:space="preserve">The project uses the AI4I 2020 Predictive Maintenance Dataset, a synthetic dataset published on the UCI Machine Learning Repository and Kaggle, designed to closely mirror real industrial sensor data and failure patterns.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DCE6F1" w:val="clear"/>
            <w:tcMar>
              <w:top w:type="dxa" w:w="80"/>
              <w:left w:type="dxa" w:w="120"/>
              <w:bottom w:type="dxa" w:w="80"/>
              <w:right w:type="dxa" w:w="120"/>
            </w:tcMar>
          </w:tcPr>
          <w:p>
            <w:r>
              <w:rPr>
                <w:b/>
                <w:bCs/>
                <w:sz w:val="20"/>
                <w:szCs w:val="20"/>
              </w:rPr>
              <w:t xml:space="preserve">Attribute</w:t>
            </w:r>
          </w:p>
        </w:tc>
        <w:tc>
          <w:tcPr>
            <w:tcW w:type="dxa" w:w="6200"/>
            <w:shd w:fill="DCE6F1" w:val="clear"/>
            <w:tcMar>
              <w:top w:type="dxa" w:w="80"/>
              <w:left w:type="dxa" w:w="120"/>
              <w:bottom w:type="dxa" w:w="80"/>
              <w:right w:type="dxa" w:w="120"/>
            </w:tcMar>
          </w:tcPr>
          <w:p>
            <w:r>
              <w:rPr>
                <w:b/>
                <w:bCs/>
                <w:sz w:val="20"/>
                <w:szCs w:val="20"/>
              </w:rPr>
              <w:t xml:space="preserve">Description</w:t>
            </w:r>
          </w:p>
        </w:tc>
      </w:tr>
      <w:tr>
        <w:tc>
          <w:tcPr>
            <w:tcW w:type="dxa" w:w="3200"/>
            <w:tcMar>
              <w:top w:type="dxa" w:w="80"/>
              <w:left w:type="dxa" w:w="120"/>
              <w:bottom w:type="dxa" w:w="80"/>
              <w:right w:type="dxa" w:w="120"/>
            </w:tcMar>
          </w:tcPr>
          <w:p>
            <w:r>
              <w:rPr>
                <w:b w:val="false"/>
                <w:bCs w:val="false"/>
                <w:sz w:val="20"/>
                <w:szCs w:val="20"/>
              </w:rPr>
              <w:t xml:space="preserve">Records</w:t>
            </w:r>
          </w:p>
        </w:tc>
        <w:tc>
          <w:tcPr>
            <w:tcW w:type="dxa" w:w="6200"/>
            <w:tcMar>
              <w:top w:type="dxa" w:w="80"/>
              <w:left w:type="dxa" w:w="120"/>
              <w:bottom w:type="dxa" w:w="80"/>
              <w:right w:type="dxa" w:w="120"/>
            </w:tcMar>
          </w:tcPr>
          <w:p>
            <w:r>
              <w:rPr>
                <w:b w:val="false"/>
                <w:bCs w:val="false"/>
                <w:sz w:val="20"/>
                <w:szCs w:val="20"/>
              </w:rPr>
              <w:t xml:space="preserve">10,000 data points</w:t>
            </w:r>
          </w:p>
        </w:tc>
      </w:tr>
      <w:tr>
        <w:tc>
          <w:tcPr>
            <w:tcW w:type="dxa" w:w="3200"/>
            <w:tcMar>
              <w:top w:type="dxa" w:w="80"/>
              <w:left w:type="dxa" w:w="120"/>
              <w:bottom w:type="dxa" w:w="80"/>
              <w:right w:type="dxa" w:w="120"/>
            </w:tcMar>
          </w:tcPr>
          <w:p>
            <w:r>
              <w:rPr>
                <w:b w:val="false"/>
                <w:bCs w:val="false"/>
                <w:sz w:val="20"/>
                <w:szCs w:val="20"/>
              </w:rPr>
              <w:t xml:space="preserve">Type</w:t>
            </w:r>
          </w:p>
        </w:tc>
        <w:tc>
          <w:tcPr>
            <w:tcW w:type="dxa" w:w="6200"/>
            <w:tcMar>
              <w:top w:type="dxa" w:w="80"/>
              <w:left w:type="dxa" w:w="120"/>
              <w:bottom w:type="dxa" w:w="80"/>
              <w:right w:type="dxa" w:w="120"/>
            </w:tcMar>
          </w:tcPr>
          <w:p>
            <w:r>
              <w:rPr>
                <w:b w:val="false"/>
                <w:bCs w:val="false"/>
                <w:sz w:val="20"/>
                <w:szCs w:val="20"/>
              </w:rPr>
              <w:t xml:space="preserve">Multivariate, tabular (synthetic but modeled on real industrial process data)</w:t>
            </w:r>
          </w:p>
        </w:tc>
      </w:tr>
      <w:tr>
        <w:tc>
          <w:tcPr>
            <w:tcW w:type="dxa" w:w="3200"/>
            <w:tcMar>
              <w:top w:type="dxa" w:w="80"/>
              <w:left w:type="dxa" w:w="120"/>
              <w:bottom w:type="dxa" w:w="80"/>
              <w:right w:type="dxa" w:w="120"/>
            </w:tcMar>
          </w:tcPr>
          <w:p>
            <w:r>
              <w:rPr>
                <w:b w:val="false"/>
                <w:bCs w:val="false"/>
                <w:sz w:val="20"/>
                <w:szCs w:val="20"/>
              </w:rPr>
              <w:t xml:space="preserve">Target</w:t>
            </w:r>
          </w:p>
        </w:tc>
        <w:tc>
          <w:tcPr>
            <w:tcW w:type="dxa" w:w="6200"/>
            <w:tcMar>
              <w:top w:type="dxa" w:w="80"/>
              <w:left w:type="dxa" w:w="120"/>
              <w:bottom w:type="dxa" w:w="80"/>
              <w:right w:type="dxa" w:w="120"/>
            </w:tcMar>
          </w:tcPr>
          <w:p>
            <w:r>
              <w:rPr>
                <w:b w:val="false"/>
                <w:bCs w:val="false"/>
                <w:sz w:val="20"/>
                <w:szCs w:val="20"/>
              </w:rPr>
              <w:t xml:space="preserve">Machine failure (binary), plus 5 failure-mode sub-labels (TWF, HDF, PWF, OSF, RNF)</w:t>
            </w:r>
          </w:p>
        </w:tc>
      </w:tr>
      <w:tr>
        <w:tc>
          <w:tcPr>
            <w:tcW w:type="dxa" w:w="3200"/>
            <w:tcMar>
              <w:top w:type="dxa" w:w="80"/>
              <w:left w:type="dxa" w:w="120"/>
              <w:bottom w:type="dxa" w:w="80"/>
              <w:right w:type="dxa" w:w="120"/>
            </w:tcMar>
          </w:tcPr>
          <w:p>
            <w:r>
              <w:rPr>
                <w:b w:val="false"/>
                <w:bCs w:val="false"/>
                <w:sz w:val="20"/>
                <w:szCs w:val="20"/>
              </w:rPr>
              <w:t xml:space="preserve">Air temperature [K]</w:t>
            </w:r>
          </w:p>
        </w:tc>
        <w:tc>
          <w:tcPr>
            <w:tcW w:type="dxa" w:w="6200"/>
            <w:tcMar>
              <w:top w:type="dxa" w:w="80"/>
              <w:left w:type="dxa" w:w="120"/>
              <w:bottom w:type="dxa" w:w="80"/>
              <w:right w:type="dxa" w:w="120"/>
            </w:tcMar>
          </w:tcPr>
          <w:p>
            <w:r>
              <w:rPr>
                <w:b w:val="false"/>
                <w:bCs w:val="false"/>
                <w:sz w:val="20"/>
                <w:szCs w:val="20"/>
              </w:rPr>
              <w:t xml:space="preserve">Ambient air temperature sensor reading</w:t>
            </w:r>
          </w:p>
        </w:tc>
      </w:tr>
      <w:tr>
        <w:tc>
          <w:tcPr>
            <w:tcW w:type="dxa" w:w="3200"/>
            <w:tcMar>
              <w:top w:type="dxa" w:w="80"/>
              <w:left w:type="dxa" w:w="120"/>
              <w:bottom w:type="dxa" w:w="80"/>
              <w:right w:type="dxa" w:w="120"/>
            </w:tcMar>
          </w:tcPr>
          <w:p>
            <w:r>
              <w:rPr>
                <w:b w:val="false"/>
                <w:bCs w:val="false"/>
                <w:sz w:val="20"/>
                <w:szCs w:val="20"/>
              </w:rPr>
              <w:t xml:space="preserve">Process temperature [K]</w:t>
            </w:r>
          </w:p>
        </w:tc>
        <w:tc>
          <w:tcPr>
            <w:tcW w:type="dxa" w:w="6200"/>
            <w:tcMar>
              <w:top w:type="dxa" w:w="80"/>
              <w:left w:type="dxa" w:w="120"/>
              <w:bottom w:type="dxa" w:w="80"/>
              <w:right w:type="dxa" w:w="120"/>
            </w:tcMar>
          </w:tcPr>
          <w:p>
            <w:r>
              <w:rPr>
                <w:b w:val="false"/>
                <w:bCs w:val="false"/>
                <w:sz w:val="20"/>
                <w:szCs w:val="20"/>
              </w:rPr>
              <w:t xml:space="preserve">Internal process temperature sensor reading</w:t>
            </w:r>
          </w:p>
        </w:tc>
      </w:tr>
      <w:tr>
        <w:tc>
          <w:tcPr>
            <w:tcW w:type="dxa" w:w="3200"/>
            <w:tcMar>
              <w:top w:type="dxa" w:w="80"/>
              <w:left w:type="dxa" w:w="120"/>
              <w:bottom w:type="dxa" w:w="80"/>
              <w:right w:type="dxa" w:w="120"/>
            </w:tcMar>
          </w:tcPr>
          <w:p>
            <w:r>
              <w:rPr>
                <w:b w:val="false"/>
                <w:bCs w:val="false"/>
                <w:sz w:val="20"/>
                <w:szCs w:val="20"/>
              </w:rPr>
              <w:t xml:space="preserve">Rotational speed [rpm]</w:t>
            </w:r>
          </w:p>
        </w:tc>
        <w:tc>
          <w:tcPr>
            <w:tcW w:type="dxa" w:w="6200"/>
            <w:tcMar>
              <w:top w:type="dxa" w:w="80"/>
              <w:left w:type="dxa" w:w="120"/>
              <w:bottom w:type="dxa" w:w="80"/>
              <w:right w:type="dxa" w:w="120"/>
            </w:tcMar>
          </w:tcPr>
          <w:p>
            <w:r>
              <w:rPr>
                <w:b w:val="false"/>
                <w:bCs w:val="false"/>
                <w:sz w:val="20"/>
                <w:szCs w:val="20"/>
              </w:rPr>
              <w:t xml:space="preserve">Tool/spindle rotational speed</w:t>
            </w:r>
          </w:p>
        </w:tc>
      </w:tr>
      <w:tr>
        <w:tc>
          <w:tcPr>
            <w:tcW w:type="dxa" w:w="3200"/>
            <w:tcMar>
              <w:top w:type="dxa" w:w="80"/>
              <w:left w:type="dxa" w:w="120"/>
              <w:bottom w:type="dxa" w:w="80"/>
              <w:right w:type="dxa" w:w="120"/>
            </w:tcMar>
          </w:tcPr>
          <w:p>
            <w:r>
              <w:rPr>
                <w:b w:val="false"/>
                <w:bCs w:val="false"/>
                <w:sz w:val="20"/>
                <w:szCs w:val="20"/>
              </w:rPr>
              <w:t xml:space="preserve">Torque [Nm]</w:t>
            </w:r>
          </w:p>
        </w:tc>
        <w:tc>
          <w:tcPr>
            <w:tcW w:type="dxa" w:w="6200"/>
            <w:tcMar>
              <w:top w:type="dxa" w:w="80"/>
              <w:left w:type="dxa" w:w="120"/>
              <w:bottom w:type="dxa" w:w="80"/>
              <w:right w:type="dxa" w:w="120"/>
            </w:tcMar>
          </w:tcPr>
          <w:p>
            <w:r>
              <w:rPr>
                <w:b w:val="false"/>
                <w:bCs w:val="false"/>
                <w:sz w:val="20"/>
                <w:szCs w:val="20"/>
              </w:rPr>
              <w:t xml:space="preserve">Torque applied during operation</w:t>
            </w:r>
          </w:p>
        </w:tc>
      </w:tr>
      <w:tr>
        <w:tc>
          <w:tcPr>
            <w:tcW w:type="dxa" w:w="3200"/>
            <w:tcMar>
              <w:top w:type="dxa" w:w="80"/>
              <w:left w:type="dxa" w:w="120"/>
              <w:bottom w:type="dxa" w:w="80"/>
              <w:right w:type="dxa" w:w="120"/>
            </w:tcMar>
          </w:tcPr>
          <w:p>
            <w:r>
              <w:rPr>
                <w:b w:val="false"/>
                <w:bCs w:val="false"/>
                <w:sz w:val="20"/>
                <w:szCs w:val="20"/>
              </w:rPr>
              <w:t xml:space="preserve">Tool wear [min]</w:t>
            </w:r>
          </w:p>
        </w:tc>
        <w:tc>
          <w:tcPr>
            <w:tcW w:type="dxa" w:w="6200"/>
            <w:tcMar>
              <w:top w:type="dxa" w:w="80"/>
              <w:left w:type="dxa" w:w="120"/>
              <w:bottom w:type="dxa" w:w="80"/>
              <w:right w:type="dxa" w:w="120"/>
            </w:tcMar>
          </w:tcPr>
          <w:p>
            <w:r>
              <w:rPr>
                <w:b w:val="false"/>
                <w:bCs w:val="false"/>
                <w:sz w:val="20"/>
                <w:szCs w:val="20"/>
              </w:rPr>
              <w:t xml:space="preserve">Cumulative tool wear time</w:t>
            </w:r>
          </w:p>
        </w:tc>
      </w:tr>
      <w:tr>
        <w:tc>
          <w:tcPr>
            <w:tcW w:type="dxa" w:w="3200"/>
            <w:tcMar>
              <w:top w:type="dxa" w:w="80"/>
              <w:left w:type="dxa" w:w="120"/>
              <w:bottom w:type="dxa" w:w="80"/>
              <w:right w:type="dxa" w:w="120"/>
            </w:tcMar>
          </w:tcPr>
          <w:p>
            <w:r>
              <w:rPr>
                <w:b w:val="false"/>
                <w:bCs w:val="false"/>
                <w:sz w:val="20"/>
                <w:szCs w:val="20"/>
              </w:rPr>
              <w:t xml:space="preserve">Class balance</w:t>
            </w:r>
          </w:p>
        </w:tc>
        <w:tc>
          <w:tcPr>
            <w:tcW w:type="dxa" w:w="6200"/>
            <w:tcMar>
              <w:top w:type="dxa" w:w="80"/>
              <w:left w:type="dxa" w:w="120"/>
              <w:bottom w:type="dxa" w:w="80"/>
              <w:right w:type="dxa" w:w="120"/>
            </w:tcMar>
          </w:tcPr>
          <w:p>
            <w:r>
              <w:rPr>
                <w:b w:val="false"/>
                <w:bCs w:val="false"/>
                <w:sz w:val="20"/>
                <w:szCs w:val="20"/>
              </w:rPr>
              <w:t xml:space="preserve">Highly imbalanced — failures represent roughly 3.4% of records</w:t>
            </w:r>
          </w:p>
        </w:tc>
      </w:tr>
    </w:tbl>
    <w:p>
      <w:pPr>
        <w:spacing w:after="160" w:line="276"/>
      </w:pPr>
      <w:r>
        <w:rPr>
          <w:sz w:val="22"/>
          <w:szCs w:val="22"/>
        </w:rPr>
        <w:t xml:space="preserve"/>
      </w:r>
    </w:p>
    <w:p>
      <w:pPr>
        <w:spacing w:after="160" w:line="276"/>
      </w:pPr>
      <w:r>
        <w:rPr>
          <w:sz w:val="22"/>
          <w:szCs w:val="22"/>
        </w:rPr>
        <w:t xml:space="preserve">Because of the strong class imbalance, standard accuracy is not a reliable evaluation metric; the project instead emphasizes precision, recall, F1-score, and ROC-AUC, and applies resampling/weighting techniques (e.g., SMOTE, class weighting) during preprocessing so that minority-class failure patterns are not ignored by the models.</w:t>
      </w:r>
    </w:p>
    <w:p>
      <w:pPr>
        <w:pStyle w:val="Heading1"/>
        <w:spacing w:after="160" w:before="320"/>
      </w:pPr>
      <w:r>
        <w:rPr>
          <w:b/>
          <w:bCs/>
          <w:color w:val="1F4E79"/>
          <w:sz w:val="28"/>
          <w:szCs w:val="28"/>
        </w:rPr>
        <w:t xml:space="preserve">3. System Architecture</w:t>
      </w:r>
    </w:p>
    <w:p>
      <w:pPr>
        <w:spacing w:after="160" w:line="276"/>
      </w:pPr>
      <w:r>
        <w:rPr>
          <w:sz w:val="22"/>
          <w:szCs w:val="22"/>
        </w:rPr>
        <w:t xml:space="preserve">The system follows a modular, seven-stage MLOps lifecycle, orchestrated end-to-end by Apache Airflow, with distinct storage zones (raw, interim, processed) separating each stage's inputs and outputs. A high-level architecture diagram is included in project_documents/architecture/System_Architecture.png; a summary of each layer is given below.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200"/>
      </w:tblGrid>
      <w:tr>
        <w:tc>
          <w:tcPr>
            <w:tcW w:type="dxa" w:w="2000"/>
            <w:shd w:fill="DCE6F1" w:val="clear"/>
            <w:tcMar>
              <w:top w:type="dxa" w:w="80"/>
              <w:left w:type="dxa" w:w="120"/>
              <w:bottom w:type="dxa" w:w="80"/>
              <w:right w:type="dxa" w:w="120"/>
            </w:tcMar>
          </w:tcPr>
          <w:p>
            <w:r>
              <w:rPr>
                <w:b/>
                <w:bCs/>
                <w:sz w:val="20"/>
                <w:szCs w:val="20"/>
              </w:rPr>
              <w:t xml:space="preserve">Layer</w:t>
            </w:r>
          </w:p>
        </w:tc>
        <w:tc>
          <w:tcPr>
            <w:tcW w:type="dxa" w:w="4200"/>
            <w:shd w:fill="DCE6F1" w:val="clear"/>
            <w:tcMar>
              <w:top w:type="dxa" w:w="80"/>
              <w:left w:type="dxa" w:w="120"/>
              <w:bottom w:type="dxa" w:w="80"/>
              <w:right w:type="dxa" w:w="120"/>
            </w:tcMar>
          </w:tcPr>
          <w:p>
            <w:r>
              <w:rPr>
                <w:b/>
                <w:bCs/>
                <w:sz w:val="20"/>
                <w:szCs w:val="20"/>
              </w:rPr>
              <w:t xml:space="preserve">Responsibility</w:t>
            </w:r>
          </w:p>
        </w:tc>
        <w:tc>
          <w:tcPr>
            <w:tcW w:type="dxa" w:w="3200"/>
            <w:shd w:fill="DCE6F1" w:val="clear"/>
            <w:tcMar>
              <w:top w:type="dxa" w:w="80"/>
              <w:left w:type="dxa" w:w="120"/>
              <w:bottom w:type="dxa" w:w="80"/>
              <w:right w:type="dxa" w:w="120"/>
            </w:tcMar>
          </w:tcPr>
          <w:p>
            <w:r>
              <w:rPr>
                <w:b/>
                <w:bCs/>
                <w:sz w:val="20"/>
                <w:szCs w:val="20"/>
              </w:rPr>
              <w:t xml:space="preserve">Primary Tools</w:t>
            </w:r>
          </w:p>
        </w:tc>
      </w:tr>
      <w:tr>
        <w:tc>
          <w:tcPr>
            <w:tcW w:type="dxa" w:w="2000"/>
            <w:tcMar>
              <w:top w:type="dxa" w:w="80"/>
              <w:left w:type="dxa" w:w="120"/>
              <w:bottom w:type="dxa" w:w="80"/>
              <w:right w:type="dxa" w:w="120"/>
            </w:tcMar>
          </w:tcPr>
          <w:p>
            <w:r>
              <w:rPr>
                <w:b w:val="false"/>
                <w:bCs w:val="false"/>
                <w:sz w:val="20"/>
                <w:szCs w:val="20"/>
              </w:rPr>
              <w:t xml:space="preserve">Orchestration</w:t>
            </w:r>
          </w:p>
        </w:tc>
        <w:tc>
          <w:tcPr>
            <w:tcW w:type="dxa" w:w="4200"/>
            <w:tcMar>
              <w:top w:type="dxa" w:w="80"/>
              <w:left w:type="dxa" w:w="120"/>
              <w:bottom w:type="dxa" w:w="80"/>
              <w:right w:type="dxa" w:w="120"/>
            </w:tcMar>
          </w:tcPr>
          <w:p>
            <w:r>
              <w:rPr>
                <w:b w:val="false"/>
                <w:bCs w:val="false"/>
                <w:sz w:val="20"/>
                <w:szCs w:val="20"/>
              </w:rPr>
              <w:t xml:space="preserve">Schedules and chains all pipeline stages as DAGs</w:t>
            </w:r>
          </w:p>
        </w:tc>
        <w:tc>
          <w:tcPr>
            <w:tcW w:type="dxa" w:w="3200"/>
            <w:tcMar>
              <w:top w:type="dxa" w:w="80"/>
              <w:left w:type="dxa" w:w="120"/>
              <w:bottom w:type="dxa" w:w="80"/>
              <w:right w:type="dxa" w:w="120"/>
            </w:tcMar>
          </w:tcPr>
          <w:p>
            <w:r>
              <w:rPr>
                <w:b w:val="false"/>
                <w:bCs w:val="false"/>
                <w:sz w:val="20"/>
                <w:szCs w:val="20"/>
              </w:rPr>
              <w:t xml:space="preserve">Apache Airflow</w:t>
            </w:r>
          </w:p>
        </w:tc>
      </w:tr>
      <w:tr>
        <w:tc>
          <w:tcPr>
            <w:tcW w:type="dxa" w:w="2000"/>
            <w:tcMar>
              <w:top w:type="dxa" w:w="80"/>
              <w:left w:type="dxa" w:w="120"/>
              <w:bottom w:type="dxa" w:w="80"/>
              <w:right w:type="dxa" w:w="120"/>
            </w:tcMar>
          </w:tcPr>
          <w:p>
            <w:r>
              <w:rPr>
                <w:b w:val="false"/>
                <w:bCs w:val="false"/>
                <w:sz w:val="20"/>
                <w:szCs w:val="20"/>
              </w:rPr>
              <w:t xml:space="preserve">Data Engineering</w:t>
            </w:r>
          </w:p>
        </w:tc>
        <w:tc>
          <w:tcPr>
            <w:tcW w:type="dxa" w:w="4200"/>
            <w:tcMar>
              <w:top w:type="dxa" w:w="80"/>
              <w:left w:type="dxa" w:w="120"/>
              <w:bottom w:type="dxa" w:w="80"/>
              <w:right w:type="dxa" w:w="120"/>
            </w:tcMar>
          </w:tcPr>
          <w:p>
            <w:r>
              <w:rPr>
                <w:b w:val="false"/>
                <w:bCs w:val="false"/>
                <w:sz w:val="20"/>
                <w:szCs w:val="20"/>
              </w:rPr>
              <w:t xml:space="preserve">Batch cleaning, feature computation, imbalance handling at scale</w:t>
            </w:r>
          </w:p>
        </w:tc>
        <w:tc>
          <w:tcPr>
            <w:tcW w:type="dxa" w:w="3200"/>
            <w:tcMar>
              <w:top w:type="dxa" w:w="80"/>
              <w:left w:type="dxa" w:w="120"/>
              <w:bottom w:type="dxa" w:w="80"/>
              <w:right w:type="dxa" w:w="120"/>
            </w:tcMar>
          </w:tcPr>
          <w:p>
            <w:r>
              <w:rPr>
                <w:b w:val="false"/>
                <w:bCs w:val="false"/>
                <w:sz w:val="20"/>
                <w:szCs w:val="20"/>
              </w:rPr>
              <w:t xml:space="preserve">Apache Spark (PySpark)</w:t>
            </w:r>
          </w:p>
        </w:tc>
      </w:tr>
      <w:tr>
        <w:tc>
          <w:tcPr>
            <w:tcW w:type="dxa" w:w="2000"/>
            <w:tcMar>
              <w:top w:type="dxa" w:w="80"/>
              <w:left w:type="dxa" w:w="120"/>
              <w:bottom w:type="dxa" w:w="80"/>
              <w:right w:type="dxa" w:w="120"/>
            </w:tcMar>
          </w:tcPr>
          <w:p>
            <w:r>
              <w:rPr>
                <w:b w:val="false"/>
                <w:bCs w:val="false"/>
                <w:sz w:val="20"/>
                <w:szCs w:val="20"/>
              </w:rPr>
              <w:t xml:space="preserve">Versioning</w:t>
            </w:r>
          </w:p>
        </w:tc>
        <w:tc>
          <w:tcPr>
            <w:tcW w:type="dxa" w:w="4200"/>
            <w:tcMar>
              <w:top w:type="dxa" w:w="80"/>
              <w:left w:type="dxa" w:w="120"/>
              <w:bottom w:type="dxa" w:w="80"/>
              <w:right w:type="dxa" w:w="120"/>
            </w:tcMar>
          </w:tcPr>
          <w:p>
            <w:r>
              <w:rPr>
                <w:b w:val="false"/>
                <w:bCs w:val="false"/>
                <w:sz w:val="20"/>
                <w:szCs w:val="20"/>
              </w:rPr>
              <w:t xml:space="preserve">Tracks raw data, processed data, and model artifacts</w:t>
            </w:r>
          </w:p>
        </w:tc>
        <w:tc>
          <w:tcPr>
            <w:tcW w:type="dxa" w:w="3200"/>
            <w:tcMar>
              <w:top w:type="dxa" w:w="80"/>
              <w:left w:type="dxa" w:w="120"/>
              <w:bottom w:type="dxa" w:w="80"/>
              <w:right w:type="dxa" w:w="120"/>
            </w:tcMar>
          </w:tcPr>
          <w:p>
            <w:r>
              <w:rPr>
                <w:b w:val="false"/>
                <w:bCs w:val="false"/>
                <w:sz w:val="20"/>
                <w:szCs w:val="20"/>
              </w:rPr>
              <w:t xml:space="preserve">DVC + S3/GCS remote, Git</w:t>
            </w:r>
          </w:p>
        </w:tc>
      </w:tr>
      <w:tr>
        <w:tc>
          <w:tcPr>
            <w:tcW w:type="dxa" w:w="2000"/>
            <w:tcMar>
              <w:top w:type="dxa" w:w="80"/>
              <w:left w:type="dxa" w:w="120"/>
              <w:bottom w:type="dxa" w:w="80"/>
              <w:right w:type="dxa" w:w="120"/>
            </w:tcMar>
          </w:tcPr>
          <w:p>
            <w:r>
              <w:rPr>
                <w:b w:val="false"/>
                <w:bCs w:val="false"/>
                <w:sz w:val="20"/>
                <w:szCs w:val="20"/>
              </w:rPr>
              <w:t xml:space="preserve">Experiment Tracking</w:t>
            </w:r>
          </w:p>
        </w:tc>
        <w:tc>
          <w:tcPr>
            <w:tcW w:type="dxa" w:w="4200"/>
            <w:tcMar>
              <w:top w:type="dxa" w:w="80"/>
              <w:left w:type="dxa" w:w="120"/>
              <w:bottom w:type="dxa" w:w="80"/>
              <w:right w:type="dxa" w:w="120"/>
            </w:tcMar>
          </w:tcPr>
          <w:p>
            <w:r>
              <w:rPr>
                <w:b w:val="false"/>
                <w:bCs w:val="false"/>
                <w:sz w:val="20"/>
                <w:szCs w:val="20"/>
              </w:rPr>
              <w:t xml:space="preserve">Logs parameters, metrics, and artifacts for every training run</w:t>
            </w:r>
          </w:p>
        </w:tc>
        <w:tc>
          <w:tcPr>
            <w:tcW w:type="dxa" w:w="3200"/>
            <w:tcMar>
              <w:top w:type="dxa" w:w="80"/>
              <w:left w:type="dxa" w:w="120"/>
              <w:bottom w:type="dxa" w:w="80"/>
              <w:right w:type="dxa" w:w="120"/>
            </w:tcMar>
          </w:tcPr>
          <w:p>
            <w:r>
              <w:rPr>
                <w:b w:val="false"/>
                <w:bCs w:val="false"/>
                <w:sz w:val="20"/>
                <w:szCs w:val="20"/>
              </w:rPr>
              <w:t xml:space="preserve">MLflow Tracking Server + Model Registry</w:t>
            </w:r>
          </w:p>
        </w:tc>
      </w:tr>
      <w:tr>
        <w:tc>
          <w:tcPr>
            <w:tcW w:type="dxa" w:w="2000"/>
            <w:tcMar>
              <w:top w:type="dxa" w:w="80"/>
              <w:left w:type="dxa" w:w="120"/>
              <w:bottom w:type="dxa" w:w="80"/>
              <w:right w:type="dxa" w:w="120"/>
            </w:tcMar>
          </w:tcPr>
          <w:p>
            <w:r>
              <w:rPr>
                <w:b w:val="false"/>
                <w:bCs w:val="false"/>
                <w:sz w:val="20"/>
                <w:szCs w:val="20"/>
              </w:rPr>
              <w:t xml:space="preserve">Serving</w:t>
            </w:r>
          </w:p>
        </w:tc>
        <w:tc>
          <w:tcPr>
            <w:tcW w:type="dxa" w:w="4200"/>
            <w:tcMar>
              <w:top w:type="dxa" w:w="80"/>
              <w:left w:type="dxa" w:w="120"/>
              <w:bottom w:type="dxa" w:w="80"/>
              <w:right w:type="dxa" w:w="120"/>
            </w:tcMar>
          </w:tcPr>
          <w:p>
            <w:r>
              <w:rPr>
                <w:b w:val="false"/>
                <w:bCs w:val="false"/>
                <w:sz w:val="20"/>
                <w:szCs w:val="20"/>
              </w:rPr>
              <w:t xml:space="preserve">Exposes the production model as a REST API</w:t>
            </w:r>
          </w:p>
        </w:tc>
        <w:tc>
          <w:tcPr>
            <w:tcW w:type="dxa" w:w="3200"/>
            <w:tcMar>
              <w:top w:type="dxa" w:w="80"/>
              <w:left w:type="dxa" w:w="120"/>
              <w:bottom w:type="dxa" w:w="80"/>
              <w:right w:type="dxa" w:w="120"/>
            </w:tcMar>
          </w:tcPr>
          <w:p>
            <w:r>
              <w:rPr>
                <w:b w:val="false"/>
                <w:bCs w:val="false"/>
                <w:sz w:val="20"/>
                <w:szCs w:val="20"/>
              </w:rPr>
              <w:t xml:space="preserve">FastAPI + Docker</w:t>
            </w:r>
          </w:p>
        </w:tc>
      </w:tr>
      <w:tr>
        <w:tc>
          <w:tcPr>
            <w:tcW w:type="dxa" w:w="2000"/>
            <w:tcMar>
              <w:top w:type="dxa" w:w="80"/>
              <w:left w:type="dxa" w:w="120"/>
              <w:bottom w:type="dxa" w:w="80"/>
              <w:right w:type="dxa" w:w="120"/>
            </w:tcMar>
          </w:tcPr>
          <w:p>
            <w:r>
              <w:rPr>
                <w:b w:val="false"/>
                <w:bCs w:val="false"/>
                <w:sz w:val="20"/>
                <w:szCs w:val="20"/>
              </w:rPr>
              <w:t xml:space="preserve">Monitoring</w:t>
            </w:r>
          </w:p>
        </w:tc>
        <w:tc>
          <w:tcPr>
            <w:tcW w:type="dxa" w:w="4200"/>
            <w:tcMar>
              <w:top w:type="dxa" w:w="80"/>
              <w:left w:type="dxa" w:w="120"/>
              <w:bottom w:type="dxa" w:w="80"/>
              <w:right w:type="dxa" w:w="120"/>
            </w:tcMar>
          </w:tcPr>
          <w:p>
            <w:r>
              <w:rPr>
                <w:b w:val="false"/>
                <w:bCs w:val="false"/>
                <w:sz w:val="20"/>
                <w:szCs w:val="20"/>
              </w:rPr>
              <w:t xml:space="preserve">Tracks system health, data drift, and prediction drift</w:t>
            </w:r>
          </w:p>
        </w:tc>
        <w:tc>
          <w:tcPr>
            <w:tcW w:type="dxa" w:w="3200"/>
            <w:tcMar>
              <w:top w:type="dxa" w:w="80"/>
              <w:left w:type="dxa" w:w="120"/>
              <w:bottom w:type="dxa" w:w="80"/>
              <w:right w:type="dxa" w:w="120"/>
            </w:tcMar>
          </w:tcPr>
          <w:p>
            <w:r>
              <w:rPr>
                <w:b w:val="false"/>
                <w:bCs w:val="false"/>
                <w:sz w:val="20"/>
                <w:szCs w:val="20"/>
              </w:rPr>
              <w:t xml:space="preserve">Prometheus, Evidently, application logging</w:t>
            </w:r>
          </w:p>
        </w:tc>
      </w:tr>
      <w:tr>
        <w:tc>
          <w:tcPr>
            <w:tcW w:type="dxa" w:w="2000"/>
            <w:tcMar>
              <w:top w:type="dxa" w:w="80"/>
              <w:left w:type="dxa" w:w="120"/>
              <w:bottom w:type="dxa" w:w="80"/>
              <w:right w:type="dxa" w:w="120"/>
            </w:tcMar>
          </w:tcPr>
          <w:p>
            <w:r>
              <w:rPr>
                <w:b w:val="false"/>
                <w:bCs w:val="false"/>
                <w:sz w:val="20"/>
                <w:szCs w:val="20"/>
              </w:rPr>
              <w:t xml:space="preserve">CI/CD</w:t>
            </w:r>
          </w:p>
        </w:tc>
        <w:tc>
          <w:tcPr>
            <w:tcW w:type="dxa" w:w="4200"/>
            <w:tcMar>
              <w:top w:type="dxa" w:w="80"/>
              <w:left w:type="dxa" w:w="120"/>
              <w:bottom w:type="dxa" w:w="80"/>
              <w:right w:type="dxa" w:w="120"/>
            </w:tcMar>
          </w:tcPr>
          <w:p>
            <w:r>
              <w:rPr>
                <w:b w:val="false"/>
                <w:bCs w:val="false"/>
                <w:sz w:val="20"/>
                <w:szCs w:val="20"/>
              </w:rPr>
              <w:t xml:space="preserve">Automated testing, build, and deployment on code changes</w:t>
            </w:r>
          </w:p>
        </w:tc>
        <w:tc>
          <w:tcPr>
            <w:tcW w:type="dxa" w:w="3200"/>
            <w:tcMar>
              <w:top w:type="dxa" w:w="80"/>
              <w:left w:type="dxa" w:w="120"/>
              <w:bottom w:type="dxa" w:w="80"/>
              <w:right w:type="dxa" w:w="120"/>
            </w:tcMar>
          </w:tcPr>
          <w:p>
            <w:r>
              <w:rPr>
                <w:b w:val="false"/>
                <w:bCs w:val="false"/>
                <w:sz w:val="20"/>
                <w:szCs w:val="20"/>
              </w:rPr>
              <w:t xml:space="preserve">GitHub Actions</w:t>
            </w:r>
          </w:p>
        </w:tc>
      </w:tr>
    </w:tbl>
    <w:p>
      <w:pPr>
        <w:spacing w:after="160" w:line="276"/>
      </w:pPr>
      <w:r>
        <w:rPr>
          <w:sz w:val="22"/>
          <w:szCs w:val="22"/>
        </w:rPr>
        <w:t xml:space="preserve"/>
      </w:r>
    </w:p>
    <w:p>
      <w:pPr>
        <w:spacing w:after="160" w:line="276"/>
      </w:pPr>
      <w:r>
        <w:rPr>
          <w:sz w:val="22"/>
          <w:szCs w:val="22"/>
        </w:rPr>
        <w:t xml:space="preserve">This architecture is intentionally decoupled: each stage reads from and writes to a well-defined storage location, so any stage can be re-run, tested, or replaced independently without breaking the rest of the pipeline — a key MLOps reproducibility principle.</w:t>
      </w:r>
    </w:p>
    <w:p>
      <w:pPr>
        <w:pStyle w:val="Heading1"/>
        <w:spacing w:after="160" w:before="320"/>
      </w:pPr>
      <w:r>
        <w:rPr>
          <w:b/>
          <w:bCs/>
          <w:color w:val="1F4E79"/>
          <w:sz w:val="28"/>
          <w:szCs w:val="28"/>
        </w:rPr>
        <w:t xml:space="preserve">4. Data Pipeline</w:t>
      </w:r>
    </w:p>
    <w:p>
      <w:pPr>
        <w:pStyle w:val="Heading2"/>
        <w:spacing w:after="120" w:before="240"/>
      </w:pPr>
      <w:r>
        <w:rPr>
          <w:b/>
          <w:bCs/>
          <w:color w:val="2E2E2E"/>
          <w:sz w:val="24"/>
          <w:szCs w:val="24"/>
        </w:rPr>
        <w:t xml:space="preserve">4.1 Orchestration</w:t>
      </w:r>
    </w:p>
    <w:p>
      <w:pPr>
        <w:spacing w:after="160" w:line="276"/>
      </w:pPr>
      <w:r>
        <w:rPr>
          <w:sz w:val="22"/>
          <w:szCs w:val="22"/>
        </w:rPr>
        <w:t xml:space="preserve">Four Airflow DAGs implement the pipeline: data_ingestion_dag, preprocessing_dag, training_dag, and deployment_dag. Each DAG corresponds to a clear stage boundary, allowing the pipeline to be triggered fully end-to-end or re-run from any intermediate stage during development and debugging.</w:t>
      </w:r>
    </w:p>
    <w:p>
      <w:pPr>
        <w:pStyle w:val="Heading2"/>
        <w:spacing w:after="120" w:before="240"/>
      </w:pPr>
      <w:r>
        <w:rPr>
          <w:b/>
          <w:bCs/>
          <w:color w:val="2E2E2E"/>
          <w:sz w:val="24"/>
          <w:szCs w:val="24"/>
        </w:rPr>
        <w:t xml:space="preserve">4.2 Ingestion and Validation</w:t>
      </w:r>
    </w:p>
    <w:p>
      <w:pPr>
        <w:spacing w:after="160" w:line="276"/>
      </w:pPr>
      <w:r>
        <w:rPr>
          <w:sz w:val="22"/>
          <w:szCs w:val="22"/>
        </w:rPr>
        <w:t xml:space="preserve">Raw data is ingested from the source CSV into a 'raw' storage zone. A schema validation step (schema.json) checks column presence, data types, and value ranges before any downstream processing occurs, preventing malformed data from silently propagating through the pipeline.</w:t>
      </w:r>
    </w:p>
    <w:p>
      <w:pPr>
        <w:pStyle w:val="Heading2"/>
        <w:spacing w:after="120" w:before="240"/>
      </w:pPr>
      <w:r>
        <w:rPr>
          <w:b/>
          <w:bCs/>
          <w:color w:val="2E2E2E"/>
          <w:sz w:val="24"/>
          <w:szCs w:val="24"/>
        </w:rPr>
        <w:t xml:space="preserve">4.3 Preprocessing and Feature Engineering (Spark)</w:t>
      </w:r>
    </w:p>
    <w:p>
      <w:pPr>
        <w:spacing w:after="160" w:line="276"/>
      </w:pPr>
      <w:r>
        <w:rPr>
          <w:sz w:val="22"/>
          <w:szCs w:val="22"/>
        </w:rPr>
        <w:t xml:space="preserve">PySpark jobs handle data cleaning (missing value imputation, outlier handling), feature scaling and encoding, and feature engineering (derived ratios such as power-to-torque relationships, rolling statistics, and domain-informed features based on the known AI4I failure modes). A dedicated Spark job addresses class imbalance prior to the training stage.</w:t>
      </w:r>
    </w:p>
    <w:p>
      <w:pPr>
        <w:spacing w:after="160" w:line="276"/>
      </w:pPr>
      <w:r>
        <w:rPr>
          <w:sz w:val="22"/>
          <w:szCs w:val="22"/>
        </w:rPr>
        <w:t xml:space="preserve">Justification for Spark: the AI4I dataset is tabular and batch in nature rather than a live stream, so Spark's distributed batch-processing model is the most natural fit for feature computation at scale. (Optional extension: a Kafka producer can replay the CSV row-by-row to simulate a live sensor feed, consumed via Spark Structured Streaming, if the team wants to additionally demonstrate a streaming ingestion pattern.)</w:t>
      </w:r>
    </w:p>
    <w:p>
      <w:pPr>
        <w:pStyle w:val="Heading2"/>
        <w:spacing w:after="120" w:before="240"/>
      </w:pPr>
      <w:r>
        <w:rPr>
          <w:b/>
          <w:bCs/>
          <w:color w:val="2E2E2E"/>
          <w:sz w:val="24"/>
          <w:szCs w:val="24"/>
        </w:rPr>
        <w:t xml:space="preserve">4.4 Data Versioning</w:t>
      </w:r>
    </w:p>
    <w:p>
      <w:pPr>
        <w:spacing w:after="160" w:line="276"/>
      </w:pPr>
      <w:r>
        <w:rPr>
          <w:sz w:val="22"/>
          <w:szCs w:val="22"/>
        </w:rPr>
        <w:t xml:space="preserve">DVC tracks the raw dataset, the cleaned/interim Parquet output, and the final feature-engineered Parquet output, with a remote (S3/GCS) backing store. dvc.yaml defines each transformation as a reproducible pipeline stage with tracked dependencies and outputs, so any dataset version can be reconstructed exactly.</w:t>
      </w:r>
    </w:p>
    <w:p>
      <w:pPr>
        <w:pStyle w:val="Heading1"/>
        <w:spacing w:after="160" w:before="320"/>
      </w:pPr>
      <w:r>
        <w:rPr>
          <w:b/>
          <w:bCs/>
          <w:color w:val="1F4E79"/>
          <w:sz w:val="28"/>
          <w:szCs w:val="28"/>
        </w:rPr>
        <w:t xml:space="preserve">5. Model Development</w:t>
      </w:r>
    </w:p>
    <w:p>
      <w:pPr>
        <w:spacing w:after="160" w:line="276"/>
      </w:pPr>
      <w:r>
        <w:rPr>
          <w:sz w:val="22"/>
          <w:szCs w:val="22"/>
        </w:rPr>
        <w:t xml:space="preserve">At least two models are trained and compared, with a third baseline planned for a stronger comparative discussion: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400"/>
      </w:tblGrid>
      <w:tr>
        <w:tc>
          <w:tcPr>
            <w:tcW w:type="dxa" w:w="2400"/>
            <w:shd w:fill="DCE6F1" w:val="clear"/>
            <w:tcMar>
              <w:top w:type="dxa" w:w="80"/>
              <w:left w:type="dxa" w:w="120"/>
              <w:bottom w:type="dxa" w:w="80"/>
              <w:right w:type="dxa" w:w="120"/>
            </w:tcMar>
          </w:tcPr>
          <w:p>
            <w:r>
              <w:rPr>
                <w:b/>
                <w:bCs/>
                <w:sz w:val="20"/>
                <w:szCs w:val="20"/>
              </w:rPr>
              <w:t xml:space="preserve">Model</w:t>
            </w:r>
          </w:p>
        </w:tc>
        <w:tc>
          <w:tcPr>
            <w:tcW w:type="dxa" w:w="3600"/>
            <w:shd w:fill="DCE6F1" w:val="clear"/>
            <w:tcMar>
              <w:top w:type="dxa" w:w="80"/>
              <w:left w:type="dxa" w:w="120"/>
              <w:bottom w:type="dxa" w:w="80"/>
              <w:right w:type="dxa" w:w="120"/>
            </w:tcMar>
          </w:tcPr>
          <w:p>
            <w:r>
              <w:rPr>
                <w:b/>
                <w:bCs/>
                <w:sz w:val="20"/>
                <w:szCs w:val="20"/>
              </w:rPr>
              <w:t xml:space="preserve">Role</w:t>
            </w:r>
          </w:p>
        </w:tc>
        <w:tc>
          <w:tcPr>
            <w:tcW w:type="dxa" w:w="3400"/>
            <w:shd w:fill="DCE6F1" w:val="clear"/>
            <w:tcMar>
              <w:top w:type="dxa" w:w="80"/>
              <w:left w:type="dxa" w:w="120"/>
              <w:bottom w:type="dxa" w:w="80"/>
              <w:right w:type="dxa" w:w="120"/>
            </w:tcMar>
          </w:tcPr>
          <w:p>
            <w:r>
              <w:rPr>
                <w:b/>
                <w:bCs/>
                <w:sz w:val="20"/>
                <w:szCs w:val="20"/>
              </w:rPr>
              <w:t xml:space="preserve">Key Hyperparameters (planned)</w:t>
            </w:r>
          </w:p>
        </w:tc>
      </w:tr>
      <w:tr>
        <w:tc>
          <w:tcPr>
            <w:tcW w:type="dxa" w:w="2400"/>
            <w:tcMar>
              <w:top w:type="dxa" w:w="80"/>
              <w:left w:type="dxa" w:w="120"/>
              <w:bottom w:type="dxa" w:w="80"/>
              <w:right w:type="dxa" w:w="120"/>
            </w:tcMar>
          </w:tcPr>
          <w:p>
            <w:r>
              <w:rPr>
                <w:b w:val="false"/>
                <w:bCs w:val="false"/>
                <w:sz w:val="20"/>
                <w:szCs w:val="20"/>
              </w:rPr>
              <w:t xml:space="preserve">Logistic Regression</w:t>
            </w:r>
          </w:p>
        </w:tc>
        <w:tc>
          <w:tcPr>
            <w:tcW w:type="dxa" w:w="3600"/>
            <w:tcMar>
              <w:top w:type="dxa" w:w="80"/>
              <w:left w:type="dxa" w:w="120"/>
              <w:bottom w:type="dxa" w:w="80"/>
              <w:right w:type="dxa" w:w="120"/>
            </w:tcMar>
          </w:tcPr>
          <w:p>
            <w:r>
              <w:rPr>
                <w:b w:val="false"/>
                <w:bCs w:val="false"/>
                <w:sz w:val="20"/>
                <w:szCs w:val="20"/>
              </w:rPr>
              <w:t xml:space="preserve">Interpretable baseline</w:t>
            </w:r>
          </w:p>
        </w:tc>
        <w:tc>
          <w:tcPr>
            <w:tcW w:type="dxa" w:w="3400"/>
            <w:tcMar>
              <w:top w:type="dxa" w:w="80"/>
              <w:left w:type="dxa" w:w="120"/>
              <w:bottom w:type="dxa" w:w="80"/>
              <w:right w:type="dxa" w:w="120"/>
            </w:tcMar>
          </w:tcPr>
          <w:p>
            <w:r>
              <w:rPr>
                <w:b w:val="false"/>
                <w:bCs w:val="false"/>
                <w:sz w:val="20"/>
                <w:szCs w:val="20"/>
              </w:rPr>
              <w:t xml:space="preserve">Regularization strength (C), class weighting</w:t>
            </w:r>
          </w:p>
        </w:tc>
      </w:tr>
      <w:tr>
        <w:tc>
          <w:tcPr>
            <w:tcW w:type="dxa" w:w="2400"/>
            <w:tcMar>
              <w:top w:type="dxa" w:w="80"/>
              <w:left w:type="dxa" w:w="120"/>
              <w:bottom w:type="dxa" w:w="80"/>
              <w:right w:type="dxa" w:w="120"/>
            </w:tcMar>
          </w:tcPr>
          <w:p>
            <w:r>
              <w:rPr>
                <w:b w:val="false"/>
                <w:bCs w:val="false"/>
                <w:sz w:val="20"/>
                <w:szCs w:val="20"/>
              </w:rPr>
              <w:t xml:space="preserve">Random Forest</w:t>
            </w:r>
          </w:p>
        </w:tc>
        <w:tc>
          <w:tcPr>
            <w:tcW w:type="dxa" w:w="3600"/>
            <w:tcMar>
              <w:top w:type="dxa" w:w="80"/>
              <w:left w:type="dxa" w:w="120"/>
              <w:bottom w:type="dxa" w:w="80"/>
              <w:right w:type="dxa" w:w="120"/>
            </w:tcMar>
          </w:tcPr>
          <w:p>
            <w:r>
              <w:rPr>
                <w:b w:val="false"/>
                <w:bCs w:val="false"/>
                <w:sz w:val="20"/>
                <w:szCs w:val="20"/>
              </w:rPr>
              <w:t xml:space="preserve">Primary candidate — robust to noise, handles non-linearity</w:t>
            </w:r>
          </w:p>
        </w:tc>
        <w:tc>
          <w:tcPr>
            <w:tcW w:type="dxa" w:w="3400"/>
            <w:tcMar>
              <w:top w:type="dxa" w:w="80"/>
              <w:left w:type="dxa" w:w="120"/>
              <w:bottom w:type="dxa" w:w="80"/>
              <w:right w:type="dxa" w:w="120"/>
            </w:tcMar>
          </w:tcPr>
          <w:p>
            <w:r>
              <w:rPr>
                <w:b w:val="false"/>
                <w:bCs w:val="false"/>
                <w:sz w:val="20"/>
                <w:szCs w:val="20"/>
              </w:rPr>
              <w:t xml:space="preserve">n_estimators, max_depth, min_samples_leaf</w:t>
            </w:r>
          </w:p>
        </w:tc>
      </w:tr>
      <w:tr>
        <w:tc>
          <w:tcPr>
            <w:tcW w:type="dxa" w:w="2400"/>
            <w:tcMar>
              <w:top w:type="dxa" w:w="80"/>
              <w:left w:type="dxa" w:w="120"/>
              <w:bottom w:type="dxa" w:w="80"/>
              <w:right w:type="dxa" w:w="120"/>
            </w:tcMar>
          </w:tcPr>
          <w:p>
            <w:r>
              <w:rPr>
                <w:b w:val="false"/>
                <w:bCs w:val="false"/>
                <w:sz w:val="20"/>
                <w:szCs w:val="20"/>
              </w:rPr>
              <w:t xml:space="preserve">XGBoost</w:t>
            </w:r>
          </w:p>
        </w:tc>
        <w:tc>
          <w:tcPr>
            <w:tcW w:type="dxa" w:w="3600"/>
            <w:tcMar>
              <w:top w:type="dxa" w:w="80"/>
              <w:left w:type="dxa" w:w="120"/>
              <w:bottom w:type="dxa" w:w="80"/>
              <w:right w:type="dxa" w:w="120"/>
            </w:tcMar>
          </w:tcPr>
          <w:p>
            <w:r>
              <w:rPr>
                <w:b w:val="false"/>
                <w:bCs w:val="false"/>
                <w:sz w:val="20"/>
                <w:szCs w:val="20"/>
              </w:rPr>
              <w:t xml:space="preserve">Primary candidate — strong performance on imbalanced tabular data</w:t>
            </w:r>
          </w:p>
        </w:tc>
        <w:tc>
          <w:tcPr>
            <w:tcW w:type="dxa" w:w="3400"/>
            <w:tcMar>
              <w:top w:type="dxa" w:w="80"/>
              <w:left w:type="dxa" w:w="120"/>
              <w:bottom w:type="dxa" w:w="80"/>
              <w:right w:type="dxa" w:w="120"/>
            </w:tcMar>
          </w:tcPr>
          <w:p>
            <w:r>
              <w:rPr>
                <w:b w:val="false"/>
                <w:bCs w:val="false"/>
                <w:sz w:val="20"/>
                <w:szCs w:val="20"/>
              </w:rPr>
              <w:t xml:space="preserve">learning_rate, max_depth, scale_pos_weight, n_estimators</w:t>
            </w:r>
          </w:p>
        </w:tc>
      </w:tr>
    </w:tbl>
    <w:p>
      <w:pPr>
        <w:spacing w:after="160" w:line="276"/>
      </w:pPr>
      <w:r>
        <w:rPr>
          <w:sz w:val="22"/>
          <w:szCs w:val="22"/>
        </w:rPr>
        <w:t xml:space="preserve"/>
      </w:r>
    </w:p>
    <w:p>
      <w:pPr>
        <w:spacing w:after="160" w:line="276"/>
      </w:pPr>
      <w:r>
        <w:rPr>
          <w:sz w:val="22"/>
          <w:szCs w:val="22"/>
        </w:rPr>
        <w:t xml:space="preserve">Each training run is logged to MLflow with parameters, metrics (accuracy, precision, recall, F1-score, ROC-AUC, confusion matrix), and artifacts (serialized model, feature importance plot). Hyperparameter tuning is performed via grid/random search or Optuna, also tracked as nested MLflow runs. The best-performing model, selected primarily on F1-score and recall (given the cost of missed failures), is promoted to the MLflow Model Registry and staged for deployment.</w:t>
      </w:r>
    </w:p>
    <w:p>
      <w:pPr>
        <w:pStyle w:val="Heading1"/>
        <w:spacing w:after="160" w:before="320"/>
      </w:pPr>
      <w:r>
        <w:rPr>
          <w:b/>
          <w:bCs/>
          <w:color w:val="1F4E79"/>
          <w:sz w:val="28"/>
          <w:szCs w:val="28"/>
        </w:rPr>
        <w:t xml:space="preserve">6. Deployment Strategy</w:t>
      </w:r>
    </w:p>
    <w:p>
      <w:pPr>
        <w:spacing w:after="160" w:line="276"/>
      </w:pPr>
      <w:r>
        <w:rPr>
          <w:sz w:val="22"/>
          <w:szCs w:val="22"/>
        </w:rPr>
        <w:t xml:space="preserve">The registered production model is wrapped in a FastAPI service exposing a prediction endpoint (e.g., POST /predict) that accepts sensor readings and returns a failure prediction with probability score, plus a /metrics endpoint for Prometheus scraping and a /health endpoint for readiness checks.</w:t>
      </w:r>
    </w:p>
    <w:p>
      <w:pPr>
        <w:spacing w:after="160" w:line="276"/>
      </w:pPr>
      <w:r>
        <w:rPr>
          <w:sz w:val="22"/>
          <w:szCs w:val="22"/>
        </w:rPr>
        <w:t xml:space="preserve">The API and its dependencies are containerized via Docker; docker-compose.yml orchestrates the API alongside its monitoring stack (Prometheus, and optionally Grafana and an MLflow server) so the full system can be brought up with a single command for local development, testing, and demonstration. In a cloud setting, the same image can be deployed to a container platform such as Kubernetes, AWS ECS, or Cloud Run.</w:t>
      </w:r>
    </w:p>
    <w:p>
      <w:pPr>
        <w:pStyle w:val="Heading1"/>
        <w:spacing w:after="160" w:before="320"/>
      </w:pPr>
      <w:r>
        <w:rPr>
          <w:b/>
          <w:bCs/>
          <w:color w:val="1F4E79"/>
          <w:sz w:val="28"/>
          <w:szCs w:val="28"/>
        </w:rPr>
        <w:t xml:space="preserve">7. Monitoring Strategy</w:t>
      </w:r>
    </w:p>
    <w:p>
      <w:pPr>
        <w:spacing w:after="160" w:line="276"/>
      </w:pPr>
      <w:r>
        <w:rPr>
          <w:sz w:val="22"/>
          <w:szCs w:val="22"/>
        </w:rPr>
        <w:t xml:space="preserve">Three complementary layers of observability are planned:</w:t>
      </w:r>
    </w:p>
    <w:p>
      <w:pPr>
        <w:pStyle w:val="ListParagraph"/>
        <w:numPr>
          <w:ilvl w:val="0"/>
          <w:numId w:val="2"/>
        </w:numPr>
        <w:spacing w:after="80"/>
      </w:pPr>
      <w:r>
        <w:rPr>
          <w:sz w:val="22"/>
          <w:szCs w:val="22"/>
        </w:rPr>
        <w:t xml:space="preserve">System metrics: request count, latency, and error rate exposed via a /metrics endpoint and scraped by Prometheus.</w:t>
      </w:r>
    </w:p>
    <w:p>
      <w:pPr>
        <w:pStyle w:val="ListParagraph"/>
        <w:numPr>
          <w:ilvl w:val="0"/>
          <w:numId w:val="2"/>
        </w:numPr>
        <w:spacing w:after="80"/>
      </w:pPr>
      <w:r>
        <w:rPr>
          <w:sz w:val="22"/>
          <w:szCs w:val="22"/>
        </w:rPr>
        <w:t xml:space="preserve">Data &amp; prediction drift: Evidently AI reports compare the statistical distribution of incoming inference data against the training distribution on a scheduled basis, flagging drift in key features (e.g., torque, tool wear) or in the predicted failure rate.</w:t>
      </w:r>
    </w:p>
    <w:p>
      <w:pPr>
        <w:pStyle w:val="ListParagraph"/>
        <w:numPr>
          <w:ilvl w:val="0"/>
          <w:numId w:val="2"/>
        </w:numPr>
        <w:spacing w:after="80"/>
      </w:pPr>
      <w:r>
        <w:rPr>
          <w:sz w:val="22"/>
          <w:szCs w:val="22"/>
        </w:rPr>
        <w:t xml:space="preserve">Application logging: structured logs capturing each prediction request/response and pipeline execution status, to support debugging and audit.</w:t>
      </w:r>
    </w:p>
    <w:p>
      <w:pPr>
        <w:spacing w:after="160" w:line="276"/>
      </w:pPr>
      <w:r>
        <w:rPr>
          <w:sz w:val="22"/>
          <w:szCs w:val="22"/>
        </w:rPr>
        <w:t xml:space="preserve">Threshold breaches (e.g., significant drift, elevated error rate, or degraded recall on a labeled sample) are intended to trigger alerts, feeding into the retraining trigger described in Section 10 (Future Improvements).</w:t>
      </w:r>
    </w:p>
    <w:p>
      <w:pPr>
        <w:pStyle w:val="Heading1"/>
        <w:spacing w:after="160" w:before="320"/>
      </w:pPr>
      <w:r>
        <w:rPr>
          <w:b/>
          <w:bCs/>
          <w:color w:val="1F4E79"/>
          <w:sz w:val="28"/>
          <w:szCs w:val="28"/>
        </w:rPr>
        <w:t xml:space="preserve">8. CI/CD Implementation</w:t>
      </w:r>
    </w:p>
    <w:p>
      <w:pPr>
        <w:spacing w:after="160" w:line="276"/>
      </w:pPr>
      <w:r>
        <w:rPr>
          <w:sz w:val="22"/>
          <w:szCs w:val="22"/>
        </w:rPr>
        <w:t xml:space="preserve">GitHub Actions implements two workflows:</w:t>
      </w:r>
    </w:p>
    <w:p>
      <w:pPr>
        <w:pStyle w:val="ListParagraph"/>
        <w:numPr>
          <w:ilvl w:val="0"/>
          <w:numId w:val="2"/>
        </w:numPr>
        <w:spacing w:after="80"/>
      </w:pPr>
      <w:r>
        <w:rPr>
          <w:sz w:val="22"/>
          <w:szCs w:val="22"/>
        </w:rPr>
        <w:t xml:space="preserve">ci.yml — runs on every push/pull request: installs dependencies, runs the test suite (tests/ covering ingestion, preprocessing, training, API, and monitoring), lints code, and builds the Docker image to confirm it is buildable.</w:t>
      </w:r>
    </w:p>
    <w:p>
      <w:pPr>
        <w:pStyle w:val="ListParagraph"/>
        <w:numPr>
          <w:ilvl w:val="0"/>
          <w:numId w:val="2"/>
        </w:numPr>
        <w:spacing w:after="80"/>
      </w:pPr>
      <w:r>
        <w:rPr>
          <w:sz w:val="22"/>
          <w:szCs w:val="22"/>
        </w:rPr>
        <w:t xml:space="preserve">cd.yml — runs on merge to the main branch: builds and pushes the Docker image to a container registry, and (in the target environment) redeploys the updated service.</w:t>
      </w:r>
    </w:p>
    <w:p>
      <w:pPr>
        <w:spacing w:after="160" w:line="276"/>
      </w:pPr>
      <w:r>
        <w:rPr>
          <w:sz w:val="22"/>
          <w:szCs w:val="22"/>
        </w:rPr>
        <w:t xml:space="preserve">Status: the CI/CD workflows are currently in progress. The pipeline stages, test suite, and Docker build steps have been scoped; the deployment step to the target environment (registry push and redeploy trigger) is the remaining item to finalize.</w:t>
      </w:r>
    </w:p>
    <w:p>
      <w:pPr>
        <w:pStyle w:val="Heading1"/>
        <w:spacing w:after="160" w:before="320"/>
      </w:pPr>
      <w:r>
        <w:rPr>
          <w:b/>
          <w:bCs/>
          <w:color w:val="1F4E79"/>
          <w:sz w:val="28"/>
          <w:szCs w:val="28"/>
        </w:rPr>
        <w:t xml:space="preserve">9. Results and Discussion</w:t>
      </w:r>
    </w:p>
    <w:p>
      <w:pPr>
        <w:spacing w:after="160" w:line="276"/>
      </w:pPr>
      <w:r>
        <w:rPr>
          <w:sz w:val="22"/>
          <w:szCs w:val="22"/>
        </w:rPr>
        <w:t xml:space="preserve">This report is being submitted at an early implementation stage; end-to-end training and evaluation are in progress. This section outlines the planned evaluation approach and will be populated with actual results (metric tables, confusion matrices, ROC curves, and feature importance plots — see project_documents/model_metrics/) as model training and deployment are completed.</w:t>
      </w:r>
    </w:p>
    <w:p>
      <w:pPr>
        <w:spacing w:after="160" w:line="276"/>
      </w:pPr>
      <w:r>
        <w:rPr>
          <w:sz w:val="22"/>
          <w:szCs w:val="22"/>
        </w:rPr>
        <w:t xml:space="preserve">Planned evaluation approach:</w:t>
      </w:r>
    </w:p>
    <w:p>
      <w:pPr>
        <w:pStyle w:val="ListParagraph"/>
        <w:numPr>
          <w:ilvl w:val="0"/>
          <w:numId w:val="2"/>
        </w:numPr>
        <w:spacing w:after="80"/>
      </w:pPr>
      <w:r>
        <w:rPr>
          <w:sz w:val="22"/>
          <w:szCs w:val="22"/>
        </w:rPr>
        <w:t xml:space="preserve">Compare Logistic Regression, Random Forest, and XGBoost on precision, recall, F1-score, and ROC-AUC, with particular attention to recall on the minority (failure) class.</w:t>
      </w:r>
    </w:p>
    <w:p>
      <w:pPr>
        <w:pStyle w:val="ListParagraph"/>
        <w:numPr>
          <w:ilvl w:val="0"/>
          <w:numId w:val="2"/>
        </w:numPr>
        <w:spacing w:after="80"/>
      </w:pPr>
      <w:r>
        <w:rPr>
          <w:sz w:val="22"/>
          <w:szCs w:val="22"/>
        </w:rPr>
        <w:t xml:space="preserve">Report confusion matrices and discuss the operational trade-off between false positives (unnecessary maintenance) and false negatives (missed failures).</w:t>
      </w:r>
    </w:p>
    <w:p>
      <w:pPr>
        <w:pStyle w:val="ListParagraph"/>
        <w:numPr>
          <w:ilvl w:val="0"/>
          <w:numId w:val="2"/>
        </w:numPr>
        <w:spacing w:after="80"/>
      </w:pPr>
      <w:r>
        <w:rPr>
          <w:sz w:val="22"/>
          <w:szCs w:val="22"/>
        </w:rPr>
        <w:t xml:space="preserve">Report feature importance to validate that the selected model relies on physically meaningful signals (e.g., torque, tool wear) rather than spurious correlations.</w:t>
      </w:r>
    </w:p>
    <w:p>
      <w:pPr>
        <w:pStyle w:val="ListParagraph"/>
        <w:numPr>
          <w:ilvl w:val="0"/>
          <w:numId w:val="2"/>
        </w:numPr>
        <w:spacing w:after="80"/>
      </w:pPr>
      <w:r>
        <w:rPr>
          <w:sz w:val="22"/>
          <w:szCs w:val="22"/>
        </w:rPr>
        <w:t xml:space="preserve">Report API latency and throughput under load, and summarize any drift observed during initial monitoring.</w:t>
      </w:r>
    </w:p>
    <w:p>
      <w:pPr>
        <w:pStyle w:val="Heading1"/>
        <w:spacing w:after="160" w:before="320"/>
      </w:pPr>
      <w:r>
        <w:rPr>
          <w:b/>
          <w:bCs/>
          <w:color w:val="1F4E79"/>
          <w:sz w:val="28"/>
          <w:szCs w:val="28"/>
        </w:rPr>
        <w:t xml:space="preserve">10. Challenges Faced</w:t>
      </w:r>
    </w:p>
    <w:p>
      <w:pPr>
        <w:spacing w:after="160" w:line="276"/>
      </w:pPr>
      <w:r>
        <w:rPr>
          <w:sz w:val="22"/>
          <w:szCs w:val="22"/>
        </w:rPr>
        <w:t xml:space="preserve">As an early-stage report, this section lists challenges anticipated (and encountered so far) rather than a full post-mortem, which will be expanded in the final submission.</w:t>
      </w:r>
    </w:p>
    <w:p>
      <w:pPr>
        <w:pStyle w:val="ListParagraph"/>
        <w:numPr>
          <w:ilvl w:val="0"/>
          <w:numId w:val="2"/>
        </w:numPr>
        <w:spacing w:after="80"/>
      </w:pPr>
      <w:r>
        <w:rPr>
          <w:sz w:val="22"/>
          <w:szCs w:val="22"/>
        </w:rPr>
        <w:t xml:space="preserve">Severe class imbalance (~3.4% failure rate) requiring careful resampling/weighting to avoid a model that trivially predicts 'no failure'.</w:t>
      </w:r>
    </w:p>
    <w:p>
      <w:pPr>
        <w:pStyle w:val="ListParagraph"/>
        <w:numPr>
          <w:ilvl w:val="0"/>
          <w:numId w:val="2"/>
        </w:numPr>
        <w:spacing w:after="80"/>
      </w:pPr>
      <w:r>
        <w:rPr>
          <w:sz w:val="22"/>
          <w:szCs w:val="22"/>
        </w:rPr>
        <w:t xml:space="preserve">Coordinating orchestration across Airflow, Spark, and MLflow so that each tool's outputs are correctly picked up as inputs by the next, without tight coupling.</w:t>
      </w:r>
    </w:p>
    <w:p>
      <w:pPr>
        <w:pStyle w:val="ListParagraph"/>
        <w:numPr>
          <w:ilvl w:val="0"/>
          <w:numId w:val="2"/>
        </w:numPr>
        <w:spacing w:after="80"/>
      </w:pPr>
      <w:r>
        <w:rPr>
          <w:sz w:val="22"/>
          <w:szCs w:val="22"/>
        </w:rPr>
        <w:t xml:space="preserve">Keeping DVC-tracked data/model versions and MLflow run IDs consistently linked, so any deployed model can be traced back to the exact data and code that produced it.</w:t>
      </w:r>
    </w:p>
    <w:p>
      <w:pPr>
        <w:pStyle w:val="ListParagraph"/>
        <w:numPr>
          <w:ilvl w:val="0"/>
          <w:numId w:val="2"/>
        </w:numPr>
        <w:spacing w:after="80"/>
      </w:pPr>
      <w:r>
        <w:rPr>
          <w:sz w:val="22"/>
          <w:szCs w:val="22"/>
        </w:rPr>
        <w:t xml:space="preserve">Local resource constraints when running Airflow, Spark, MLflow, and the API simultaneously via Docker Compose during development.</w:t>
      </w:r>
    </w:p>
    <w:p>
      <w:pPr>
        <w:pStyle w:val="ListParagraph"/>
        <w:numPr>
          <w:ilvl w:val="0"/>
          <w:numId w:val="2"/>
        </w:numPr>
        <w:spacing w:after="80"/>
      </w:pPr>
      <w:r>
        <w:rPr>
          <w:sz w:val="22"/>
          <w:szCs w:val="22"/>
        </w:rPr>
        <w:t xml:space="preserve">Finalizing the CI/CD deployment step (registry push and redeploy) without access to a persistent cloud environment for the full team.</w:t>
      </w:r>
    </w:p>
    <w:p>
      <w:pPr>
        <w:pStyle w:val="Heading1"/>
        <w:spacing w:after="160" w:before="320"/>
      </w:pPr>
      <w:r>
        <w:rPr>
          <w:b/>
          <w:bCs/>
          <w:color w:val="1F4E79"/>
          <w:sz w:val="28"/>
          <w:szCs w:val="28"/>
        </w:rPr>
        <w:t xml:space="preserve">11. Future Improvements</w:t>
      </w:r>
    </w:p>
    <w:p>
      <w:pPr>
        <w:pStyle w:val="ListParagraph"/>
        <w:numPr>
          <w:ilvl w:val="0"/>
          <w:numId w:val="2"/>
        </w:numPr>
        <w:spacing w:after="80"/>
      </w:pPr>
      <w:r>
        <w:rPr>
          <w:sz w:val="22"/>
          <w:szCs w:val="22"/>
        </w:rPr>
        <w:t xml:space="preserve">Automate the retraining loop: trigger retraining automatically when drift or performance degradation crosses a defined threshold, rather than on a fixed schedule only.</w:t>
      </w:r>
    </w:p>
    <w:p>
      <w:pPr>
        <w:pStyle w:val="ListParagraph"/>
        <w:numPr>
          <w:ilvl w:val="0"/>
          <w:numId w:val="2"/>
        </w:numPr>
        <w:spacing w:after="80"/>
      </w:pPr>
      <w:r>
        <w:rPr>
          <w:sz w:val="22"/>
          <w:szCs w:val="22"/>
        </w:rPr>
        <w:t xml:space="preserve">Add A/B testing or shadow deployment to compare a newly retrained model against the current production model before full promotion.</w:t>
      </w:r>
    </w:p>
    <w:p>
      <w:pPr>
        <w:pStyle w:val="ListParagraph"/>
        <w:numPr>
          <w:ilvl w:val="0"/>
          <w:numId w:val="2"/>
        </w:numPr>
        <w:spacing w:after="80"/>
      </w:pPr>
      <w:r>
        <w:rPr>
          <w:sz w:val="22"/>
          <w:szCs w:val="22"/>
        </w:rPr>
        <w:t xml:space="preserve">Extend the data engineering layer with a Kafka-based simulated streaming ingestion path, to demonstrate near-real-time inference in addition to the current batch pipeline.</w:t>
      </w:r>
    </w:p>
    <w:p>
      <w:pPr>
        <w:pStyle w:val="ListParagraph"/>
        <w:numPr>
          <w:ilvl w:val="0"/>
          <w:numId w:val="2"/>
        </w:numPr>
        <w:spacing w:after="80"/>
      </w:pPr>
      <w:r>
        <w:rPr>
          <w:sz w:val="22"/>
          <w:szCs w:val="22"/>
        </w:rPr>
        <w:t xml:space="preserve">Introduce infrastructure-as-code (e.g., Terraform) to make cloud deployment fully reproducible.</w:t>
      </w:r>
    </w:p>
    <w:p>
      <w:pPr>
        <w:pStyle w:val="ListParagraph"/>
        <w:numPr>
          <w:ilvl w:val="0"/>
          <w:numId w:val="2"/>
        </w:numPr>
        <w:spacing w:after="80"/>
      </w:pPr>
      <w:r>
        <w:rPr>
          <w:sz w:val="22"/>
          <w:szCs w:val="22"/>
        </w:rPr>
        <w:t xml:space="preserve">Add a lightweight dashboard (Grafana) on top of Prometheus and Evidently outputs for a consolidated monitoring view.</w:t>
      </w:r>
    </w:p>
    <w:p>
      <w:pPr>
        <w:pStyle w:val="ListParagraph"/>
        <w:numPr>
          <w:ilvl w:val="0"/>
          <w:numId w:val="2"/>
        </w:numPr>
        <w:spacing w:after="80"/>
      </w:pPr>
      <w:r>
        <w:rPr>
          <w:sz w:val="22"/>
          <w:szCs w:val="22"/>
        </w:rPr>
        <w:t xml:space="preserve">Expand model explainability (e.g., SHAP values) to support maintenance engineers in trusting and acting on individual predictions.</w:t>
      </w:r>
    </w:p>
    <w:p>
      <w:pPr>
        <w:spacing w:before="400"/>
      </w:pPr>
      <w:r>
        <w:rPr>
          <w:i/>
          <w:iCs/>
          <w:color w:val="666666"/>
          <w:sz w:val="20"/>
          <w:szCs w:val="20"/>
        </w:rPr>
        <w:t xml:space="preserve">Note: This is an initial-stage technical report intended to establish the problem scope, architecture, and planned approach ahead of implementation. Sections 9–11 will be revised with concrete results once training, deployment, and monitoring are complete.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Predictive Maintenance MLOps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2026-08-06T18:30:16.344Z</dcterms:created>
  <dcterms:modified xsi:type="dcterms:W3CDTF">2026-08-06T18:30:16.373Z</dcterms:modified>
</cp:coreProperties>
</file>

<file path=docProps/custom.xml><?xml version="1.0" encoding="utf-8"?>
<Properties xmlns="http://schemas.openxmlformats.org/officeDocument/2006/custom-properties" xmlns:vt="http://schemas.openxmlformats.org/officeDocument/2006/docPropsVTypes"/>
</file>