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38A02" w14:textId="77777777" w:rsidR="006B5A8B" w:rsidRPr="006B5A8B" w:rsidRDefault="006B5A8B" w:rsidP="006B5A8B">
      <w:r w:rsidRPr="006B5A8B">
        <w:t xml:space="preserve">An </w:t>
      </w:r>
      <w:r w:rsidRPr="006B5A8B">
        <w:rPr>
          <w:b/>
          <w:bCs/>
        </w:rPr>
        <w:t>Incentive tab</w:t>
      </w:r>
      <w:r w:rsidRPr="006B5A8B">
        <w:t xml:space="preserve"> needs to be created on the </w:t>
      </w:r>
      <w:r w:rsidRPr="006B5A8B">
        <w:rPr>
          <w:b/>
          <w:bCs/>
        </w:rPr>
        <w:t>User Dashboard</w:t>
      </w:r>
      <w:r w:rsidRPr="006B5A8B">
        <w:t xml:space="preserve"> that will calculate monthly performance and display it to each user (Sales Executive). This will help them understand where they are falling short and allow them to improve their performance to increase their chances of earning higher incentives.</w:t>
      </w:r>
    </w:p>
    <w:p w14:paraId="14724CFD" w14:textId="77777777" w:rsidR="006B5A8B" w:rsidRPr="006B5A8B" w:rsidRDefault="006B5A8B" w:rsidP="006B5A8B">
      <w:pPr>
        <w:rPr>
          <w:b/>
          <w:bCs/>
        </w:rPr>
      </w:pPr>
      <w:r w:rsidRPr="006B5A8B">
        <w:rPr>
          <w:b/>
          <w:bCs/>
        </w:rPr>
        <w:t>Incentive Calculation Logic:</w:t>
      </w:r>
    </w:p>
    <w:p w14:paraId="00004CB9" w14:textId="77777777" w:rsidR="006B5A8B" w:rsidRPr="006B5A8B" w:rsidRDefault="006B5A8B" w:rsidP="006B5A8B">
      <w:r w:rsidRPr="006B5A8B">
        <w:t xml:space="preserve">Below is the slab structure for incentive calculation, which is based on the </w:t>
      </w:r>
      <w:r w:rsidRPr="006B5A8B">
        <w:rPr>
          <w:b/>
          <w:bCs/>
        </w:rPr>
        <w:t>area sold (in sq. ft.)</w:t>
      </w:r>
      <w:r w:rsidRPr="006B5A8B">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8"/>
        <w:gridCol w:w="2835"/>
        <w:gridCol w:w="2977"/>
      </w:tblGrid>
      <w:tr w:rsidR="006B5A8B" w:rsidRPr="006B5A8B" w14:paraId="0DA3F2EE" w14:textId="77777777" w:rsidTr="006B5A8B">
        <w:trPr>
          <w:tblHeader/>
          <w:tblCellSpacing w:w="15" w:type="dxa"/>
        </w:trPr>
        <w:tc>
          <w:tcPr>
            <w:tcW w:w="1853" w:type="dxa"/>
            <w:vAlign w:val="center"/>
            <w:hideMark/>
          </w:tcPr>
          <w:p w14:paraId="268BFB46" w14:textId="77777777" w:rsidR="006B5A8B" w:rsidRPr="006B5A8B" w:rsidRDefault="006B5A8B" w:rsidP="006B5A8B">
            <w:pPr>
              <w:rPr>
                <w:b/>
                <w:bCs/>
              </w:rPr>
            </w:pPr>
            <w:r w:rsidRPr="006B5A8B">
              <w:rPr>
                <w:b/>
                <w:bCs/>
              </w:rPr>
              <w:t>Slab</w:t>
            </w:r>
          </w:p>
        </w:tc>
        <w:tc>
          <w:tcPr>
            <w:tcW w:w="2805" w:type="dxa"/>
            <w:vAlign w:val="center"/>
            <w:hideMark/>
          </w:tcPr>
          <w:p w14:paraId="63336A65" w14:textId="77777777" w:rsidR="006B5A8B" w:rsidRPr="006B5A8B" w:rsidRDefault="006B5A8B" w:rsidP="006B5A8B">
            <w:pPr>
              <w:rPr>
                <w:b/>
                <w:bCs/>
              </w:rPr>
            </w:pPr>
            <w:r w:rsidRPr="006B5A8B">
              <w:rPr>
                <w:b/>
                <w:bCs/>
              </w:rPr>
              <w:t>Area Sold (sq. ft.)</w:t>
            </w:r>
          </w:p>
        </w:tc>
        <w:tc>
          <w:tcPr>
            <w:tcW w:w="2932" w:type="dxa"/>
            <w:vAlign w:val="center"/>
            <w:hideMark/>
          </w:tcPr>
          <w:p w14:paraId="468594A2" w14:textId="77777777" w:rsidR="006B5A8B" w:rsidRPr="006B5A8B" w:rsidRDefault="006B5A8B" w:rsidP="006B5A8B">
            <w:pPr>
              <w:rPr>
                <w:b/>
                <w:bCs/>
              </w:rPr>
            </w:pPr>
            <w:r w:rsidRPr="006B5A8B">
              <w:rPr>
                <w:b/>
                <w:bCs/>
              </w:rPr>
              <w:t>Incentive Rate</w:t>
            </w:r>
          </w:p>
        </w:tc>
      </w:tr>
      <w:tr w:rsidR="006B5A8B" w:rsidRPr="006B5A8B" w14:paraId="26251276" w14:textId="77777777" w:rsidTr="006B5A8B">
        <w:trPr>
          <w:tblCellSpacing w:w="15" w:type="dxa"/>
        </w:trPr>
        <w:tc>
          <w:tcPr>
            <w:tcW w:w="1853" w:type="dxa"/>
            <w:vAlign w:val="center"/>
            <w:hideMark/>
          </w:tcPr>
          <w:p w14:paraId="65AB5366" w14:textId="77777777" w:rsidR="006B5A8B" w:rsidRPr="006B5A8B" w:rsidRDefault="006B5A8B" w:rsidP="006B5A8B">
            <w:r w:rsidRPr="006B5A8B">
              <w:t>Slab 1</w:t>
            </w:r>
          </w:p>
        </w:tc>
        <w:tc>
          <w:tcPr>
            <w:tcW w:w="2805" w:type="dxa"/>
            <w:vAlign w:val="center"/>
            <w:hideMark/>
          </w:tcPr>
          <w:p w14:paraId="78AB6012" w14:textId="77777777" w:rsidR="006B5A8B" w:rsidRPr="006B5A8B" w:rsidRDefault="006B5A8B" w:rsidP="006B5A8B">
            <w:r w:rsidRPr="006B5A8B">
              <w:t>Up to 2,999</w:t>
            </w:r>
          </w:p>
        </w:tc>
        <w:tc>
          <w:tcPr>
            <w:tcW w:w="2932" w:type="dxa"/>
            <w:vAlign w:val="center"/>
            <w:hideMark/>
          </w:tcPr>
          <w:p w14:paraId="61918195" w14:textId="77777777" w:rsidR="006B5A8B" w:rsidRPr="006B5A8B" w:rsidRDefault="006B5A8B" w:rsidP="006B5A8B">
            <w:r w:rsidRPr="006B5A8B">
              <w:t>1% of the Total Revenue</w:t>
            </w:r>
          </w:p>
        </w:tc>
      </w:tr>
      <w:tr w:rsidR="006B5A8B" w:rsidRPr="006B5A8B" w14:paraId="5DD30BEF" w14:textId="77777777" w:rsidTr="006B5A8B">
        <w:trPr>
          <w:tblCellSpacing w:w="15" w:type="dxa"/>
        </w:trPr>
        <w:tc>
          <w:tcPr>
            <w:tcW w:w="1853" w:type="dxa"/>
            <w:vAlign w:val="center"/>
            <w:hideMark/>
          </w:tcPr>
          <w:p w14:paraId="774210D4" w14:textId="77777777" w:rsidR="006B5A8B" w:rsidRPr="006B5A8B" w:rsidRDefault="006B5A8B" w:rsidP="006B5A8B">
            <w:r w:rsidRPr="006B5A8B">
              <w:t>Slab 2</w:t>
            </w:r>
          </w:p>
        </w:tc>
        <w:tc>
          <w:tcPr>
            <w:tcW w:w="2805" w:type="dxa"/>
            <w:vAlign w:val="center"/>
            <w:hideMark/>
          </w:tcPr>
          <w:p w14:paraId="3C8C9EA9" w14:textId="77777777" w:rsidR="006B5A8B" w:rsidRPr="006B5A8B" w:rsidRDefault="006B5A8B" w:rsidP="006B5A8B">
            <w:r w:rsidRPr="006B5A8B">
              <w:t>3,000 to 4,999</w:t>
            </w:r>
          </w:p>
        </w:tc>
        <w:tc>
          <w:tcPr>
            <w:tcW w:w="2932" w:type="dxa"/>
            <w:vAlign w:val="center"/>
            <w:hideMark/>
          </w:tcPr>
          <w:p w14:paraId="79AF86CB" w14:textId="77777777" w:rsidR="006B5A8B" w:rsidRPr="006B5A8B" w:rsidRDefault="006B5A8B" w:rsidP="006B5A8B">
            <w:r w:rsidRPr="006B5A8B">
              <w:t>2% of the Total Revenue</w:t>
            </w:r>
          </w:p>
        </w:tc>
      </w:tr>
      <w:tr w:rsidR="006B5A8B" w:rsidRPr="006B5A8B" w14:paraId="517FF115" w14:textId="77777777" w:rsidTr="006B5A8B">
        <w:trPr>
          <w:tblCellSpacing w:w="15" w:type="dxa"/>
        </w:trPr>
        <w:tc>
          <w:tcPr>
            <w:tcW w:w="1853" w:type="dxa"/>
            <w:vAlign w:val="center"/>
            <w:hideMark/>
          </w:tcPr>
          <w:p w14:paraId="047DC923" w14:textId="77777777" w:rsidR="006B5A8B" w:rsidRPr="006B5A8B" w:rsidRDefault="006B5A8B" w:rsidP="006B5A8B">
            <w:r w:rsidRPr="006B5A8B">
              <w:t>Slab 3</w:t>
            </w:r>
          </w:p>
        </w:tc>
        <w:tc>
          <w:tcPr>
            <w:tcW w:w="2805" w:type="dxa"/>
            <w:vAlign w:val="center"/>
            <w:hideMark/>
          </w:tcPr>
          <w:p w14:paraId="6899FA1C" w14:textId="77777777" w:rsidR="006B5A8B" w:rsidRPr="006B5A8B" w:rsidRDefault="006B5A8B" w:rsidP="006B5A8B">
            <w:r w:rsidRPr="006B5A8B">
              <w:t>5,000 to 6,999</w:t>
            </w:r>
          </w:p>
        </w:tc>
        <w:tc>
          <w:tcPr>
            <w:tcW w:w="2932" w:type="dxa"/>
            <w:vAlign w:val="center"/>
            <w:hideMark/>
          </w:tcPr>
          <w:p w14:paraId="761CFF6D" w14:textId="77777777" w:rsidR="006B5A8B" w:rsidRPr="006B5A8B" w:rsidRDefault="006B5A8B" w:rsidP="006B5A8B">
            <w:r w:rsidRPr="006B5A8B">
              <w:t>3% of the Total Revenue</w:t>
            </w:r>
          </w:p>
        </w:tc>
      </w:tr>
      <w:tr w:rsidR="006B5A8B" w:rsidRPr="006B5A8B" w14:paraId="3452420E" w14:textId="77777777" w:rsidTr="006B5A8B">
        <w:trPr>
          <w:tblCellSpacing w:w="15" w:type="dxa"/>
        </w:trPr>
        <w:tc>
          <w:tcPr>
            <w:tcW w:w="1853" w:type="dxa"/>
            <w:vAlign w:val="center"/>
            <w:hideMark/>
          </w:tcPr>
          <w:p w14:paraId="34508F77" w14:textId="77777777" w:rsidR="006B5A8B" w:rsidRPr="006B5A8B" w:rsidRDefault="006B5A8B" w:rsidP="006B5A8B">
            <w:r w:rsidRPr="006B5A8B">
              <w:t>Slab 4</w:t>
            </w:r>
          </w:p>
        </w:tc>
        <w:tc>
          <w:tcPr>
            <w:tcW w:w="2805" w:type="dxa"/>
            <w:vAlign w:val="center"/>
            <w:hideMark/>
          </w:tcPr>
          <w:p w14:paraId="119CA419" w14:textId="77777777" w:rsidR="006B5A8B" w:rsidRPr="006B5A8B" w:rsidRDefault="006B5A8B" w:rsidP="006B5A8B">
            <w:r w:rsidRPr="006B5A8B">
              <w:t>7,100 and above</w:t>
            </w:r>
          </w:p>
        </w:tc>
        <w:tc>
          <w:tcPr>
            <w:tcW w:w="2932" w:type="dxa"/>
            <w:vAlign w:val="center"/>
            <w:hideMark/>
          </w:tcPr>
          <w:p w14:paraId="414FFAB8" w14:textId="77777777" w:rsidR="006B5A8B" w:rsidRPr="006B5A8B" w:rsidRDefault="006B5A8B" w:rsidP="006B5A8B">
            <w:r w:rsidRPr="006B5A8B">
              <w:t>4% of the Total Revenue</w:t>
            </w:r>
          </w:p>
        </w:tc>
      </w:tr>
    </w:tbl>
    <w:p w14:paraId="52BCEB6D" w14:textId="77777777" w:rsidR="006B5A8B" w:rsidRPr="006B5A8B" w:rsidRDefault="006B5A8B" w:rsidP="006B5A8B">
      <w:r w:rsidRPr="006B5A8B">
        <w:rPr>
          <w:b/>
          <w:bCs/>
        </w:rPr>
        <w:t>Note:</w:t>
      </w:r>
      <w:r w:rsidRPr="006B5A8B">
        <w:t xml:space="preserve"> The </w:t>
      </w:r>
      <w:r w:rsidRPr="006B5A8B">
        <w:rPr>
          <w:i/>
          <w:iCs/>
        </w:rPr>
        <w:t>Total Revenue</w:t>
      </w:r>
      <w:r w:rsidRPr="006B5A8B">
        <w:t xml:space="preserve"> refers to the Final Revenue, calculated as:</w:t>
      </w:r>
      <w:r w:rsidRPr="006B5A8B">
        <w:br/>
      </w:r>
      <w:r w:rsidRPr="006B5A8B">
        <w:rPr>
          <w:b/>
          <w:bCs/>
        </w:rPr>
        <w:t>BSP (Base Sale Price) × Area Sold</w:t>
      </w:r>
    </w:p>
    <w:p w14:paraId="34A0945B" w14:textId="77777777" w:rsidR="006B5A8B" w:rsidRPr="006B5A8B" w:rsidRDefault="00B73D7A" w:rsidP="006B5A8B">
      <w:r>
        <w:rPr>
          <w:noProof/>
        </w:rPr>
        <w:pict w14:anchorId="55FAAC0B">
          <v:rect id="_x0000_i1028" alt="" style="width:451.15pt;height:.05pt;mso-width-percent:0;mso-height-percent:0;mso-width-percent:0;mso-height-percent:0" o:hrpct="964" o:hralign="center" o:hrstd="t" o:hr="t" fillcolor="#a0a0a0" stroked="f"/>
        </w:pict>
      </w:r>
    </w:p>
    <w:p w14:paraId="0F684625" w14:textId="77777777" w:rsidR="006B5A8B" w:rsidRPr="006B5A8B" w:rsidRDefault="006B5A8B" w:rsidP="006B5A8B">
      <w:pPr>
        <w:rPr>
          <w:b/>
          <w:bCs/>
        </w:rPr>
      </w:pPr>
      <w:r w:rsidRPr="006B5A8B">
        <w:rPr>
          <w:b/>
          <w:bCs/>
        </w:rPr>
        <w:t>Example:</w:t>
      </w:r>
    </w:p>
    <w:p w14:paraId="2E57C02D" w14:textId="77777777" w:rsidR="006B5A8B" w:rsidRPr="006B5A8B" w:rsidRDefault="006B5A8B" w:rsidP="006B5A8B">
      <w:r w:rsidRPr="006B5A8B">
        <w:rPr>
          <w:b/>
          <w:bCs/>
        </w:rPr>
        <w:t>Vikash Kumar</w:t>
      </w:r>
      <w:r w:rsidRPr="006B5A8B">
        <w:t xml:space="preserve"> sold </w:t>
      </w:r>
      <w:r w:rsidRPr="006B5A8B">
        <w:rPr>
          <w:b/>
          <w:bCs/>
        </w:rPr>
        <w:t>4,999 sq. ft.</w:t>
      </w:r>
      <w:r w:rsidRPr="006B5A8B">
        <w:t xml:space="preserve"> in the current month. Based on this, he qualifies for </w:t>
      </w:r>
      <w:r w:rsidRPr="006B5A8B">
        <w:rPr>
          <w:b/>
          <w:bCs/>
        </w:rPr>
        <w:t>Slab 2</w:t>
      </w:r>
      <w:r w:rsidRPr="006B5A8B">
        <w:t>.</w:t>
      </w:r>
    </w:p>
    <w:p w14:paraId="777443CE" w14:textId="77777777" w:rsidR="006B5A8B" w:rsidRPr="006B5A8B" w:rsidRDefault="006B5A8B" w:rsidP="006B5A8B">
      <w:r w:rsidRPr="006B5A8B">
        <w:t>If his total revenue is ₹1,00,00,000, his gross monthly incentive is:</w:t>
      </w:r>
      <w:r w:rsidRPr="006B5A8B">
        <w:br/>
      </w:r>
      <w:r w:rsidRPr="006B5A8B">
        <w:rPr>
          <w:b/>
          <w:bCs/>
        </w:rPr>
        <w:t>2% of ₹1,00,00,000 = ₹2,00,000</w:t>
      </w:r>
    </w:p>
    <w:p w14:paraId="425A1E49" w14:textId="77777777" w:rsidR="006B5A8B" w:rsidRPr="006B5A8B" w:rsidRDefault="006B5A8B" w:rsidP="006B5A8B">
      <w:r w:rsidRPr="006B5A8B">
        <w:t xml:space="preserve">However, </w:t>
      </w:r>
      <w:r w:rsidRPr="006B5A8B">
        <w:rPr>
          <w:b/>
          <w:bCs/>
        </w:rPr>
        <w:t>incentives are also dependent on payments received</w:t>
      </w:r>
      <w:r w:rsidRPr="006B5A8B">
        <w:t>.</w:t>
      </w:r>
    </w:p>
    <w:p w14:paraId="1648B874" w14:textId="77777777" w:rsidR="006B5A8B" w:rsidRPr="006B5A8B" w:rsidRDefault="00B73D7A" w:rsidP="006B5A8B">
      <w:r>
        <w:rPr>
          <w:noProof/>
        </w:rPr>
        <w:pict w14:anchorId="0CA708CD">
          <v:rect id="_x0000_i1027" alt="" style="width:451.15pt;height:.05pt;mso-width-percent:0;mso-height-percent:0;mso-width-percent:0;mso-height-percent:0" o:hrpct="964" o:hralign="center" o:hrstd="t" o:hr="t" fillcolor="#a0a0a0" stroked="f"/>
        </w:pict>
      </w:r>
    </w:p>
    <w:p w14:paraId="7ED8FD1F" w14:textId="77777777" w:rsidR="006B5A8B" w:rsidRPr="006B5A8B" w:rsidRDefault="006B5A8B" w:rsidP="006B5A8B">
      <w:pPr>
        <w:rPr>
          <w:b/>
          <w:bCs/>
        </w:rPr>
      </w:pPr>
      <w:r w:rsidRPr="006B5A8B">
        <w:rPr>
          <w:b/>
          <w:bCs/>
        </w:rPr>
        <w:t>Incentive Payout Condition:</w:t>
      </w:r>
    </w:p>
    <w:p w14:paraId="65739D4C" w14:textId="77777777" w:rsidR="006B5A8B" w:rsidRPr="006B5A8B" w:rsidRDefault="006B5A8B" w:rsidP="006B5A8B">
      <w:pPr>
        <w:numPr>
          <w:ilvl w:val="0"/>
          <w:numId w:val="3"/>
        </w:numPr>
      </w:pPr>
      <w:r w:rsidRPr="006B5A8B">
        <w:t xml:space="preserve">The </w:t>
      </w:r>
      <w:r w:rsidRPr="006B5A8B">
        <w:rPr>
          <w:b/>
          <w:bCs/>
        </w:rPr>
        <w:t>Overall Target vs Achievement</w:t>
      </w:r>
      <w:r w:rsidRPr="006B5A8B">
        <w:t xml:space="preserve"> figure must be positive on the dashboard.</w:t>
      </w:r>
    </w:p>
    <w:p w14:paraId="1F66635F" w14:textId="77777777" w:rsidR="006B5A8B" w:rsidRPr="006B5A8B" w:rsidRDefault="006B5A8B" w:rsidP="006B5A8B">
      <w:pPr>
        <w:numPr>
          <w:ilvl w:val="0"/>
          <w:numId w:val="3"/>
        </w:numPr>
      </w:pPr>
      <w:r w:rsidRPr="006B5A8B">
        <w:t xml:space="preserve">The actual incentive paid is calculated based on the </w:t>
      </w:r>
      <w:r w:rsidRPr="006B5A8B">
        <w:rPr>
          <w:b/>
          <w:bCs/>
        </w:rPr>
        <w:t>percentage of payment received</w:t>
      </w:r>
      <w:r w:rsidRPr="006B5A8B">
        <w:t xml:space="preserve"> against the revenue.</w:t>
      </w:r>
    </w:p>
    <w:p w14:paraId="35FF0988" w14:textId="77777777" w:rsidR="006B5A8B" w:rsidRPr="006B5A8B" w:rsidRDefault="006B5A8B" w:rsidP="006B5A8B">
      <w:pPr>
        <w:rPr>
          <w:b/>
          <w:bCs/>
        </w:rPr>
      </w:pPr>
      <w:r w:rsidRPr="006B5A8B">
        <w:rPr>
          <w:b/>
          <w:bCs/>
        </w:rPr>
        <w:t>Example:</w:t>
      </w:r>
    </w:p>
    <w:p w14:paraId="141D6DF7" w14:textId="55DD2D03" w:rsidR="006B5A8B" w:rsidRPr="006B5A8B" w:rsidRDefault="006B5A8B" w:rsidP="006B5A8B">
      <w:r w:rsidRPr="006B5A8B">
        <w:t xml:space="preserve">If </w:t>
      </w:r>
      <w:r w:rsidRPr="006B5A8B">
        <w:rPr>
          <w:b/>
          <w:bCs/>
        </w:rPr>
        <w:t xml:space="preserve">only </w:t>
      </w:r>
      <w:r w:rsidR="0055160E">
        <w:rPr>
          <w:b/>
          <w:bCs/>
        </w:rPr>
        <w:t>3</w:t>
      </w:r>
      <w:r w:rsidRPr="006B5A8B">
        <w:rPr>
          <w:b/>
          <w:bCs/>
        </w:rPr>
        <w:t>0%</w:t>
      </w:r>
      <w:r w:rsidRPr="006B5A8B">
        <w:t xml:space="preserve"> of the payment has been received against the revenue of ₹1,00,00,000:</w:t>
      </w:r>
      <w:r w:rsidRPr="006B5A8B">
        <w:br/>
        <w:t xml:space="preserve">Then </w:t>
      </w:r>
      <w:r w:rsidR="0055160E">
        <w:rPr>
          <w:b/>
          <w:bCs/>
        </w:rPr>
        <w:t>3</w:t>
      </w:r>
      <w:r w:rsidRPr="006B5A8B">
        <w:rPr>
          <w:b/>
          <w:bCs/>
        </w:rPr>
        <w:t>0% of ₹2,00,000 = ₹</w:t>
      </w:r>
      <w:r w:rsidR="0055160E">
        <w:rPr>
          <w:b/>
          <w:bCs/>
        </w:rPr>
        <w:t>6</w:t>
      </w:r>
      <w:r w:rsidRPr="006B5A8B">
        <w:rPr>
          <w:b/>
          <w:bCs/>
        </w:rPr>
        <w:t>0,000</w:t>
      </w:r>
      <w:r w:rsidRPr="006B5A8B">
        <w:t xml:space="preserve"> will be considered as the incentive eligible for payment.</w:t>
      </w:r>
    </w:p>
    <w:p w14:paraId="4810621D" w14:textId="77777777" w:rsidR="006B5A8B" w:rsidRPr="006B5A8B" w:rsidRDefault="00B73D7A" w:rsidP="006B5A8B">
      <w:r>
        <w:rPr>
          <w:noProof/>
        </w:rPr>
        <w:pict w14:anchorId="7F095C0A">
          <v:rect id="_x0000_i1026" alt="" style="width:451.15pt;height:.05pt;mso-width-percent:0;mso-height-percent:0;mso-width-percent:0;mso-height-percent:0" o:hrpct="964" o:hralign="center" o:hrstd="t" o:hr="t" fillcolor="#a0a0a0" stroked="f"/>
        </w:pict>
      </w:r>
    </w:p>
    <w:p w14:paraId="3790D405" w14:textId="3C2D0D8D" w:rsidR="006B5A8B" w:rsidRPr="006B5A8B" w:rsidRDefault="006B5A8B" w:rsidP="006B5A8B">
      <w:pPr>
        <w:rPr>
          <w:b/>
          <w:bCs/>
        </w:rPr>
      </w:pPr>
      <w:r w:rsidRPr="006B5A8B">
        <w:rPr>
          <w:b/>
          <w:bCs/>
        </w:rPr>
        <w:t>Incentive Payout Schedule:</w:t>
      </w:r>
      <w:r w:rsidR="00571CA6">
        <w:rPr>
          <w:b/>
          <w:bCs/>
        </w:rPr>
        <w:t>s</w:t>
      </w:r>
    </w:p>
    <w:p w14:paraId="4A22835B" w14:textId="77777777" w:rsidR="006B5A8B" w:rsidRPr="006B5A8B" w:rsidRDefault="006B5A8B" w:rsidP="006B5A8B">
      <w:r w:rsidRPr="006B5A8B">
        <w:lastRenderedPageBreak/>
        <w:t xml:space="preserve">Incentives are </w:t>
      </w:r>
      <w:r w:rsidRPr="006B5A8B">
        <w:rPr>
          <w:b/>
          <w:bCs/>
        </w:rPr>
        <w:t>paid quarterly</w:t>
      </w:r>
      <w:r w:rsidRPr="006B5A8B">
        <w:t>, based on the slab achieved and payment percentage milestones: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4"/>
        <w:gridCol w:w="1942"/>
        <w:gridCol w:w="1604"/>
      </w:tblGrid>
      <w:tr w:rsidR="006B5A8B" w:rsidRPr="006B5A8B" w14:paraId="467E5256" w14:textId="77777777" w:rsidTr="006B5A8B">
        <w:trPr>
          <w:tblHeader/>
          <w:tblCellSpacing w:w="15" w:type="dxa"/>
        </w:trPr>
        <w:tc>
          <w:tcPr>
            <w:tcW w:w="0" w:type="auto"/>
            <w:vAlign w:val="center"/>
            <w:hideMark/>
          </w:tcPr>
          <w:p w14:paraId="29161519" w14:textId="77777777" w:rsidR="006B5A8B" w:rsidRPr="006B5A8B" w:rsidRDefault="006B5A8B" w:rsidP="006B5A8B">
            <w:pPr>
              <w:rPr>
                <w:b/>
                <w:bCs/>
              </w:rPr>
            </w:pPr>
            <w:r w:rsidRPr="006B5A8B">
              <w:rPr>
                <w:b/>
                <w:bCs/>
              </w:rPr>
              <w:t>Quarter</w:t>
            </w:r>
          </w:p>
        </w:tc>
        <w:tc>
          <w:tcPr>
            <w:tcW w:w="0" w:type="auto"/>
            <w:vAlign w:val="center"/>
            <w:hideMark/>
          </w:tcPr>
          <w:p w14:paraId="4F342E28" w14:textId="77777777" w:rsidR="006B5A8B" w:rsidRPr="006B5A8B" w:rsidRDefault="006B5A8B" w:rsidP="006B5A8B">
            <w:pPr>
              <w:rPr>
                <w:b/>
                <w:bCs/>
              </w:rPr>
            </w:pPr>
            <w:r w:rsidRPr="006B5A8B">
              <w:rPr>
                <w:b/>
                <w:bCs/>
              </w:rPr>
              <w:t>Sales Period</w:t>
            </w:r>
          </w:p>
        </w:tc>
        <w:tc>
          <w:tcPr>
            <w:tcW w:w="0" w:type="auto"/>
            <w:vAlign w:val="center"/>
            <w:hideMark/>
          </w:tcPr>
          <w:p w14:paraId="1FDB98B6" w14:textId="77777777" w:rsidR="006B5A8B" w:rsidRPr="006B5A8B" w:rsidRDefault="006B5A8B" w:rsidP="006B5A8B">
            <w:pPr>
              <w:rPr>
                <w:b/>
                <w:bCs/>
              </w:rPr>
            </w:pPr>
            <w:r w:rsidRPr="006B5A8B">
              <w:rPr>
                <w:b/>
                <w:bCs/>
              </w:rPr>
              <w:t>Incentive Paid In</w:t>
            </w:r>
          </w:p>
        </w:tc>
      </w:tr>
      <w:tr w:rsidR="006B5A8B" w:rsidRPr="006B5A8B" w14:paraId="02E457CA" w14:textId="77777777" w:rsidTr="006B5A8B">
        <w:trPr>
          <w:tblCellSpacing w:w="15" w:type="dxa"/>
        </w:trPr>
        <w:tc>
          <w:tcPr>
            <w:tcW w:w="0" w:type="auto"/>
            <w:vAlign w:val="center"/>
            <w:hideMark/>
          </w:tcPr>
          <w:p w14:paraId="77298D5F" w14:textId="77777777" w:rsidR="006B5A8B" w:rsidRPr="006B5A8B" w:rsidRDefault="006B5A8B" w:rsidP="006B5A8B">
            <w:r w:rsidRPr="006B5A8B">
              <w:t>Q1</w:t>
            </w:r>
          </w:p>
        </w:tc>
        <w:tc>
          <w:tcPr>
            <w:tcW w:w="0" w:type="auto"/>
            <w:vAlign w:val="center"/>
            <w:hideMark/>
          </w:tcPr>
          <w:p w14:paraId="10217771" w14:textId="77777777" w:rsidR="006B5A8B" w:rsidRPr="006B5A8B" w:rsidRDefault="006B5A8B" w:rsidP="006B5A8B">
            <w:r w:rsidRPr="006B5A8B">
              <w:t>January – March</w:t>
            </w:r>
          </w:p>
        </w:tc>
        <w:tc>
          <w:tcPr>
            <w:tcW w:w="0" w:type="auto"/>
            <w:vAlign w:val="center"/>
            <w:hideMark/>
          </w:tcPr>
          <w:p w14:paraId="6EEFDC53" w14:textId="77777777" w:rsidR="006B5A8B" w:rsidRPr="006B5A8B" w:rsidRDefault="006B5A8B" w:rsidP="006B5A8B">
            <w:r w:rsidRPr="006B5A8B">
              <w:t>April</w:t>
            </w:r>
          </w:p>
        </w:tc>
      </w:tr>
      <w:tr w:rsidR="006B5A8B" w:rsidRPr="006B5A8B" w14:paraId="1483BD37" w14:textId="77777777" w:rsidTr="006B5A8B">
        <w:trPr>
          <w:tblCellSpacing w:w="15" w:type="dxa"/>
        </w:trPr>
        <w:tc>
          <w:tcPr>
            <w:tcW w:w="0" w:type="auto"/>
            <w:vAlign w:val="center"/>
            <w:hideMark/>
          </w:tcPr>
          <w:p w14:paraId="0D0888C6" w14:textId="77777777" w:rsidR="006B5A8B" w:rsidRPr="006B5A8B" w:rsidRDefault="006B5A8B" w:rsidP="006B5A8B">
            <w:r w:rsidRPr="006B5A8B">
              <w:t>Q2</w:t>
            </w:r>
          </w:p>
        </w:tc>
        <w:tc>
          <w:tcPr>
            <w:tcW w:w="0" w:type="auto"/>
            <w:vAlign w:val="center"/>
            <w:hideMark/>
          </w:tcPr>
          <w:p w14:paraId="1B73C3BD" w14:textId="77777777" w:rsidR="006B5A8B" w:rsidRPr="006B5A8B" w:rsidRDefault="006B5A8B" w:rsidP="006B5A8B">
            <w:r w:rsidRPr="006B5A8B">
              <w:t>April – June</w:t>
            </w:r>
          </w:p>
        </w:tc>
        <w:tc>
          <w:tcPr>
            <w:tcW w:w="0" w:type="auto"/>
            <w:vAlign w:val="center"/>
            <w:hideMark/>
          </w:tcPr>
          <w:p w14:paraId="4328EFC9" w14:textId="77777777" w:rsidR="006B5A8B" w:rsidRPr="006B5A8B" w:rsidRDefault="006B5A8B" w:rsidP="006B5A8B">
            <w:r w:rsidRPr="006B5A8B">
              <w:t>July</w:t>
            </w:r>
          </w:p>
        </w:tc>
      </w:tr>
      <w:tr w:rsidR="006B5A8B" w:rsidRPr="006B5A8B" w14:paraId="1EF8A0B8" w14:textId="77777777" w:rsidTr="006B5A8B">
        <w:trPr>
          <w:tblCellSpacing w:w="15" w:type="dxa"/>
        </w:trPr>
        <w:tc>
          <w:tcPr>
            <w:tcW w:w="0" w:type="auto"/>
            <w:vAlign w:val="center"/>
            <w:hideMark/>
          </w:tcPr>
          <w:p w14:paraId="1CFE91D8" w14:textId="77777777" w:rsidR="006B5A8B" w:rsidRPr="006B5A8B" w:rsidRDefault="006B5A8B" w:rsidP="006B5A8B">
            <w:r w:rsidRPr="006B5A8B">
              <w:t>Q3</w:t>
            </w:r>
          </w:p>
        </w:tc>
        <w:tc>
          <w:tcPr>
            <w:tcW w:w="0" w:type="auto"/>
            <w:vAlign w:val="center"/>
            <w:hideMark/>
          </w:tcPr>
          <w:p w14:paraId="6D2DBB0C" w14:textId="77777777" w:rsidR="006B5A8B" w:rsidRPr="006B5A8B" w:rsidRDefault="006B5A8B" w:rsidP="006B5A8B">
            <w:r w:rsidRPr="006B5A8B">
              <w:t>July – September</w:t>
            </w:r>
          </w:p>
        </w:tc>
        <w:tc>
          <w:tcPr>
            <w:tcW w:w="0" w:type="auto"/>
            <w:vAlign w:val="center"/>
            <w:hideMark/>
          </w:tcPr>
          <w:p w14:paraId="0E6DA250" w14:textId="77777777" w:rsidR="006B5A8B" w:rsidRPr="006B5A8B" w:rsidRDefault="006B5A8B" w:rsidP="006B5A8B">
            <w:r w:rsidRPr="006B5A8B">
              <w:t>October</w:t>
            </w:r>
          </w:p>
        </w:tc>
      </w:tr>
      <w:tr w:rsidR="006B5A8B" w:rsidRPr="006B5A8B" w14:paraId="1933F496" w14:textId="77777777" w:rsidTr="006B5A8B">
        <w:trPr>
          <w:tblCellSpacing w:w="15" w:type="dxa"/>
        </w:trPr>
        <w:tc>
          <w:tcPr>
            <w:tcW w:w="0" w:type="auto"/>
            <w:vAlign w:val="center"/>
            <w:hideMark/>
          </w:tcPr>
          <w:p w14:paraId="433A7B86" w14:textId="77777777" w:rsidR="006B5A8B" w:rsidRPr="006B5A8B" w:rsidRDefault="006B5A8B" w:rsidP="006B5A8B">
            <w:r w:rsidRPr="006B5A8B">
              <w:t>Q4</w:t>
            </w:r>
          </w:p>
        </w:tc>
        <w:tc>
          <w:tcPr>
            <w:tcW w:w="0" w:type="auto"/>
            <w:vAlign w:val="center"/>
            <w:hideMark/>
          </w:tcPr>
          <w:p w14:paraId="35A1A4DD" w14:textId="77777777" w:rsidR="006B5A8B" w:rsidRPr="006B5A8B" w:rsidRDefault="006B5A8B" w:rsidP="006B5A8B">
            <w:r w:rsidRPr="006B5A8B">
              <w:t>October – December</w:t>
            </w:r>
          </w:p>
        </w:tc>
        <w:tc>
          <w:tcPr>
            <w:tcW w:w="0" w:type="auto"/>
            <w:vAlign w:val="center"/>
            <w:hideMark/>
          </w:tcPr>
          <w:p w14:paraId="153E7C51" w14:textId="77777777" w:rsidR="006B5A8B" w:rsidRPr="006B5A8B" w:rsidRDefault="006B5A8B" w:rsidP="006B5A8B">
            <w:r w:rsidRPr="006B5A8B">
              <w:t>January</w:t>
            </w:r>
          </w:p>
        </w:tc>
      </w:tr>
    </w:tbl>
    <w:p w14:paraId="793AEB11" w14:textId="77777777" w:rsidR="006B5A8B" w:rsidRPr="006B5A8B" w:rsidRDefault="006B5A8B" w:rsidP="006B5A8B">
      <w:r w:rsidRPr="006B5A8B">
        <w:t xml:space="preserve">For example, if the </w:t>
      </w:r>
      <w:r w:rsidRPr="006B5A8B">
        <w:rPr>
          <w:b/>
          <w:bCs/>
        </w:rPr>
        <w:t>current month is May</w:t>
      </w:r>
      <w:r w:rsidRPr="006B5A8B">
        <w:t xml:space="preserve">, the incentive earned during this period will be </w:t>
      </w:r>
      <w:r w:rsidRPr="006B5A8B">
        <w:rPr>
          <w:b/>
          <w:bCs/>
        </w:rPr>
        <w:t>paid in July</w:t>
      </w:r>
      <w:r w:rsidRPr="006B5A8B">
        <w:t>.</w:t>
      </w:r>
    </w:p>
    <w:p w14:paraId="6458DD71" w14:textId="77777777" w:rsidR="006B5A8B" w:rsidRPr="006B5A8B" w:rsidRDefault="00B73D7A" w:rsidP="006B5A8B">
      <w:r>
        <w:rPr>
          <w:noProof/>
        </w:rPr>
        <w:pict w14:anchorId="251CD4FC">
          <v:rect id="_x0000_i1025" alt="" style="width:451.15pt;height:.05pt;mso-width-percent:0;mso-height-percent:0;mso-width-percent:0;mso-height-percent:0" o:hrpct="964" o:hralign="center" o:hrstd="t" o:hr="t" fillcolor="#a0a0a0" stroked="f"/>
        </w:pict>
      </w:r>
    </w:p>
    <w:p w14:paraId="4034120A" w14:textId="77777777" w:rsidR="006B5A8B" w:rsidRPr="006B5A8B" w:rsidRDefault="006B5A8B" w:rsidP="006B5A8B">
      <w:pPr>
        <w:rPr>
          <w:b/>
          <w:bCs/>
        </w:rPr>
      </w:pPr>
      <w:r w:rsidRPr="006B5A8B">
        <w:rPr>
          <w:b/>
          <w:bCs/>
        </w:rPr>
        <w:t>Milestone-Based Incentive Payout:</w:t>
      </w:r>
    </w:p>
    <w:p w14:paraId="28A4E93E" w14:textId="77777777" w:rsidR="006B5A8B" w:rsidRPr="006B5A8B" w:rsidRDefault="006B5A8B" w:rsidP="006B5A8B">
      <w:r w:rsidRPr="006B5A8B">
        <w:t>The incentive is paid in parts based on the payment percentage received per customer/sale:</w:t>
      </w:r>
    </w:p>
    <w:p w14:paraId="5994C0AB" w14:textId="77777777" w:rsidR="006B5A8B" w:rsidRPr="006B5A8B" w:rsidRDefault="006B5A8B" w:rsidP="006B5A8B">
      <w:pPr>
        <w:numPr>
          <w:ilvl w:val="0"/>
          <w:numId w:val="4"/>
        </w:numPr>
      </w:pPr>
      <w:r w:rsidRPr="006B5A8B">
        <w:t>30% Payment Received → 30% of Incentive is paid</w:t>
      </w:r>
    </w:p>
    <w:p w14:paraId="3AB05576" w14:textId="77777777" w:rsidR="006B5A8B" w:rsidRPr="006B5A8B" w:rsidRDefault="006B5A8B" w:rsidP="006B5A8B">
      <w:pPr>
        <w:numPr>
          <w:ilvl w:val="0"/>
          <w:numId w:val="4"/>
        </w:numPr>
      </w:pPr>
      <w:r w:rsidRPr="006B5A8B">
        <w:t>50% Payment Received → 50% of Incentive is paid</w:t>
      </w:r>
    </w:p>
    <w:p w14:paraId="19CB5494" w14:textId="77777777" w:rsidR="006B5A8B" w:rsidRPr="006B5A8B" w:rsidRDefault="006B5A8B" w:rsidP="006B5A8B">
      <w:pPr>
        <w:numPr>
          <w:ilvl w:val="0"/>
          <w:numId w:val="4"/>
        </w:numPr>
      </w:pPr>
      <w:r w:rsidRPr="006B5A8B">
        <w:t>75% Payment Received → 75% of Incentive is paid</w:t>
      </w:r>
    </w:p>
    <w:p w14:paraId="28787AE6" w14:textId="77777777" w:rsidR="006B5A8B" w:rsidRPr="006B5A8B" w:rsidRDefault="006B5A8B" w:rsidP="006B5A8B">
      <w:pPr>
        <w:numPr>
          <w:ilvl w:val="0"/>
          <w:numId w:val="4"/>
        </w:numPr>
      </w:pPr>
      <w:r w:rsidRPr="006B5A8B">
        <w:t>100% Payment Received → Full Incentive is paid</w:t>
      </w:r>
    </w:p>
    <w:p w14:paraId="310F87D2" w14:textId="77777777" w:rsidR="006B5A8B" w:rsidRPr="006B5A8B" w:rsidRDefault="006B5A8B" w:rsidP="006B5A8B">
      <w:r w:rsidRPr="006B5A8B">
        <w:t xml:space="preserve">So, at the time of calculating incentives for </w:t>
      </w:r>
      <w:r w:rsidRPr="006B5A8B">
        <w:rPr>
          <w:b/>
          <w:bCs/>
        </w:rPr>
        <w:t>July</w:t>
      </w:r>
      <w:r w:rsidRPr="006B5A8B">
        <w:t xml:space="preserve">, the system will check all sales up to </w:t>
      </w:r>
      <w:r w:rsidRPr="006B5A8B">
        <w:rPr>
          <w:b/>
          <w:bCs/>
        </w:rPr>
        <w:t>June end</w:t>
      </w:r>
      <w:r w:rsidRPr="006B5A8B">
        <w:t xml:space="preserve"> and evaluate which of them reached 30%, 50%, 75%, or 100% payment received milestones. Based on that, the appropriate incentive amount will be paid.</w:t>
      </w:r>
    </w:p>
    <w:p w14:paraId="3BDA5AF5" w14:textId="77777777" w:rsidR="006B5A8B" w:rsidRPr="006B5A8B" w:rsidRDefault="006B5A8B" w:rsidP="006B5A8B">
      <w:r w:rsidRPr="006B5A8B">
        <w:t xml:space="preserve">This process continues for every quarter, i.e., from </w:t>
      </w:r>
      <w:r w:rsidRPr="006B5A8B">
        <w:rPr>
          <w:b/>
          <w:bCs/>
        </w:rPr>
        <w:t>July to September</w:t>
      </w:r>
      <w:r w:rsidRPr="006B5A8B">
        <w:t xml:space="preserve">, all leads (new or old) hitting the payment milestones will be considered in the </w:t>
      </w:r>
      <w:r w:rsidRPr="006B5A8B">
        <w:rPr>
          <w:b/>
          <w:bCs/>
        </w:rPr>
        <w:t>October payout cycle</w:t>
      </w:r>
      <w:r w:rsidRPr="006B5A8B">
        <w:t>.</w:t>
      </w:r>
    </w:p>
    <w:p w14:paraId="65549FA9" w14:textId="0BF87705" w:rsidR="006B5A8B" w:rsidRPr="006B5A8B" w:rsidRDefault="006B5A8B" w:rsidP="006B5A8B"/>
    <w:sectPr w:rsidR="006B5A8B" w:rsidRPr="006B5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736A99"/>
    <w:multiLevelType w:val="multilevel"/>
    <w:tmpl w:val="55BE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14497"/>
    <w:multiLevelType w:val="multilevel"/>
    <w:tmpl w:val="3FA2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610CD"/>
    <w:multiLevelType w:val="multilevel"/>
    <w:tmpl w:val="6E68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54A31"/>
    <w:multiLevelType w:val="hybridMultilevel"/>
    <w:tmpl w:val="6D7C9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985313">
    <w:abstractNumId w:val="3"/>
  </w:num>
  <w:num w:numId="2" w16cid:durableId="36049767">
    <w:abstractNumId w:val="1"/>
  </w:num>
  <w:num w:numId="3" w16cid:durableId="969940486">
    <w:abstractNumId w:val="2"/>
  </w:num>
  <w:num w:numId="4" w16cid:durableId="66913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1E27"/>
    <w:rsid w:val="000E630C"/>
    <w:rsid w:val="003F3391"/>
    <w:rsid w:val="0055160E"/>
    <w:rsid w:val="00571CA6"/>
    <w:rsid w:val="006B5A8B"/>
    <w:rsid w:val="00772160"/>
    <w:rsid w:val="00954CDD"/>
    <w:rsid w:val="00961E27"/>
    <w:rsid w:val="00A662F8"/>
    <w:rsid w:val="00B73D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D1E5"/>
  <w15:chartTrackingRefBased/>
  <w15:docId w15:val="{C6C792F3-55F8-42E7-83D6-9612C21D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E2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61E2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61E2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61E2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61E2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61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E2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61E2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1E2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61E2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61E2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61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E27"/>
    <w:rPr>
      <w:rFonts w:eastAsiaTheme="majorEastAsia" w:cstheme="majorBidi"/>
      <w:color w:val="272727" w:themeColor="text1" w:themeTint="D8"/>
    </w:rPr>
  </w:style>
  <w:style w:type="paragraph" w:styleId="Title">
    <w:name w:val="Title"/>
    <w:basedOn w:val="Normal"/>
    <w:next w:val="Normal"/>
    <w:link w:val="TitleChar"/>
    <w:uiPriority w:val="10"/>
    <w:qFormat/>
    <w:rsid w:val="00961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E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E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E27"/>
    <w:rPr>
      <w:i/>
      <w:iCs/>
      <w:color w:val="404040" w:themeColor="text1" w:themeTint="BF"/>
    </w:rPr>
  </w:style>
  <w:style w:type="paragraph" w:styleId="ListParagraph">
    <w:name w:val="List Paragraph"/>
    <w:basedOn w:val="Normal"/>
    <w:uiPriority w:val="34"/>
    <w:qFormat/>
    <w:rsid w:val="00961E27"/>
    <w:pPr>
      <w:ind w:left="720"/>
      <w:contextualSpacing/>
    </w:pPr>
  </w:style>
  <w:style w:type="character" w:styleId="IntenseEmphasis">
    <w:name w:val="Intense Emphasis"/>
    <w:basedOn w:val="DefaultParagraphFont"/>
    <w:uiPriority w:val="21"/>
    <w:qFormat/>
    <w:rsid w:val="00961E27"/>
    <w:rPr>
      <w:i/>
      <w:iCs/>
      <w:color w:val="365F91" w:themeColor="accent1" w:themeShade="BF"/>
    </w:rPr>
  </w:style>
  <w:style w:type="paragraph" w:styleId="IntenseQuote">
    <w:name w:val="Intense Quote"/>
    <w:basedOn w:val="Normal"/>
    <w:next w:val="Normal"/>
    <w:link w:val="IntenseQuoteChar"/>
    <w:uiPriority w:val="30"/>
    <w:qFormat/>
    <w:rsid w:val="00961E2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61E27"/>
    <w:rPr>
      <w:i/>
      <w:iCs/>
      <w:color w:val="365F91" w:themeColor="accent1" w:themeShade="BF"/>
    </w:rPr>
  </w:style>
  <w:style w:type="character" w:styleId="IntenseReference">
    <w:name w:val="Intense Reference"/>
    <w:basedOn w:val="DefaultParagraphFont"/>
    <w:uiPriority w:val="32"/>
    <w:qFormat/>
    <w:rsid w:val="00961E2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582647">
      <w:bodyDiv w:val="1"/>
      <w:marLeft w:val="0"/>
      <w:marRight w:val="0"/>
      <w:marTop w:val="0"/>
      <w:marBottom w:val="0"/>
      <w:divBdr>
        <w:top w:val="none" w:sz="0" w:space="0" w:color="auto"/>
        <w:left w:val="none" w:sz="0" w:space="0" w:color="auto"/>
        <w:bottom w:val="none" w:sz="0" w:space="0" w:color="auto"/>
        <w:right w:val="none" w:sz="0" w:space="0" w:color="auto"/>
      </w:divBdr>
      <w:divsChild>
        <w:div w:id="1707414926">
          <w:marLeft w:val="0"/>
          <w:marRight w:val="0"/>
          <w:marTop w:val="0"/>
          <w:marBottom w:val="0"/>
          <w:divBdr>
            <w:top w:val="none" w:sz="0" w:space="0" w:color="auto"/>
            <w:left w:val="none" w:sz="0" w:space="0" w:color="auto"/>
            <w:bottom w:val="none" w:sz="0" w:space="0" w:color="auto"/>
            <w:right w:val="none" w:sz="0" w:space="0" w:color="auto"/>
          </w:divBdr>
          <w:divsChild>
            <w:div w:id="1030298795">
              <w:marLeft w:val="0"/>
              <w:marRight w:val="0"/>
              <w:marTop w:val="0"/>
              <w:marBottom w:val="0"/>
              <w:divBdr>
                <w:top w:val="none" w:sz="0" w:space="0" w:color="auto"/>
                <w:left w:val="none" w:sz="0" w:space="0" w:color="auto"/>
                <w:bottom w:val="none" w:sz="0" w:space="0" w:color="auto"/>
                <w:right w:val="none" w:sz="0" w:space="0" w:color="auto"/>
              </w:divBdr>
            </w:div>
          </w:divsChild>
        </w:div>
        <w:div w:id="168632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798164">
          <w:marLeft w:val="0"/>
          <w:marRight w:val="0"/>
          <w:marTop w:val="0"/>
          <w:marBottom w:val="0"/>
          <w:divBdr>
            <w:top w:val="none" w:sz="0" w:space="0" w:color="auto"/>
            <w:left w:val="none" w:sz="0" w:space="0" w:color="auto"/>
            <w:bottom w:val="none" w:sz="0" w:space="0" w:color="auto"/>
            <w:right w:val="none" w:sz="0" w:space="0" w:color="auto"/>
          </w:divBdr>
          <w:divsChild>
            <w:div w:id="7711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5442">
      <w:bodyDiv w:val="1"/>
      <w:marLeft w:val="0"/>
      <w:marRight w:val="0"/>
      <w:marTop w:val="0"/>
      <w:marBottom w:val="0"/>
      <w:divBdr>
        <w:top w:val="none" w:sz="0" w:space="0" w:color="auto"/>
        <w:left w:val="none" w:sz="0" w:space="0" w:color="auto"/>
        <w:bottom w:val="none" w:sz="0" w:space="0" w:color="auto"/>
        <w:right w:val="none" w:sz="0" w:space="0" w:color="auto"/>
      </w:divBdr>
      <w:divsChild>
        <w:div w:id="1319117270">
          <w:marLeft w:val="0"/>
          <w:marRight w:val="0"/>
          <w:marTop w:val="0"/>
          <w:marBottom w:val="0"/>
          <w:divBdr>
            <w:top w:val="none" w:sz="0" w:space="0" w:color="auto"/>
            <w:left w:val="none" w:sz="0" w:space="0" w:color="auto"/>
            <w:bottom w:val="none" w:sz="0" w:space="0" w:color="auto"/>
            <w:right w:val="none" w:sz="0" w:space="0" w:color="auto"/>
          </w:divBdr>
          <w:divsChild>
            <w:div w:id="374935422">
              <w:marLeft w:val="0"/>
              <w:marRight w:val="0"/>
              <w:marTop w:val="0"/>
              <w:marBottom w:val="0"/>
              <w:divBdr>
                <w:top w:val="none" w:sz="0" w:space="0" w:color="auto"/>
                <w:left w:val="none" w:sz="0" w:space="0" w:color="auto"/>
                <w:bottom w:val="none" w:sz="0" w:space="0" w:color="auto"/>
                <w:right w:val="none" w:sz="0" w:space="0" w:color="auto"/>
              </w:divBdr>
            </w:div>
          </w:divsChild>
        </w:div>
        <w:div w:id="709451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915471">
          <w:marLeft w:val="0"/>
          <w:marRight w:val="0"/>
          <w:marTop w:val="0"/>
          <w:marBottom w:val="0"/>
          <w:divBdr>
            <w:top w:val="none" w:sz="0" w:space="0" w:color="auto"/>
            <w:left w:val="none" w:sz="0" w:space="0" w:color="auto"/>
            <w:bottom w:val="none" w:sz="0" w:space="0" w:color="auto"/>
            <w:right w:val="none" w:sz="0" w:space="0" w:color="auto"/>
          </w:divBdr>
          <w:divsChild>
            <w:div w:id="13853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Kumar</dc:creator>
  <cp:keywords/>
  <dc:description/>
  <cp:lastModifiedBy>a51862</cp:lastModifiedBy>
  <cp:revision>4</cp:revision>
  <cp:lastPrinted>2025-05-22T11:28:00Z</cp:lastPrinted>
  <dcterms:created xsi:type="dcterms:W3CDTF">2025-05-22T11:28:00Z</dcterms:created>
  <dcterms:modified xsi:type="dcterms:W3CDTF">2025-05-22T11:33:00Z</dcterms:modified>
</cp:coreProperties>
</file>