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Solution Architecture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p>
      <w:r>
        <w:drawing>
          <wp:inline xmlns:a="http://schemas.openxmlformats.org/drawingml/2006/main" xmlns:pic="http://schemas.openxmlformats.org/drawingml/2006/picture">
            <wp:extent cx="5852160" cy="3489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Solution architecture.</w:t>
      </w:r>
    </w:p>
    <w:p>
      <w:pPr>
        <w:pStyle w:val="Heading1"/>
      </w:pPr>
      <w:r>
        <w:t>Architecture Components</w:t>
      </w:r>
    </w:p>
    <w:p>
      <w:pPr>
        <w:pStyle w:val="ListBullet"/>
      </w:pPr>
      <w:r>
        <w:t>Requester interface / ticket form</w:t>
      </w:r>
    </w:p>
    <w:p>
      <w:pPr>
        <w:pStyle w:val="ListBullet"/>
      </w:pPr>
      <w:r>
        <w:t>Incident Workflow data table</w:t>
      </w:r>
    </w:p>
    <w:p>
      <w:pPr>
        <w:pStyle w:val="ListBullet"/>
      </w:pPr>
      <w:r>
        <w:t>Flow Designer trigger and conditions</w:t>
      </w:r>
    </w:p>
    <w:p>
      <w:pPr>
        <w:pStyle w:val="ListBullet"/>
      </w:pPr>
      <w:r>
        <w:t>Update Record actions</w:t>
      </w:r>
    </w:p>
    <w:p>
      <w:pPr>
        <w:pStyle w:val="ListBullet"/>
      </w:pPr>
      <w:r>
        <w:t>Email notification action</w:t>
      </w:r>
    </w:p>
    <w:p>
      <w:pPr>
        <w:pStyle w:val="Heading1"/>
      </w:pPr>
      <w:r>
        <w:t>Control Point</w:t>
      </w:r>
    </w:p>
    <w:p>
      <w:r>
        <w:t>The Category-is-NULL trigger condition prevents already classified records from being processed by the classification flow.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