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6B"/>
          <w:sz w:val="32"/>
        </w:rPr>
        <w:t>MASTER PROCUREMENT AGREEMENT</w:t>
      </w:r>
    </w:p>
    <w:p>
      <w:pPr>
        <w:jc w:val="center"/>
      </w:pPr>
      <w:r>
        <w:rPr>
          <w:b/>
          <w:color w:val="2E6DA4"/>
          <w:sz w:val="24"/>
        </w:rPr>
        <w:t>McKesson Corporation — Kirby and Sons</w:t>
      </w:r>
    </w:p>
    <w:p>
      <w:pPr>
        <w:jc w:val="center"/>
      </w:pPr>
      <w:r>
        <w:rPr>
          <w:color w:val="888888"/>
          <w:sz w:val="18"/>
        </w:rPr>
        <w:t>Contract No: MCK-2024-0223  |  Effective: 2024-08-01  |  Expiry: 2025-07-31</w:t>
      </w:r>
    </w:p>
    <w:p>
      <w:pPr>
        <w:pBdr>
          <w:bottom w:val="single" w:sz="12" w:space="1" w:color="1B3A6B"/>
        </w:pBdr>
      </w:pPr>
    </w:p>
    <w:p>
      <w:pPr>
        <w:spacing w:before="200" w:after="80"/>
      </w:pPr>
      <w:r>
        <w:rPr>
          <w:b/>
          <w:color w:val="1B3A6B"/>
          <w:sz w:val="22"/>
        </w:rPr>
        <w:t>1. PARTIES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Address</w:t>
            </w:r>
          </w:p>
        </w:tc>
        <w:tc>
          <w:tcPr>
            <w:tcW w:type="dxa" w:w="2340"/>
            <w:shd w:val="clear" w:color="auto" w:fill="1B3A6B"/>
          </w:tcPr>
          <w:p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Buyer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McKesson Corporation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One Post Street, San Francisco, CA 94104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procurement@mckesson.com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Supplier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Kirby and Sons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400 Office Park, Columbus, OH 43201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Robert Kirby | r.kirby@kirbyandsons.com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2. SCOPE OF AGREEMENT</w:t>
      </w:r>
    </w:p>
    <w:p>
      <w:pPr>
        <w:jc w:val="both"/>
      </w:pPr>
      <w:r>
        <w:rPr>
          <w:sz w:val="19"/>
        </w:rPr>
        <w:t>This Master Procurement Agreement ('Agreement') governs the procurement of Office Supplies &amp; Managed Print products and services by McKesson Corporation ('Buyer') from Kirby and Sons ('Supplier'). All purchase orders issued under this Agreement are subject to the terms herein.</w:t>
      </w:r>
    </w:p>
    <w:p>
      <w:pPr>
        <w:spacing w:before="200" w:after="80"/>
      </w:pPr>
      <w:r>
        <w:rPr>
          <w:b/>
          <w:color w:val="1B3A6B"/>
          <w:sz w:val="22"/>
        </w:rPr>
        <w:t>3. PRICING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Line Item / Service</w:t>
            </w:r>
          </w:p>
        </w:tc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3120"/>
            <w:shd w:val="clear" w:color="auto" w:fill="2E6DA4"/>
          </w:tcPr>
          <w:p>
            <w:r>
              <w:rPr>
                <w:b/>
                <w:color w:val="FFFFFF"/>
                <w:sz w:val="18"/>
              </w:rPr>
              <w:t>Volume Commitment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Managed Print Services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$0.008/page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Est. 12M pages/yr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Office Supplies (catalog)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Contracted pricing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Open 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Printer Hardware Lease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$450/device/mo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85 devices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4. COMMERCIAL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Total Annual Spend (Est.)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$980,000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Negotiated Savings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3.8%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Payment Terms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Net 30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Currency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Invoice Frequency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Monthly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Early Pay Discount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1% / 10 Net 30</w:t>
            </w:r>
          </w:p>
        </w:tc>
      </w:tr>
    </w:tbl>
    <w:p/>
    <w:p>
      <w:pPr>
        <w:spacing w:before="200" w:after="80"/>
      </w:pPr>
      <w:r>
        <w:rPr>
          <w:b/>
          <w:color w:val="1B3A6B"/>
          <w:sz w:val="22"/>
        </w:rPr>
        <w:t>5. SERVICE LEVEL AGREEMENT (SLA)</w:t>
      </w:r>
    </w:p>
    <w:p>
      <w:pPr>
        <w:jc w:val="both"/>
      </w:pPr>
      <w:r>
        <w:rPr>
          <w:sz w:val="19"/>
        </w:rPr>
        <w:t>Supplier shall meet the following performance standards: 4hr printer downtime response, 99% catalog fulfillment. Performance will be measured monthly and reported in the Supplier Scorecard.</w:t>
      </w:r>
    </w:p>
    <w:p>
      <w:pPr>
        <w:spacing w:before="200" w:after="80"/>
      </w:pPr>
      <w:r>
        <w:rPr>
          <w:b/>
          <w:color w:val="1B3A6B"/>
          <w:sz w:val="22"/>
        </w:rPr>
        <w:t>6. PENALTIES &amp; REMEDIES</w:t>
      </w:r>
    </w:p>
    <w:p>
      <w:pPr>
        <w:jc w:val="both"/>
      </w:pPr>
      <w:r>
        <w:rPr>
          <w:sz w:val="19"/>
        </w:rPr>
        <w:t>In the event of SLA non-compliance, the following remedies apply: Free service call + supplies credit per SLA miss. Repeated breaches (3 or more in a 12-month period) constitute grounds for contract termination with 30 days written notice.</w:t>
      </w:r>
    </w:p>
    <w:p>
      <w:pPr>
        <w:spacing w:before="200" w:after="80"/>
      </w:pPr>
      <w:r>
        <w:rPr>
          <w:b/>
          <w:color w:val="1B3A6B"/>
          <w:sz w:val="22"/>
        </w:rPr>
        <w:t>7. GENERAL TERMS</w:t>
      </w:r>
    </w:p>
    <w:p>
      <w:pPr>
        <w:jc w:val="both"/>
      </w:pPr>
      <w:r>
        <w:rPr>
          <w:b/>
          <w:sz w:val="19"/>
        </w:rPr>
        <w:t xml:space="preserve">Confidentiality: </w:t>
      </w:r>
      <w:r>
        <w:rPr>
          <w:sz w:val="19"/>
        </w:rPr>
        <w:t>Both parties agree to maintain strict confidentiality of all proprietary information exchanged under this Agreement for a period of 5 years post-termination.</w:t>
      </w:r>
    </w:p>
    <w:p>
      <w:pPr>
        <w:jc w:val="both"/>
      </w:pPr>
      <w:r>
        <w:rPr>
          <w:b/>
          <w:sz w:val="19"/>
        </w:rPr>
        <w:t xml:space="preserve">Governing Law: </w:t>
      </w:r>
      <w:r>
        <w:rPr>
          <w:sz w:val="19"/>
        </w:rPr>
        <w:t>This Agreement shall be governed by the laws of the State of California, without regard to conflict of law principles.</w:t>
      </w:r>
    </w:p>
    <w:p>
      <w:pPr>
        <w:jc w:val="both"/>
      </w:pPr>
      <w:r>
        <w:rPr>
          <w:b/>
          <w:sz w:val="19"/>
        </w:rPr>
        <w:t xml:space="preserve">Force Majeure: </w:t>
      </w:r>
      <w:r>
        <w:rPr>
          <w:sz w:val="19"/>
        </w:rPr>
        <w:t>Neither party shall be liable for delays caused by circumstances beyond their reasonable control, provided written notice is given within 5 business days.</w:t>
      </w:r>
    </w:p>
    <w:p>
      <w:pPr>
        <w:jc w:val="both"/>
      </w:pPr>
      <w:r>
        <w:rPr>
          <w:b/>
          <w:sz w:val="19"/>
        </w:rPr>
        <w:t xml:space="preserve">Amendments: </w:t>
      </w:r>
      <w:r>
        <w:rPr>
          <w:sz w:val="19"/>
        </w:rPr>
        <w:t>Any amendments to this Agreement must be made in writing and signed by authorized representatives of both parties.</w:t>
      </w:r>
    </w:p>
    <w:p>
      <w:pPr>
        <w:jc w:val="both"/>
      </w:pPr>
      <w:r>
        <w:rPr>
          <w:b/>
          <w:sz w:val="19"/>
        </w:rPr>
        <w:t xml:space="preserve">Termination for Convenience: </w:t>
      </w:r>
      <w:r>
        <w:rPr>
          <w:sz w:val="19"/>
        </w:rPr>
        <w:t>Either party may terminate this Agreement with 90 days written notice. McKesson may terminate immediately for cause with documented evidence.</w:t>
      </w:r>
    </w:p>
    <w:p/>
    <w:p>
      <w:pPr>
        <w:spacing w:before="200" w:after="80"/>
      </w:pPr>
      <w:r>
        <w:rPr>
          <w:b/>
          <w:color w:val="1B3A6B"/>
          <w:sz w:val="22"/>
        </w:rPr>
        <w:t>8. 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8"/>
              </w:rPr>
              <w:t>McKesson Corporation</w:t>
            </w:r>
          </w:p>
        </w:tc>
        <w:tc>
          <w:tcPr>
            <w:tcW w:type="dxa" w:w="4680"/>
          </w:tcPr>
          <w:p>
            <w:r>
              <w:rPr>
                <w:b/>
                <w:sz w:val="18"/>
              </w:rPr>
              <w:t>Kirby and Sons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</w:r>
          </w:p>
        </w:tc>
        <w:tc>
          <w:tcPr>
            <w:tcW w:type="dxa" w:w="46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________________________________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________________________________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Authorized Signatory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Authorized Signatory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Title: VP, Strategic Sourcing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Title: Robert Kirby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Date: ___________________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Date: ___________________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