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6B"/>
          <w:sz w:val="32"/>
        </w:rPr>
        <w:t>MASTER PROCUREMENT AGREEMENT</w:t>
      </w:r>
    </w:p>
    <w:p>
      <w:pPr>
        <w:jc w:val="center"/>
      </w:pPr>
      <w:r>
        <w:rPr>
          <w:b/>
          <w:color w:val="2E6DA4"/>
          <w:sz w:val="24"/>
        </w:rPr>
        <w:t>McKesson Corporation — Vargas PLC</w:t>
      </w:r>
    </w:p>
    <w:p>
      <w:pPr>
        <w:jc w:val="center"/>
      </w:pPr>
      <w:r>
        <w:rPr>
          <w:color w:val="888888"/>
          <w:sz w:val="18"/>
        </w:rPr>
        <w:t>Contract No: MCK-2024-0178  |  Effective: 2024-01-15  |  Expiry: 2026-01-14</w:t>
      </w:r>
    </w:p>
    <w:p>
      <w:pPr>
        <w:pBdr>
          <w:bottom w:val="single" w:sz="12" w:space="1" w:color="1B3A6B"/>
        </w:pBdr>
      </w:pPr>
    </w:p>
    <w:p>
      <w:pPr>
        <w:spacing w:before="200" w:after="80"/>
      </w:pPr>
      <w:r>
        <w:rPr>
          <w:b/>
          <w:color w:val="1B3A6B"/>
          <w:sz w:val="22"/>
        </w:rPr>
        <w:t>1. PARTIES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B3A6B"/>
          </w:tcPr>
          <w:p>
            <w:r>
              <w:rPr>
                <w:b/>
                <w:color w:val="FFFFFF"/>
                <w:sz w:val="18"/>
              </w:rPr>
              <w:t>Role</w:t>
            </w:r>
          </w:p>
        </w:tc>
        <w:tc>
          <w:tcPr>
            <w:tcW w:type="dxa" w:w="2340"/>
            <w:shd w:val="clear" w:color="auto" w:fill="1B3A6B"/>
          </w:tcPr>
          <w:p>
            <w:r>
              <w:rPr>
                <w:b/>
                <w:color w:val="FFFFFF"/>
                <w:sz w:val="18"/>
              </w:rPr>
              <w:t>Entity</w:t>
            </w:r>
          </w:p>
        </w:tc>
        <w:tc>
          <w:tcPr>
            <w:tcW w:type="dxa" w:w="2340"/>
            <w:shd w:val="clear" w:color="auto" w:fill="1B3A6B"/>
          </w:tcPr>
          <w:p>
            <w:r>
              <w:rPr>
                <w:b/>
                <w:color w:val="FFFFFF"/>
                <w:sz w:val="18"/>
              </w:rPr>
              <w:t>Address</w:t>
            </w:r>
          </w:p>
        </w:tc>
        <w:tc>
          <w:tcPr>
            <w:tcW w:type="dxa" w:w="2340"/>
            <w:shd w:val="clear" w:color="auto" w:fill="1B3A6B"/>
          </w:tcPr>
          <w:p>
            <w:r>
              <w:rPr>
                <w:b/>
                <w:color w:val="FFFFFF"/>
                <w:sz w:val="18"/>
              </w:rPr>
              <w:t>Contact</w:t>
            </w:r>
          </w:p>
        </w:tc>
      </w:tr>
      <w:tr>
        <w:tc>
          <w:tcPr>
            <w:tcW w:type="dxa" w:w="2340"/>
          </w:tcPr>
          <w:p>
            <w:r>
              <w:rPr>
                <w:sz w:val="18"/>
              </w:rPr>
              <w:t>Buyer</w:t>
            </w:r>
          </w:p>
        </w:tc>
        <w:tc>
          <w:tcPr>
            <w:tcW w:type="dxa" w:w="2340"/>
          </w:tcPr>
          <w:p>
            <w:r>
              <w:rPr>
                <w:sz w:val="18"/>
              </w:rPr>
              <w:t>McKesson Corporation</w:t>
            </w:r>
          </w:p>
        </w:tc>
        <w:tc>
          <w:tcPr>
            <w:tcW w:type="dxa" w:w="2340"/>
          </w:tcPr>
          <w:p>
            <w:r>
              <w:rPr>
                <w:sz w:val="18"/>
              </w:rPr>
              <w:t>One Post Street, San Francisco, CA 94104</w:t>
            </w:r>
          </w:p>
        </w:tc>
        <w:tc>
          <w:tcPr>
            <w:tcW w:type="dxa" w:w="2340"/>
          </w:tcPr>
          <w:p>
            <w:r>
              <w:rPr>
                <w:sz w:val="18"/>
              </w:rPr>
              <w:t>procurement@mckesson.com</w:t>
            </w:r>
          </w:p>
        </w:tc>
      </w:tr>
      <w:tr>
        <w:tc>
          <w:tcPr>
            <w:tcW w:type="dxa" w:w="2340"/>
          </w:tcPr>
          <w:p>
            <w:r>
              <w:rPr>
                <w:sz w:val="18"/>
              </w:rPr>
              <w:t>Supplier</w:t>
            </w:r>
          </w:p>
        </w:tc>
        <w:tc>
          <w:tcPr>
            <w:tcW w:type="dxa" w:w="2340"/>
          </w:tcPr>
          <w:p>
            <w:r>
              <w:rPr>
                <w:sz w:val="18"/>
              </w:rPr>
              <w:t>Vargas PLC</w:t>
            </w:r>
          </w:p>
        </w:tc>
        <w:tc>
          <w:tcPr>
            <w:tcW w:type="dxa" w:w="2340"/>
          </w:tcPr>
          <w:p>
            <w:r>
              <w:rPr>
                <w:sz w:val="18"/>
              </w:rPr>
              <w:t>555 Safety Blvd, Louisville, KY 40201</w:t>
            </w:r>
          </w:p>
        </w:tc>
        <w:tc>
          <w:tcPr>
            <w:tcW w:type="dxa" w:w="2340"/>
          </w:tcPr>
          <w:p>
            <w:r>
              <w:rPr>
                <w:sz w:val="18"/>
              </w:rPr>
              <w:t>Miguel Vargas | m.vargas@vargasplc.com</w:t>
            </w:r>
          </w:p>
        </w:tc>
      </w:tr>
    </w:tbl>
    <w:p/>
    <w:p>
      <w:pPr>
        <w:spacing w:before="200" w:after="80"/>
      </w:pPr>
      <w:r>
        <w:rPr>
          <w:b/>
          <w:color w:val="1B3A6B"/>
          <w:sz w:val="22"/>
        </w:rPr>
        <w:t>2. SCOPE OF AGREEMENT</w:t>
      </w:r>
    </w:p>
    <w:p>
      <w:pPr>
        <w:jc w:val="both"/>
      </w:pPr>
      <w:r>
        <w:rPr>
          <w:sz w:val="19"/>
        </w:rPr>
        <w:t>This Master Procurement Agreement ('Agreement') governs the procurement of Personal Protective Equipment products and services by McKesson Corporation ('Buyer') from Vargas PLC ('Supplier'). All purchase orders issued under this Agreement are subject to the terms herein.</w:t>
      </w:r>
    </w:p>
    <w:p>
      <w:pPr>
        <w:spacing w:before="200" w:after="80"/>
      </w:pPr>
      <w:r>
        <w:rPr>
          <w:b/>
          <w:color w:val="1B3A6B"/>
          <w:sz w:val="22"/>
        </w:rPr>
        <w:t>3. PRICING SCHEDULE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Pr>
          <w:p>
            <w:r>
              <w:rPr>
                <w:b/>
                <w:color w:val="FFFFFF"/>
                <w:sz w:val="18"/>
              </w:rPr>
              <w:t>Line Item / Service</w:t>
            </w:r>
          </w:p>
        </w:tc>
        <w:tc>
          <w:tcPr>
            <w:tcW w:type="dxa" w:w="3120"/>
            <w:shd w:val="clear" w:color="auto" w:fill="2E6DA4"/>
          </w:tcPr>
          <w:p>
            <w:r>
              <w:rPr>
                <w:b/>
                <w:color w:val="FFFFFF"/>
                <w:sz w:val="18"/>
              </w:rPr>
              <w:t>Unit Price</w:t>
            </w:r>
          </w:p>
        </w:tc>
        <w:tc>
          <w:tcPr>
            <w:tcW w:type="dxa" w:w="3120"/>
            <w:shd w:val="clear" w:color="auto" w:fill="2E6DA4"/>
          </w:tcPr>
          <w:p>
            <w:r>
              <w:rPr>
                <w:b/>
                <w:color w:val="FFFFFF"/>
                <w:sz w:val="18"/>
              </w:rPr>
              <w:t>Volume Commitment</w:t>
            </w:r>
          </w:p>
        </w:tc>
      </w:tr>
      <w:tr>
        <w:tc>
          <w:tcPr>
            <w:tcW w:type="dxa" w:w="3120"/>
          </w:tcPr>
          <w:p>
            <w:r>
              <w:rPr>
                <w:sz w:val="18"/>
              </w:rPr>
              <w:t>N95 Respirators (NIOSH approved)</w:t>
            </w:r>
          </w:p>
        </w:tc>
        <w:tc>
          <w:tcPr>
            <w:tcW w:type="dxa" w:w="3120"/>
          </w:tcPr>
          <w:p>
            <w:r>
              <w:rPr>
                <w:sz w:val="18"/>
              </w:rPr>
              <w:t>$1.85/unit</w:t>
            </w:r>
          </w:p>
        </w:tc>
        <w:tc>
          <w:tcPr>
            <w:tcW w:type="dxa" w:w="3120"/>
          </w:tcPr>
          <w:p>
            <w:r>
              <w:rPr>
                <w:sz w:val="18"/>
              </w:rPr>
              <w:t>800,000 units/yr</w:t>
            </w:r>
          </w:p>
        </w:tc>
      </w:tr>
      <w:tr>
        <w:tc>
          <w:tcPr>
            <w:tcW w:type="dxa" w:w="3120"/>
          </w:tcPr>
          <w:p>
            <w:r>
              <w:rPr>
                <w:sz w:val="18"/>
              </w:rPr>
              <w:t>Nitrile Examination Gloves</w:t>
            </w:r>
          </w:p>
        </w:tc>
        <w:tc>
          <w:tcPr>
            <w:tcW w:type="dxa" w:w="3120"/>
          </w:tcPr>
          <w:p>
            <w:r>
              <w:rPr>
                <w:sz w:val="18"/>
              </w:rPr>
              <w:t>$6.20/box</w:t>
            </w:r>
          </w:p>
        </w:tc>
        <w:tc>
          <w:tcPr>
            <w:tcW w:type="dxa" w:w="3120"/>
          </w:tcPr>
          <w:p>
            <w:r>
              <w:rPr>
                <w:sz w:val="18"/>
              </w:rPr>
              <w:t>180,000 boxes/yr</w:t>
            </w:r>
          </w:p>
        </w:tc>
      </w:tr>
      <w:tr>
        <w:tc>
          <w:tcPr>
            <w:tcW w:type="dxa" w:w="3120"/>
          </w:tcPr>
          <w:p>
            <w:r>
              <w:rPr>
                <w:sz w:val="18"/>
              </w:rPr>
              <w:t>Isolation Gowns (Level 2)</w:t>
            </w:r>
          </w:p>
        </w:tc>
        <w:tc>
          <w:tcPr>
            <w:tcW w:type="dxa" w:w="3120"/>
          </w:tcPr>
          <w:p>
            <w:r>
              <w:rPr>
                <w:sz w:val="18"/>
              </w:rPr>
              <w:t>$0.95/unit</w:t>
            </w:r>
          </w:p>
        </w:tc>
        <w:tc>
          <w:tcPr>
            <w:tcW w:type="dxa" w:w="3120"/>
          </w:tcPr>
          <w:p>
            <w:r>
              <w:rPr>
                <w:sz w:val="18"/>
              </w:rPr>
              <w:t>500,000 units/yr</w:t>
            </w:r>
          </w:p>
        </w:tc>
      </w:tr>
    </w:tbl>
    <w:p/>
    <w:p>
      <w:pPr>
        <w:spacing w:before="200" w:after="80"/>
      </w:pPr>
      <w:r>
        <w:rPr>
          <w:b/>
          <w:color w:val="1B3A6B"/>
          <w:sz w:val="22"/>
        </w:rPr>
        <w:t>4. COMMERCIAL TERMS</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Total Annual Spend (Est.)</w:t>
            </w:r>
          </w:p>
        </w:tc>
        <w:tc>
          <w:tcPr>
            <w:tcW w:type="dxa" w:w="4680"/>
          </w:tcPr>
          <w:p>
            <w:r>
              <w:rPr>
                <w:sz w:val="18"/>
              </w:rPr>
              <w:t>$5,200,000</w:t>
            </w:r>
          </w:p>
        </w:tc>
      </w:tr>
      <w:tr>
        <w:tc>
          <w:tcPr>
            <w:tcW w:type="dxa" w:w="4680"/>
          </w:tcPr>
          <w:p>
            <w:r>
              <w:rPr>
                <w:b/>
                <w:sz w:val="18"/>
              </w:rPr>
              <w:t>Negotiated Savings</w:t>
            </w:r>
          </w:p>
        </w:tc>
        <w:tc>
          <w:tcPr>
            <w:tcW w:type="dxa" w:w="4680"/>
          </w:tcPr>
          <w:p>
            <w:r>
              <w:rPr>
                <w:sz w:val="18"/>
              </w:rPr>
              <w:t>12.0%</w:t>
            </w:r>
          </w:p>
        </w:tc>
      </w:tr>
      <w:tr>
        <w:tc>
          <w:tcPr>
            <w:tcW w:type="dxa" w:w="4680"/>
          </w:tcPr>
          <w:p>
            <w:r>
              <w:rPr>
                <w:b/>
                <w:sz w:val="18"/>
              </w:rPr>
              <w:t>Payment Terms</w:t>
            </w:r>
          </w:p>
        </w:tc>
        <w:tc>
          <w:tcPr>
            <w:tcW w:type="dxa" w:w="4680"/>
          </w:tcPr>
          <w:p>
            <w:r>
              <w:rPr>
                <w:sz w:val="18"/>
              </w:rPr>
              <w:t>Net 30</w:t>
            </w:r>
          </w:p>
        </w:tc>
      </w:tr>
      <w:tr>
        <w:tc>
          <w:tcPr>
            <w:tcW w:type="dxa" w:w="4680"/>
          </w:tcPr>
          <w:p>
            <w:r>
              <w:rPr>
                <w:b/>
                <w:sz w:val="18"/>
              </w:rPr>
              <w:t>Currency</w:t>
            </w:r>
          </w:p>
        </w:tc>
        <w:tc>
          <w:tcPr>
            <w:tcW w:type="dxa" w:w="4680"/>
          </w:tcPr>
          <w:p>
            <w:r>
              <w:rPr>
                <w:sz w:val="18"/>
              </w:rPr>
              <w:t>USD</w:t>
            </w:r>
          </w:p>
        </w:tc>
      </w:tr>
      <w:tr>
        <w:tc>
          <w:tcPr>
            <w:tcW w:type="dxa" w:w="4680"/>
          </w:tcPr>
          <w:p>
            <w:r>
              <w:rPr>
                <w:b/>
                <w:sz w:val="18"/>
              </w:rPr>
              <w:t>Invoice Frequency</w:t>
            </w:r>
          </w:p>
        </w:tc>
        <w:tc>
          <w:tcPr>
            <w:tcW w:type="dxa" w:w="4680"/>
          </w:tcPr>
          <w:p>
            <w:r>
              <w:rPr>
                <w:sz w:val="18"/>
              </w:rPr>
              <w:t>Monthly</w:t>
            </w:r>
          </w:p>
        </w:tc>
      </w:tr>
      <w:tr>
        <w:tc>
          <w:tcPr>
            <w:tcW w:type="dxa" w:w="4680"/>
          </w:tcPr>
          <w:p>
            <w:r>
              <w:rPr>
                <w:b/>
                <w:sz w:val="18"/>
              </w:rPr>
              <w:t>Early Pay Discount</w:t>
            </w:r>
          </w:p>
        </w:tc>
        <w:tc>
          <w:tcPr>
            <w:tcW w:type="dxa" w:w="4680"/>
          </w:tcPr>
          <w:p>
            <w:r>
              <w:rPr>
                <w:sz w:val="18"/>
              </w:rPr>
              <w:t>1% / 10 Net 30</w:t>
            </w:r>
          </w:p>
        </w:tc>
      </w:tr>
    </w:tbl>
    <w:p/>
    <w:p>
      <w:pPr>
        <w:spacing w:before="200" w:after="80"/>
      </w:pPr>
      <w:r>
        <w:rPr>
          <w:b/>
          <w:color w:val="1B3A6B"/>
          <w:sz w:val="22"/>
        </w:rPr>
        <w:t>5. SERVICE LEVEL AGREEMENT (SLA)</w:t>
      </w:r>
    </w:p>
    <w:p>
      <w:pPr>
        <w:jc w:val="both"/>
      </w:pPr>
      <w:r>
        <w:rPr>
          <w:sz w:val="19"/>
        </w:rPr>
        <w:t>Supplier shall meet the following performance standards: FDA 510(k) compliance, 72hr surge fulfillment capability. Performance will be measured monthly and reported in the Supplier Scorecard.</w:t>
      </w:r>
    </w:p>
    <w:p>
      <w:pPr>
        <w:spacing w:before="200" w:after="80"/>
      </w:pPr>
      <w:r>
        <w:rPr>
          <w:b/>
          <w:color w:val="1B3A6B"/>
          <w:sz w:val="22"/>
        </w:rPr>
        <w:t>6. PENALTIES &amp; REMEDIES</w:t>
      </w:r>
    </w:p>
    <w:p>
      <w:pPr>
        <w:jc w:val="both"/>
      </w:pPr>
      <w:r>
        <w:rPr>
          <w:sz w:val="19"/>
        </w:rPr>
        <w:t>In the event of SLA non-compliance, the following remedies apply: 1.5x price credit for non-compliant product. Repeated breaches (3 or more in a 12-month period) constitute grounds for contract termination with 30 days written notice.</w:t>
      </w:r>
    </w:p>
    <w:p>
      <w:pPr>
        <w:spacing w:before="200" w:after="80"/>
      </w:pPr>
      <w:r>
        <w:rPr>
          <w:b/>
          <w:color w:val="1B3A6B"/>
          <w:sz w:val="22"/>
        </w:rPr>
        <w:t>7. GENERAL TERMS</w:t>
      </w:r>
    </w:p>
    <w:p>
      <w:pPr>
        <w:jc w:val="both"/>
      </w:pPr>
      <w:r>
        <w:rPr>
          <w:b/>
          <w:sz w:val="19"/>
        </w:rPr>
        <w:t xml:space="preserve">Confidentiality: </w:t>
      </w:r>
      <w:r>
        <w:rPr>
          <w:sz w:val="19"/>
        </w:rPr>
        <w:t>Both parties agree to maintain strict confidentiality of all proprietary information exchanged under this Agreement for a period of 5 years post-termination.</w:t>
      </w:r>
    </w:p>
    <w:p>
      <w:pPr>
        <w:jc w:val="both"/>
      </w:pPr>
      <w:r>
        <w:rPr>
          <w:b/>
          <w:sz w:val="19"/>
        </w:rPr>
        <w:t xml:space="preserve">Governing Law: </w:t>
      </w:r>
      <w:r>
        <w:rPr>
          <w:sz w:val="19"/>
        </w:rPr>
        <w:t>This Agreement shall be governed by the laws of the State of California, without regard to conflict of law principles.</w:t>
      </w:r>
    </w:p>
    <w:p>
      <w:pPr>
        <w:jc w:val="both"/>
      </w:pPr>
      <w:r>
        <w:rPr>
          <w:b/>
          <w:sz w:val="19"/>
        </w:rPr>
        <w:t xml:space="preserve">Force Majeure: </w:t>
      </w:r>
      <w:r>
        <w:rPr>
          <w:sz w:val="19"/>
        </w:rPr>
        <w:t>Neither party shall be liable for delays caused by circumstances beyond their reasonable control, provided written notice is given within 5 business days.</w:t>
      </w:r>
    </w:p>
    <w:p>
      <w:pPr>
        <w:jc w:val="both"/>
      </w:pPr>
      <w:r>
        <w:rPr>
          <w:b/>
          <w:sz w:val="19"/>
        </w:rPr>
        <w:t xml:space="preserve">Amendments: </w:t>
      </w:r>
      <w:r>
        <w:rPr>
          <w:sz w:val="19"/>
        </w:rPr>
        <w:t>Any amendments to this Agreement must be made in writing and signed by authorized representatives of both parties.</w:t>
      </w:r>
    </w:p>
    <w:p>
      <w:pPr>
        <w:jc w:val="both"/>
      </w:pPr>
      <w:r>
        <w:rPr>
          <w:b/>
          <w:sz w:val="19"/>
        </w:rPr>
        <w:t xml:space="preserve">Termination for Convenience: </w:t>
      </w:r>
      <w:r>
        <w:rPr>
          <w:sz w:val="19"/>
        </w:rPr>
        <w:t>Either party may terminate this Agreement with 90 days written notice. McKesson may terminate immediately for cause with documented evidence.</w:t>
      </w:r>
    </w:p>
    <w:p/>
    <w:p>
      <w:pPr>
        <w:spacing w:before="200" w:after="80"/>
      </w:pPr>
      <w:r>
        <w:rPr>
          <w:b/>
          <w:color w:val="1B3A6B"/>
          <w:sz w:val="22"/>
        </w:rPr>
        <w:t>8. AUTHORIZED SIGNATURES</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McKesson Corporation</w:t>
            </w:r>
          </w:p>
        </w:tc>
        <w:tc>
          <w:tcPr>
            <w:tcW w:type="dxa" w:w="4680"/>
          </w:tcPr>
          <w:p>
            <w:r>
              <w:rPr>
                <w:b/>
                <w:sz w:val="18"/>
              </w:rPr>
              <w:t>Vargas PLC</w:t>
            </w:r>
          </w:p>
        </w:tc>
      </w:tr>
      <w:tr>
        <w:tc>
          <w:tcPr>
            <w:tcW w:type="dxa" w:w="4680"/>
          </w:tcPr>
          <w:p>
            <w:r>
              <w:rPr>
                <w:sz w:val="18"/>
              </w:rPr>
            </w:r>
          </w:p>
        </w:tc>
        <w:tc>
          <w:tcPr>
            <w:tcW w:type="dxa" w:w="4680"/>
          </w:tcPr>
          <w:p>
            <w:r>
              <w:rPr>
                <w:sz w:val="18"/>
              </w:rPr>
            </w:r>
          </w:p>
        </w:tc>
      </w:tr>
      <w:tr>
        <w:tc>
          <w:tcPr>
            <w:tcW w:type="dxa" w:w="4680"/>
          </w:tcPr>
          <w:p>
            <w:r>
              <w:rPr>
                <w:sz w:val="18"/>
              </w:rPr>
              <w:t>________________________________</w:t>
            </w:r>
          </w:p>
        </w:tc>
        <w:tc>
          <w:tcPr>
            <w:tcW w:type="dxa" w:w="4680"/>
          </w:tcPr>
          <w:p>
            <w:r>
              <w:rPr>
                <w:sz w:val="18"/>
              </w:rPr>
              <w:t>________________________________</w:t>
            </w:r>
          </w:p>
        </w:tc>
      </w:tr>
      <w:tr>
        <w:tc>
          <w:tcPr>
            <w:tcW w:type="dxa" w:w="4680"/>
          </w:tcPr>
          <w:p>
            <w:r>
              <w:rPr>
                <w:sz w:val="18"/>
              </w:rPr>
              <w:t>Authorized Signatory</w:t>
            </w:r>
          </w:p>
        </w:tc>
        <w:tc>
          <w:tcPr>
            <w:tcW w:type="dxa" w:w="4680"/>
          </w:tcPr>
          <w:p>
            <w:r>
              <w:rPr>
                <w:sz w:val="18"/>
              </w:rPr>
              <w:t>Authorized Signatory</w:t>
            </w:r>
          </w:p>
        </w:tc>
      </w:tr>
      <w:tr>
        <w:tc>
          <w:tcPr>
            <w:tcW w:type="dxa" w:w="4680"/>
          </w:tcPr>
          <w:p>
            <w:r>
              <w:rPr>
                <w:sz w:val="18"/>
              </w:rPr>
              <w:t>Title: VP, Strategic Sourcing</w:t>
            </w:r>
          </w:p>
        </w:tc>
        <w:tc>
          <w:tcPr>
            <w:tcW w:type="dxa" w:w="4680"/>
          </w:tcPr>
          <w:p>
            <w:r>
              <w:rPr>
                <w:sz w:val="18"/>
              </w:rPr>
              <w:t>Title: Miguel Vargas</w:t>
            </w:r>
          </w:p>
        </w:tc>
      </w:tr>
      <w:tr>
        <w:tc>
          <w:tcPr>
            <w:tcW w:type="dxa" w:w="4680"/>
          </w:tcPr>
          <w:p>
            <w:r>
              <w:rPr>
                <w:sz w:val="18"/>
              </w:rPr>
              <w:t>Date: ___________________</w:t>
            </w:r>
          </w:p>
        </w:tc>
        <w:tc>
          <w:tcPr>
            <w:tcW w:type="dxa" w:w="4680"/>
          </w:tcPr>
          <w:p>
            <w:r>
              <w:rPr>
                <w:sz w:val="18"/>
              </w:rPr>
              <w:t>Date: 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