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Master Service Agreement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McKesson Corporation and Garcia-Zavala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Agreement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MSA-2022-0211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Garcia-Zavala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 (Ariba)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Service Agreement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Staffing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Staffing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HQ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Clementsstad, CA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Payment Terms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1.1  Standard Payment Terms. McKesson shall pay undisputed invoices within 30 calendar days from receipt of a valid invoice (Net 30).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1.2  Early Payment Discount. Garcia-Zavala offers McKesson a 2% discount on the gross invoice amount if payment is made within 10 calendar days of invoice receipt (2/10 Net 30).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1.3  Late Payment Penalty. Should McKesson fail to pay an undisputed invoice within 45 calendar days of receipt, McKesson shall pay a late fee of 1.5% per month on the overdue balance, calculated from the 46th day onward.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1.4  Currency. All payments shall be made in United States Dollars (USD) via ACH transfer to the bank account on file in McKesson's Ariba Supplier Portal.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Invoice Requirements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2.1  All invoices must contain the following or will be placed on exception hold: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McKesson Purchase Order (PO) number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Ariba Contract Identifier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Period of performance (work start and work end dates)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Itemised description of services rendered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McKesson Cost Center to be charged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Supplier tax identification number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2.2  Invoices must be submitted via McKesson's Ariba Network portal. Paper or email invoices will not be accepted.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2.3  McKesson shall notify the supplier of any disputed invoice within fifteen (15) business days of receipt.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Data Security and Compliance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Garcia-Zavala acknowledges that work under this MSA may involve access to McKesson Confidential or Restricted data per McKesson's Data Classification Policy.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The supplier shall not store McKesson data outside the United States without prior written approval from McKesson's CISO.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3.3  Any subcontracting or third-party hosting of McKesson data must be disclosed and approved prior to engagement.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Term and Termination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4.1  This Agreement is effective January 1, 2022 through December 31, 2024.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4.2  Either party may terminate for convenience with sixty (60) days written notice.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4.3  McKesson may terminate immediately for material breach uncured within fifteen (15) business days of notice.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Governing Law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Agreement shall be governed by the laws of the State of Texas.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2026-03-28T22:21:25.918Z</dcterms:created>
  <dcterms:modified xsi:type="dcterms:W3CDTF">2026-03-28T22:21:25.918Z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