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200"/>
        <w:jc w:val="center"/>
      </w:pPr>
      <w:r>
        <w:rPr>
          <w:rFonts w:ascii="Arial" w:cs="Arial" w:eastAsia="Arial" w:hAnsi="Arial"/>
          <w:b/>
          <w:bCs/>
          <w:color w:val="1A5C3A"/>
          <w:sz w:val="48"/>
          <w:szCs w:val="48"/>
        </w:rPr>
        <w:t xml:space="preserve">MASSIVE EARTH FOUNDATION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A4A4A"/>
          <w:sz w:val="30"/>
          <w:szCs w:val="30"/>
        </w:rPr>
        <w:t xml:space="preserve">Website Sitemap &amp; Link Topology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v1.0  |  June 2026  |  Generated from MEF Database v2.0</w:t>
      </w:r>
    </w:p>
    <w:p>
      <w:pPr>
        <w:pBdr>
          <w:top w:val="single" w:color="DDDDDD" w:sz="4" w:space="6"/>
          <w:bottom w:val="single" w:color="DDDDDD" w:sz="4" w:space="6"/>
        </w:pBdr>
        <w:spacing w:after="200" w:before="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~100 pages  ·  6 primary sections  ·  10 sectors  ·  14 programmes  ·  10 policy pages  ·  8 reports  ·  11 events  ·  15 partner pages</w:t>
      </w:r>
    </w:p>
    <w:p>
      <w:pPr>
        <w:spacing w:after="0" w:before="200"/>
      </w:pPr>
      <w:r>
        <w:rPr>
          <w:rFonts w:ascii="Arial" w:cs="Arial" w:eastAsia="Arial" w:hAnsi="Arial"/>
          <w:b/>
          <w:bCs/>
          <w:color w:val="1A1A1A"/>
          <w:sz w:val="16"/>
          <w:szCs w:val="16"/>
        </w:rPr>
        <w:t xml:space="preserve">Page type key:</w:t>
      </w:r>
      <w:r>
        <w:rPr>
          <w:rFonts w:ascii="Arial" w:cs="Arial" w:eastAsia="Arial" w:hAnsi="Arial"/>
          <w:b/>
          <w:bCs/>
          <w:color w:val="1A5C3A"/>
          <w:sz w:val="16"/>
          <w:szCs w:val="16"/>
        </w:rPr>
        <w:t xml:space="preserve"> [INDEX] </w:t>
      </w:r>
      <w:r>
        <w:rPr>
          <w:rFonts w:ascii="Arial" w:cs="Arial" w:eastAsia="Arial" w:hAnsi="Arial"/>
          <w:b/>
          <w:bCs/>
          <w:color w:val="185FA5"/>
          <w:sz w:val="16"/>
          <w:szCs w:val="16"/>
        </w:rPr>
        <w:t xml:space="preserve"> [ENTITY] </w:t>
      </w:r>
      <w:r>
        <w:rPr>
          <w:rFonts w:ascii="Arial" w:cs="Arial" w:eastAsia="Arial" w:hAnsi="Arial"/>
          <w:b/>
          <w:bCs/>
          <w:color w:val="784212"/>
          <w:sz w:val="16"/>
          <w:szCs w:val="16"/>
        </w:rPr>
        <w:t xml:space="preserve"> [FILTER] </w:t>
      </w:r>
      <w:r>
        <w:rPr>
          <w:rFonts w:ascii="Arial" w:cs="Arial" w:eastAsia="Arial" w:hAnsi="Arial"/>
          <w:b/>
          <w:bCs/>
          <w:color w:val="5B2C6F"/>
          <w:sz w:val="16"/>
          <w:szCs w:val="16"/>
        </w:rPr>
        <w:t xml:space="preserve"> [STATIC] </w:t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18"/>
          <w:szCs w:val="18"/>
        </w:rPr>
        <w:t xml:space="preserve">INDEX = aggregation page listing multiple entities. ENTITY = single entity detail page. FILTER = filtered/queried view. STATIC = hand-authored, not database-driven.</w:t>
      </w:r>
    </w:p>
    <w:p>
      <w:pPr>
        <w:pBdr>
          <w:bottom w:val="single" w:color="DDDDDD" w:sz="2" w:space="1"/>
        </w:pBdr>
        <w:spacing w:after="240" w:before="240"/>
      </w:pPr>
    </w:p>
    <w:p>
      <w:pPr>
        <w:pBdr>
          <w:bottom w:val="single" w:color="1A5C3A" w:sz="10" w:space="6"/>
        </w:pBdr>
        <w:spacing w:after="120" w:before="480"/>
      </w:pPr>
      <w:r>
        <w:rPr>
          <w:rFonts w:ascii="Arial" w:cs="Arial" w:eastAsia="Arial" w:hAnsi="Arial"/>
          <w:b/>
          <w:bCs/>
          <w:color w:val="1A5C3A"/>
          <w:sz w:val="30"/>
          <w:szCs w:val="30"/>
        </w:rPr>
        <w:t xml:space="preserve">0. Root &amp; Global Navigation</w:t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18"/>
          <w:szCs w:val="18"/>
        </w:rPr>
        <w:t xml:space="preserve">These pages sit at the root of the site. They are either static or thin index pages. All primary navigation links originate from the global header.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Global header navigation:</w:t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18"/>
          <w:szCs w:val="18"/>
        </w:rPr>
        <w:t xml:space="preserve">Home  ·  What We Do  ·  Where We Work  ·  Our Impact  ·  Policy Alignment  ·  Partners  ·  Get Involved</w:t>
      </w:r>
    </w:p>
    <w:p>
      <w:pPr>
        <w:spacing w:after="0" w:before="80"/>
      </w:pP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Homepage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[STATIC]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↳ Hero section · About MEF compact · 3 featured programmes · Latest event · CSR entry CTA · Stat strip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/about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About MEF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[STATIC]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↳ Full institutional profile · SVS thesis · GoMassive ecosystem · Legal status · UNEP MoU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/contact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Contact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[STATIC]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↳ General enquiry · CSR partnership · Startup application · Press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/sitemap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Sitemap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[STATIC]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/privacy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Privacy policy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[STATIC]</w:t>
      </w:r>
    </w:p>
    <w:p>
      <w:pPr>
        <w:pBdr>
          <w:bottom w:val="single" w:color="DDDDDD" w:sz="2" w:space="1"/>
        </w:pBdr>
        <w:spacing w:after="240" w:before="240"/>
      </w:pPr>
    </w:p>
    <w:p>
      <w:pPr>
        <w:pBdr>
          <w:bottom w:val="single" w:color="1A5C3A" w:sz="10" w:space="6"/>
        </w:pBdr>
        <w:spacing w:after="120" w:before="480"/>
      </w:pPr>
      <w:r>
        <w:rPr>
          <w:rFonts w:ascii="Arial" w:cs="Arial" w:eastAsia="Arial" w:hAnsi="Arial"/>
          <w:b/>
          <w:bCs/>
          <w:color w:val="1A5C3A"/>
          <w:sz w:val="30"/>
          <w:szCs w:val="30"/>
        </w:rPr>
        <w:t xml:space="preserve">1. What We Do — Programmes</w:t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18"/>
          <w:szCs w:val="18"/>
        </w:rPr>
        <w:t xml:space="preserve">Programme pages are the highest-connectivity nodes on the site. Each links outward to sectors, policies, stakeholders, events, and reports. The index page aggregates all 14 programmes with filter controls.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1.0 Index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/programmes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All programmes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[INDEX]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↳ Filter by: type (accelerator / project / dialogue) · status (active / completed) · sector · region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/programmes?type=accelerator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Accelerators only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[FILTER]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/programmes?type=project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Ground projects only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[FILTER]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/programmes?status=active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Active programmes only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[FILTER]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/programmes?sector=clean-energy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By sector [example]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[FILTER]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/programmes?region=south-asia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By region [example]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[FILTER]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1.1 Accelerators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/programmes/lowcarbon-earth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LowCarbon.Earth Accelerator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[ENTITY]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↳ Links to: Sectors (Clean Energy, Clean Mobility, Circular Economy, Agri, Climate Finance) · Policies (Paris, SDG 13, SDG 7, NDC 2.0) · Stakeholders (UNEP, Go4SDGs) · Events (ClimateNXT 2023, Bangkok Demo Day) · Reports (EV Report)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/programmes/saffal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SAFFAL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[ENTITY]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↳ Links to: Sectors (Climate Finance, Gender, Clean Energy, Waste, Agri, Forests) · Policies (EmPower P2, SDG 5, SDG 13, Paris, B2B) · Stakeholders (UNEP, UN Women, Google Cloud, Microsoft, HubSpot) · Events (ClimateNXT 2025, SAFFAL Investor Summit)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/programmes/gomassive-climate-accelerator-2023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GoMassive Climate Accelerator 2023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[ENTITY]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↳ Links to: Sectors (Climate Finance, Clean Energy, Mobility, Agri, Cities) · Policies (SDG 13, SDG 7, SDG 9) · Stakeholders (AWS)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/programmes/zesup-challenge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ZeSUP Challenge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[ENTITY]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↳ Links to: Sectors (Circular Economy) · Policies (SDG 12, PWMR, AEPW) · Stakeholders (TIN, Rebel Foods)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/programmes/zero-waste-cities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Zero Waste Cities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[ENTITY]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↳ Links to: Sectors (Circular Economy, Built Environment) · Policies (SDG 12, SDG 11) · Stakeholders (WasteAid)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/programmes/miles-challenge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MILES Challenge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[ENTITY]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↳ Links to: Sectors (Clean Energy) · Policies (SDG 7, NSM, NDC 2.0) · Stakeholders (Amplus Solar)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/programmes/agroxlerate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AgroXlerate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[ENTITY]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↳ Links to: Sectors (Sustainable Agriculture) · Policies (SDG 12, NMSA) · Stakeholders (Pantnagar Capital)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1.2 Ground Projects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/programmes/ev-rickshaw-transition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EV Rickshaw Transition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[ENTITY]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↳ Links to: Sectors (Clean Mobility, Air Quality) · Policies (FAME II, NCAP, SDG 13, NDC 2.0) · Stakeholders (MoHI, WRI India) · Reports (State of EV Charging)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/programmes/smriti-van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Sustainable Forests / Smriti Van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[ENTITY]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↳ Links to: Sectors (Forests, Climate Finance) · Policies (SDG 15, GIM, Article 6, CCTS) · Reports (Biochar Report)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/programmes/smart-waste-management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Smart Waste Management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[ENTITY]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↳ Links to: Sectors (Circular Economy, Built Environment) · Policies (PWMR, SDG 12, NMSH) · Stakeholders (Agra MC, GIZ, AEPW)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/programmes/net-zero-sarojini-nagar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Net Zero Sarojini Nagar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[ENTITY]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↳ Links to: Sectors (Built Environment, Clean Energy, Mobility) · Policies (NDC 3.0, NMSH, SDG 11)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/programmes/agra-innovation-lab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Agra Innovation Lab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[ENTITY]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↳ Links to: Sectors (Circular Economy, Built Environment) · Policies (SDG 12, AEPW, PWMR) · Stakeholders (TIN, Agra MC)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1.3 Policy Dialogue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/programmes/icap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ICAP — India Climate Accelerator Platform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[ENTITY]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↳ Links to: Sectors (Climate Finance, Clean Energy, Mobility, Waste, Agri) · Policies (SDG 9, SDG 13, SDG 17, NMSKCC, B2B) · Stakeholders (IFC, UNEP) · Advocacy: Paris Agreement, NDC 2.0</w:t>
      </w:r>
    </w:p>
    <w:p>
      <w:pPr>
        <w:pBdr>
          <w:bottom w:val="single" w:color="DDDDDD" w:sz="2" w:space="1"/>
        </w:pBdr>
        <w:spacing w:after="240" w:before="240"/>
      </w:pPr>
    </w:p>
    <w:p>
      <w:pPr>
        <w:pBdr>
          <w:bottom w:val="single" w:color="1A5C3A" w:sz="10" w:space="6"/>
        </w:pBdr>
        <w:spacing w:after="120" w:before="480"/>
      </w:pPr>
      <w:r>
        <w:rPr>
          <w:rFonts w:ascii="Arial" w:cs="Arial" w:eastAsia="Arial" w:hAnsi="Arial"/>
          <w:b/>
          <w:bCs/>
          <w:color w:val="1A5C3A"/>
          <w:sz w:val="30"/>
          <w:szCs w:val="30"/>
        </w:rPr>
        <w:t xml:space="preserve">2. Where We Work — Sectors</w:t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18"/>
          <w:szCs w:val="18"/>
        </w:rPr>
        <w:t xml:space="preserve">Sector pages are the highest-connectivity hubs of the site. Every programme, policy, report, and event links through sectors. Sector pages aggregate everything tagged to that sector — making them the primary landing pages for thematic search traffic.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2.0 Index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/sectors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All sectors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[INDEX]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↳ Grid of 10 sector cards, each showing programme count, report count, active status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2.1 Sector pages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/sectors/clean-energy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Clean Energy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[ENTITY]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↳ Programmes: LCE, SAFFAL, GCA, MILES, ICAP, NZ-Sarojini · Policies: Paris, SDG 7, NSM, NDC 2.0 · Reports: EV Report, CCUS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/sectors/clean-mobility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Clean Mobility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[ENTITY]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↳ Programmes: LCE, EV Rickshaw, GCA, ICAP · Policies: FAME II, NCAP, SDG 13 · Reports: State of EV Charging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/sectors/air-quality-pollution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Air Quality &amp; Pollution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[ENTITY]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↳ Programmes: EV Rickshaw · Policies: NCAP, SDG 3 · Reports: AQI Lockdown Study, Dust &amp; Its Impact, Delhi Clean Air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/sectors/circular-economy-waste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Circular Economy &amp; Waste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[ENTITY]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↳ Programmes: ZeSUP, ZWC, AIL, SWM, LCE, SAFFAL · Policies: PWMR, SDG 12, AEPW · Reports: LVP, Chemical Recycling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/sectors/sustainable-agriculture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Sustainable Agriculture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[ENTITY]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↳ Programmes: AgroXlerate, GCA, LCE, SAFFAL · Policies: NMSA, SDG 12, NDC 2.0 · Reports: Agri-tech Investment Landscape, Biochar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/sectors/water-sanitation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Water &amp; Sanitation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[ENTITY]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↳ Policies: NWM · No active MEF programmes currently — gap flagged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/sectors/sustainable-built-environment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Sustainable Built Environment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[ENTITY]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↳ Programmes: ZWC, AIL, SWM, NZ-Sarojini · Policies: NMSH, SDG 11 · No dedicated reports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/sectors/forests-biodiversity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Forests &amp; Biodiversity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[ENTITY]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↳ Programmes: Smriti Van, SAFFAL · Policies: SDG 15, GIM, Article 6, CCTS, TFFF · Reports: Biochar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/sectors/climate-finance-innovation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Climate Finance &amp; Innovation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[ENTITY]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↳ Programmes: ICAP, SAFFAL, LCE, GCA, Smriti Van · Policies: Paris, B2B, SDG 9, SDG 17 · Events: SAFFAL Investor Summit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/sectors/gender-social-equity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Gender &amp; Social Equity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[ENTITY]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↳ Programmes: SAFFAL · Policies: SDG 5, EmPower P2 · Stakeholders: UN Women</w:t>
      </w:r>
    </w:p>
    <w:p>
      <w:pPr>
        <w:pBdr>
          <w:bottom w:val="single" w:color="DDDDDD" w:sz="2" w:space="1"/>
        </w:pBdr>
        <w:spacing w:after="240" w:before="240"/>
      </w:pPr>
    </w:p>
    <w:p>
      <w:pPr>
        <w:pBdr>
          <w:bottom w:val="single" w:color="1A5C3A" w:sz="10" w:space="6"/>
        </w:pBdr>
        <w:spacing w:after="120" w:before="480"/>
      </w:pPr>
      <w:r>
        <w:rPr>
          <w:rFonts w:ascii="Arial" w:cs="Arial" w:eastAsia="Arial" w:hAnsi="Arial"/>
          <w:b/>
          <w:bCs/>
          <w:color w:val="1A5C3A"/>
          <w:sz w:val="30"/>
          <w:szCs w:val="30"/>
        </w:rPr>
        <w:t xml:space="preserve">3. Our Impact — Reports &amp; Events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3.0 Reports index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/research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All research &amp; reports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[INDEX]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↳ Filter by: sector · year · status · topic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3.1 Report pages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/research/aqi-lockdown-study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Air Pollution &amp; Lockdown Study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[ENTITY]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↳ Links to: Sector (Air Quality) · Policies (NCAP, SDG 3, SDG 13) · Programme (EV Rickshaw)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/research/dust-and-its-impact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Dust &amp; Its Impact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[ENTITY]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↳ Links to: Sector (Air Quality) · Policies (NCAP, SDG 3)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/research/delhi-clean-air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Delhi Clean Air Report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[ENTITY]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↳ Links to: Sector (Air Quality) · Policies (NCAP, SDG 13, SDG 3) · Events (Japan Air Pollution, Air Pollution India)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/research/state-of-ev-charging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State of EV Charging Report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[ENTITY]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↳ Links to: Sector (Clean Mobility) · Policies (FAME II, SDG 7, NDC 2.0) · Programme (EV Rickshaw)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/research/chemical-recycling-plastic-pollution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Chemical Recycling &amp; Plastic Pollution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[ENTITY]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↳ Links to: Sector (Circular Economy) · Policies (PWMR, SDG 12, AEPW)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/research/biochar-report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Biochar Report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[ENTITY]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↳ Links to: Sector (Forests, Agri) · Policies (NMSA, SDG 13) · Programme (Smriti Van)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/research/ccus-report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CCUS Report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[ENTITY]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↳ Links to: Sector (Climate Finance) · Policies (Paris, SDG 13)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/research/agri-tech-investment-landscape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Agri-tech Investment Landscape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[ENTITY]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↳ Links to: Sector (Sustainable Agriculture) · Policies (NMSA, SDG 13) · Programme (AgroXlerate)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3.2 Events index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/events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All events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[INDEX]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↳ Chronological listing · Filter by: series (ClimateNXT / Summit / Demo Day) · year · location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3.3 Event pages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/events/massive-earth-summit-2018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Massive Earth Summit 2018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[ENTITY]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↳ Links to: Programme (MEF-UNEP Partnership) · Stakeholders (UNEP, Paytm, Invest India)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/events/wastenxt-2020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Ambassador Event — WasteNXT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[ENTITY]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↳ Links to: Sector (Circular Economy)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/events/mobilitynxt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Online MobilityNXT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[ENTITY]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↳ Links to: Sector (Clean Mobility)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/events/agra-innovation-lab-launch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Agra Innovation Lab Launch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[ENTITY]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↳ Links to: Programme (Agra Innovation Lab)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/events/climatenxt-bangalore-2022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ClimateNXT Bangalore 2022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[ENTITY]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↳ Links to: Programme (ICAP) · Stakeholders (WRI India)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/events/climatenxt-2023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ClimateNXT 2023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[ENTITY]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↳ Links to: Programme (LCE) · Sector (Climate Finance)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/events/bangkok-demo-day-2024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Bangkok Demo Day 2024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[ENTITY]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↳ Links to: Programme (LCE) · Region (Asia-Pacific)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/events/japan-air-pollution-2025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Japan Air Pollution Event 2025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[ENTITY]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↳ Links to: Reports (Delhi Clean Air, AQI Study) · Sector (Air Quality)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/events/air-pollution-india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Air Pollution Event India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[ENTITY]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↳ Links to: Reports (Delhi Clean Air, AQI Study) · Sector (Air Quality)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/events/climatenxt-2025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ClimateNXT 2025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[ENTITY]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↳ Links to: Programme (SAFFAL) · Sector (Climate Finance, Gender)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/events/saffal-investor-summit-2026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SAFFAL Investor &amp; Donor Summit 2026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[ENTITY]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↳ Links to: Programme (SAFFAL) · Stakeholders (UN Women, UNEP) · Sector (Climate Finance, Gender)</w:t>
      </w:r>
    </w:p>
    <w:p>
      <w:pPr>
        <w:pBdr>
          <w:bottom w:val="single" w:color="DDDDDD" w:sz="2" w:space="1"/>
        </w:pBdr>
        <w:spacing w:after="240" w:before="240"/>
      </w:pPr>
    </w:p>
    <w:p>
      <w:pPr>
        <w:pBdr>
          <w:bottom w:val="single" w:color="1A5C3A" w:sz="10" w:space="6"/>
        </w:pBdr>
        <w:spacing w:after="120" w:before="480"/>
      </w:pPr>
      <w:r>
        <w:rPr>
          <w:rFonts w:ascii="Arial" w:cs="Arial" w:eastAsia="Arial" w:hAnsi="Arial"/>
          <w:b/>
          <w:bCs/>
          <w:color w:val="1A5C3A"/>
          <w:sz w:val="30"/>
          <w:szCs w:val="30"/>
        </w:rPr>
        <w:t xml:space="preserve">4. Policy Alignment</w:t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18"/>
          <w:szCs w:val="18"/>
        </w:rPr>
        <w:t xml:space="preserve">Policy pages give MEF strong SEO value — they position MEF as findable by organisations searching for Paris Agreement implementation partners, NDC delivery mechanisms, or EmPower programme partners. 10 full pages; remainder as contextual tags only.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4.0 Index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/policy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Policy alignment overview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[INDEX]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↳ Planet / People / Progress SDG cluster · Global frameworks · National mandates · Filter by level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4.1 Full policy pages (10)</w:t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18"/>
          <w:szCs w:val="18"/>
        </w:rPr>
        <w:t xml:space="preserve">Selected on the basis of programme coverage (≥2 programmes) and strategic importance to MEF's CSR and institutional positioning.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/policy/paris-agreement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Paris Agreement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[ENTITY]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↳ 4 programmes deliver under it · Links to: SDG 13, SDG 7, NDC 2.0, SAFFAL, LCE, ICAP, MEF-UNEP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/policy/sdgs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UN Sustainable Development Goals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[ENTITY]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↳ Hub page for all 9 relevant SDGs · Links to individual SDG sections below · Sector mapping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/policy/sdg-13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SDG 13 — Climate Action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[ENTITY]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↳ 12 programmes · Most connected policy node on site · Links to all active programmes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/policy/sdg-12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SDG 12 — Responsible Consumption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[ENTITY]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↳ 4 programmes · Links to: ZeSUP, ZWC, AIL, SWM · Sector: Circular Economy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/policy/sdg-7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SDG 7 — Affordable and Clean Energy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[ENTITY]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↳ 4 programmes · Links to: LCE, MILES, GCA, ICAP · Sector: Clean Energy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/policy/sdg-9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SDG 9 — Industry, Innovation, Infrastructure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[ENTITY]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↳ 4 programmes · Links to: ICAP, LCE, GCA, SAFFAL · Sector: Climate Finance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/policy/sdg-11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SDG 11 — Sustainable Cities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[ENTITY]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↳ 4 programmes · Links to: ZWC, NZ-Sarojini, AIL, SWM · Sector: Built Environment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/policy/india-ndc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India NDC — National Determined Contributions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[ENTITY]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↳ Covers NDC 2.0 (7 programmes) + NDC 3.0 (2 programmes) · Links to: LCE, SAFFAL, ICAP, EV Rickshaw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/policy/empower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EmPower: Women for Climate-Resilient Societies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[ENTITY]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↳ Direct delivery programme · Links to: SAFFAL, UN Women, UNEP, SDG 5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/policy/plastic-waste-management-rules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Plastic Waste Management Rules 2016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[ENTITY]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↳ 4 programmes · Links to: SWM, AIL, ZeSUP, ZWC · CSR compliance angle prominent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4.2 Contextual tags only (no standalone page)</w:t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18"/>
          <w:szCs w:val="18"/>
        </w:rPr>
        <w:t xml:space="preserve">These policies appear as tags on programme and sector pages but do not have their own URL. They can be elevated to full pages in a future iteration if content warrants.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/policy#napcc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NAPCC &amp; sub-missions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[TAG]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↳ Green India Mission, NMSA, NMSH, NMSKCC appear as tags on relevant programme pages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/policy#fame-ii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FAME II — EV Policy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[TAG]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/policy#ncap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National Clean Air Programme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[TAG]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/policy#article-6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Article 6 / Carbon Markets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[TAG]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/policy#baku-belem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Baku to Belém Roadmap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[TAG]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/policy#ccts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Carbon Credit Trading Scheme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[TAG]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/policy#sdg-5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SDG 5 — Gender Equality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[TAG]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/policy#sdg-15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SDG 15 — Life on Land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[TAG]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/policy#sdg-17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SDG 17 — Partnerships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[TAG]</w:t>
      </w:r>
    </w:p>
    <w:p>
      <w:pPr>
        <w:pBdr>
          <w:bottom w:val="single" w:color="DDDDDD" w:sz="2" w:space="1"/>
        </w:pBdr>
        <w:spacing w:after="240" w:before="240"/>
      </w:pPr>
    </w:p>
    <w:p>
      <w:pPr>
        <w:pBdr>
          <w:bottom w:val="single" w:color="1A5C3A" w:sz="10" w:space="6"/>
        </w:pBdr>
        <w:spacing w:after="120" w:before="480"/>
      </w:pPr>
      <w:r>
        <w:rPr>
          <w:rFonts w:ascii="Arial" w:cs="Arial" w:eastAsia="Arial" w:hAnsi="Arial"/>
          <w:b/>
          <w:bCs/>
          <w:color w:val="1A5C3A"/>
          <w:sz w:val="30"/>
          <w:szCs w:val="30"/>
        </w:rPr>
        <w:t xml:space="preserve">5. Partners &amp; Ecosystem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5.0 Index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/partners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All partners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[INDEX]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↳ Grouped by type · Logo grid · Filter by: multilateral / government / corporate / tech / NGO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5.1 Full partner pages (15)</w:t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18"/>
          <w:szCs w:val="18"/>
        </w:rPr>
        <w:t xml:space="preserve">Partners with 2+ programme connections OR active MoU get full entity pages. Others appear on the index only.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/partners/unep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UNEP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[ENTITY]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↳ Active MoU · 4 programmes · Links to: LCE, SAFFAL, ICAP, MEF-UNEP · Policies: Paris, EmPower P2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/partners/un-women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UN Women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[ENTITY]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↳ Active MoU · 1 programme · Links to: SAFFAL · Policies: SDG 5, EmPower P2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/partners/ifc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IFC — International Finance Corporation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[ENTITY]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↳ Framework agreement · Links to: ICAP · Sector: Climate Finance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/partners/wri-india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WRI India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[ENTITY]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↳ Knowledge partnership · Links to: EV Rickshaw · Sector: Clean Mobility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/partners/giz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GIZ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[ENTITY]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↳ Past MoU · Links to: SWM · Sector: Circular Economy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/partners/the-incubation-network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The Incubation Network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[ENTITY]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↳ Active MoU · 2 programmes · Links to: AIL, ZeSUP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/partners/wasteaid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WasteAid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[ENTITY]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↳ Past MoU · Links to: ZWC · Sector: Circular Economy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/partners/aepw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Alliance to End Plastic Waste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[ENTITY]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↳ Past framework agreement · Links to: AIL, SWM · Policy: AEPW Framework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/partners/aws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Amazon Web Services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[ENTITY]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↳ Tech partner · Links to: GCA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/partners/google-cloud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Google Cloud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[ENTITY]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↳ Tech partner · Links to: SAFFAL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/partners/microsoft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Microsoft for Startups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[ENTITY]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↳ Tech partner · Links to: SAFFAL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/partners/agra-municipal-corporation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Agra Municipal Corporation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[ENTITY]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↳ Government partner · Links to: AIL, SWM · Region: Agra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/partners/amplus-solar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Amplus Solar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[ENTITY]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↳ Corporate funder · Links to: MILES · Sector: Clean Energy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/partners/pantnagar-capital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Pantnagar Capital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[ENTITY]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↳ Corporate funder · Links to: AgroXlerate · Sector: Sustainable Agriculture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/partners/invest-india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Invest India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[ENTITY]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↳ Government · Links to: Massive Earth Summit 2018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5.2 Directory only (no full page)</w:t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18"/>
          <w:szCs w:val="18"/>
        </w:rPr>
        <w:t xml:space="preserve">Paytm · Axis Bank · Ruparel Realty · Ostara Advisors · HubSpot · Go4SDGs · TARA · Agni · MoEFCC · MNRE · MoHI · Ministry of Sweden</w:t>
      </w:r>
    </w:p>
    <w:p>
      <w:pPr>
        <w:pBdr>
          <w:bottom w:val="single" w:color="DDDDDD" w:sz="2" w:space="1"/>
        </w:pBdr>
        <w:spacing w:after="240" w:before="240"/>
      </w:pPr>
    </w:p>
    <w:p>
      <w:pPr>
        <w:pBdr>
          <w:bottom w:val="single" w:color="1A5C3A" w:sz="10" w:space="6"/>
        </w:pBdr>
        <w:spacing w:after="120" w:before="480"/>
      </w:pPr>
      <w:r>
        <w:rPr>
          <w:rFonts w:ascii="Arial" w:cs="Arial" w:eastAsia="Arial" w:hAnsi="Arial"/>
          <w:b/>
          <w:bCs/>
          <w:color w:val="1A5C3A"/>
          <w:sz w:val="30"/>
          <w:szCs w:val="30"/>
        </w:rPr>
        <w:t xml:space="preserve">6. Get Involved</w:t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18"/>
          <w:szCs w:val="18"/>
        </w:rPr>
        <w:t xml:space="preserve">Three distinct audience entry points. Each is a static page that aggregates relevant programmes, policies, and contact pathways for that audience type.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/get-involved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Get involved hub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[STATIC]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↳ Three audience cards: CSR Partner · Startup Founder · Funder / Investor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/get-involved/csr-partner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CSR &amp; ESG Partnership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[STATIC]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↳ Schedule VII eligibility · BRSR/GRI reportability · MEF's verification model · AgriGuru as example · Links to relevant programmes by sector · Contact CTA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/get-involved/startups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Apply — Startups &amp; Founders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[STATIC]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↳ Active programme calls · Eligibility criteria · SAFFAL apply link · LCE interest form · Links to sector pages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C3A"/>
          <w:sz w:val="18"/>
          <w:szCs w:val="18"/>
        </w:rPr>
        <w:t xml:space="preserve">/get-involved/funders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 — Funders &amp; Investors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 [STATIC]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↳ ICAP · SAFFAL blended finance · Climate Angels · Links to UNEP and IFC partnership pages · Contact CTA</w:t>
      </w:r>
    </w:p>
    <w:p>
      <w:pPr>
        <w:pBdr>
          <w:bottom w:val="single" w:color="DDDDDD" w:sz="2" w:space="1"/>
        </w:pBdr>
        <w:spacing w:after="240" w:before="240"/>
      </w:pPr>
    </w:p>
    <w:p>
      <w:pPr>
        <w:pBdr>
          <w:bottom w:val="single" w:color="1A5C3A" w:sz="10" w:space="6"/>
        </w:pBdr>
        <w:spacing w:after="120" w:before="480"/>
      </w:pPr>
      <w:r>
        <w:rPr>
          <w:rFonts w:ascii="Arial" w:cs="Arial" w:eastAsia="Arial" w:hAnsi="Arial"/>
          <w:b/>
          <w:bCs/>
          <w:color w:val="1A5C3A"/>
          <w:sz w:val="30"/>
          <w:szCs w:val="30"/>
        </w:rPr>
        <w:t xml:space="preserve">7. Link Topology Summary</w:t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18"/>
          <w:szCs w:val="18"/>
        </w:rPr>
        <w:t xml:space="preserve">How many outbound links each page type generates — and what it links to.</w:t>
      </w:r>
    </w:p>
    <w:p>
      <w:pPr>
        <w:spacing w:after="0" w:before="12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18"/>
          <w:szCs w:val="18"/>
          <w:u w:val="single"/>
        </w:rPr>
        <w:t xml:space="preserve">Page type</w:t>
      </w:r>
      <w:r>
        <w:rPr>
          <w:rFonts w:ascii="Arial" w:cs="Arial" w:eastAsia="Arial" w:hAnsi="Arial"/>
          <w:b/>
          <w:bCs/>
          <w:color w:val="1A1A1A"/>
          <w:sz w:val="18"/>
          <w:szCs w:val="18"/>
          <w:u w:val="single"/>
        </w:rPr>
        <w:t xml:space="preserve">          Avg outbound links     Links to</w:t>
      </w:r>
    </w:p>
    <w:p>
      <w:pPr>
        <w:spacing w:after="20" w:before="4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Sector page          8–12 links           Programmes · Policies · Reports · Events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Programme page       10–16 links          Sectors · Policies · Stakeholders · Events · Reports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Policy page          4–8 links            Programmes · Sectors · Reports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Report page          3–5 links            Sector · Policies · Programme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Event page           2–4 links            Programme · Stakeholders · Sector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Partner page         3–6 links            Programmes · Policies · Sectors</w:t>
      </w:r>
    </w:p>
    <w:p>
      <w:pPr>
        <w:spacing w:after="60" w:before="2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Get Involved page    5–10 links           Programmes · Sectors · Policies · Contact</w:t>
      </w:r>
    </w:p>
    <w:p>
      <w:pPr>
        <w:pBdr>
          <w:bottom w:val="single" w:color="DDDDDD" w:sz="2" w:space="1"/>
        </w:pBdr>
        <w:spacing w:after="240" w:before="240"/>
      </w:pPr>
    </w:p>
    <w:p>
      <w:pPr>
        <w:spacing w:after="80" w:before="2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Total estimated pages: ~100  ·  All entity pages generated from MEF Database v2.0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Static pages: 8  ·  Index pages: 6  ·  Entity pages: ~75  ·  Filter views: ~15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2026-06-01T18:25:07.607Z</dcterms:created>
  <dcterms:modified xsi:type="dcterms:W3CDTF">2026-06-01T18:25:07.621Z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