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EAAE2" w14:textId="06D2957C" w:rsidR="003B7739" w:rsidRPr="008F1996" w:rsidRDefault="003B7739" w:rsidP="008F1996">
      <w:pPr>
        <w:jc w:val="center"/>
        <w:textAlignment w:val="baseline"/>
        <w:rPr>
          <w:rFonts w:ascii="Times New Roman" w:eastAsia="Times New Roman" w:hAnsi="Times New Roman" w:cs="Times New Roman"/>
          <w:b/>
          <w:bCs/>
          <w:sz w:val="36"/>
          <w:szCs w:val="36"/>
          <w:bdr w:val="none" w:sz="0" w:space="0" w:color="auto" w:frame="1"/>
        </w:rPr>
      </w:pPr>
      <w:r w:rsidRPr="008F1996">
        <w:rPr>
          <w:rFonts w:ascii="Times New Roman" w:eastAsia="Times New Roman" w:hAnsi="Times New Roman" w:cs="Times New Roman"/>
          <w:b/>
          <w:bCs/>
          <w:sz w:val="36"/>
          <w:szCs w:val="36"/>
          <w:bdr w:val="none" w:sz="0" w:space="0" w:color="auto" w:frame="1"/>
        </w:rPr>
        <w:t>THE INCOME-POLLUTION NEXUS: ESTIMATING INDIA'S TRAJECTORY TO AIR QUALITY IMPROVEMENT THROUGH CROSS-COUNTRY ENVIRONMENTAL KUZNETS CURVE ANALYSIS</w:t>
      </w:r>
    </w:p>
    <w:p w14:paraId="57BD6FAA" w14:textId="77777777" w:rsidR="008F1996" w:rsidRPr="008F1996" w:rsidRDefault="008F1996" w:rsidP="008F1996">
      <w:pPr>
        <w:jc w:val="center"/>
        <w:textAlignment w:val="baseline"/>
        <w:rPr>
          <w:rFonts w:ascii="Times New Roman" w:eastAsia="Times New Roman" w:hAnsi="Times New Roman" w:cs="Times New Roman"/>
        </w:rPr>
      </w:pPr>
    </w:p>
    <w:p w14:paraId="79FE6FE6" w14:textId="77777777" w:rsidR="003B7739" w:rsidRPr="008F1996" w:rsidRDefault="003B7739" w:rsidP="008F1996">
      <w:pPr>
        <w:jc w:val="cente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 xml:space="preserve">A Collaborative Research Initiative by </w:t>
      </w:r>
      <w:proofErr w:type="spellStart"/>
      <w:r w:rsidRPr="008F1996">
        <w:rPr>
          <w:rFonts w:ascii="Times New Roman" w:eastAsia="Times New Roman" w:hAnsi="Times New Roman" w:cs="Times New Roman"/>
          <w:b/>
          <w:bCs/>
          <w:bdr w:val="none" w:sz="0" w:space="0" w:color="auto" w:frame="1"/>
        </w:rPr>
        <w:t>Plaksha</w:t>
      </w:r>
      <w:proofErr w:type="spellEnd"/>
      <w:r w:rsidRPr="008F1996">
        <w:rPr>
          <w:rFonts w:ascii="Times New Roman" w:eastAsia="Times New Roman" w:hAnsi="Times New Roman" w:cs="Times New Roman"/>
          <w:b/>
          <w:bCs/>
          <w:bdr w:val="none" w:sz="0" w:space="0" w:color="auto" w:frame="1"/>
        </w:rPr>
        <w:t xml:space="preserve"> University &amp; Massive Earth Foundation</w:t>
      </w:r>
    </w:p>
    <w:p w14:paraId="3117CC8E" w14:textId="77777777" w:rsidR="003B7739" w:rsidRPr="008F1996" w:rsidRDefault="00635C6E" w:rsidP="003B7739">
      <w:pPr>
        <w:spacing w:after="240"/>
        <w:rPr>
          <w:rFonts w:ascii="Times New Roman" w:eastAsia="Times New Roman" w:hAnsi="Times New Roman" w:cs="Times New Roman"/>
        </w:rPr>
      </w:pPr>
      <w:r>
        <w:rPr>
          <w:rFonts w:ascii="Times New Roman" w:eastAsia="Times New Roman" w:hAnsi="Times New Roman" w:cs="Times New Roman"/>
          <w:noProof/>
        </w:rPr>
        <w:pict w14:anchorId="0F4ED6A5">
          <v:rect id="_x0000_i1039" alt="" style="width:468pt;height:.05pt;mso-width-percent:0;mso-height-percent:0;mso-width-percent:0;mso-height-percent:0" o:hralign="center" o:hrstd="t" o:hr="t" fillcolor="#a0a0a0" stroked="f"/>
        </w:pict>
      </w:r>
    </w:p>
    <w:p w14:paraId="790F431E"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AUTHORS:</w:t>
      </w:r>
    </w:p>
    <w:p w14:paraId="598EC671"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 xml:space="preserve">Shailesh </w:t>
      </w:r>
      <w:proofErr w:type="spellStart"/>
      <w:r w:rsidRPr="008F1996">
        <w:rPr>
          <w:rFonts w:ascii="Times New Roman" w:eastAsia="Times New Roman" w:hAnsi="Times New Roman" w:cs="Times New Roman"/>
          <w:b/>
          <w:bCs/>
          <w:bdr w:val="none" w:sz="0" w:space="0" w:color="auto" w:frame="1"/>
        </w:rPr>
        <w:t>Vickram</w:t>
      </w:r>
      <w:proofErr w:type="spellEnd"/>
      <w:r w:rsidRPr="008F1996">
        <w:rPr>
          <w:rFonts w:ascii="Times New Roman" w:eastAsia="Times New Roman" w:hAnsi="Times New Roman" w:cs="Times New Roman"/>
          <w:b/>
          <w:bCs/>
          <w:bdr w:val="none" w:sz="0" w:space="0" w:color="auto" w:frame="1"/>
        </w:rPr>
        <w:t xml:space="preserve"> Singh</w:t>
      </w:r>
      <w:proofErr w:type="gramStart"/>
      <w:r w:rsidRPr="008F1996">
        <w:rPr>
          <w:rFonts w:ascii="Times New Roman" w:eastAsia="Times New Roman" w:hAnsi="Times New Roman" w:cs="Times New Roman"/>
        </w:rPr>
        <w:t>¹,*</w:t>
      </w:r>
      <w:proofErr w:type="gramEnd"/>
      <w:r w:rsidRPr="008F1996">
        <w:rPr>
          <w:rFonts w:ascii="Times New Roman" w:eastAsia="Times New Roman" w:hAnsi="Times New Roman" w:cs="Times New Roman"/>
        </w:rPr>
        <w:br/>
        <w:t>Executive Director, Massive Earth Foundation</w:t>
      </w:r>
    </w:p>
    <w:p w14:paraId="555FB04C"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Aditya Tomar</w:t>
      </w:r>
      <w:r w:rsidRPr="008F1996">
        <w:rPr>
          <w:rFonts w:ascii="Times New Roman" w:eastAsia="Times New Roman" w:hAnsi="Times New Roman" w:cs="Times New Roman"/>
        </w:rPr>
        <w:t>²</w:t>
      </w:r>
      <w:r w:rsidRPr="008F1996">
        <w:rPr>
          <w:rFonts w:ascii="Times New Roman" w:eastAsia="Times New Roman" w:hAnsi="Times New Roman" w:cs="Times New Roman"/>
        </w:rPr>
        <w:br/>
        <w:t>Research Associate, Center for Environmental Economics</w:t>
      </w:r>
    </w:p>
    <w:p w14:paraId="52FB25E1"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Priya Natarajan</w:t>
      </w:r>
      <w:r w:rsidRPr="008F1996">
        <w:rPr>
          <w:rFonts w:ascii="Times New Roman" w:eastAsia="Times New Roman" w:hAnsi="Times New Roman" w:cs="Times New Roman"/>
        </w:rPr>
        <w:t>²</w:t>
      </w:r>
      <w:r w:rsidRPr="008F1996">
        <w:rPr>
          <w:rFonts w:ascii="Times New Roman" w:eastAsia="Times New Roman" w:hAnsi="Times New Roman" w:cs="Times New Roman"/>
        </w:rPr>
        <w:br/>
        <w:t>Research Scholar, Energy &amp; Environment Policy Lab</w:t>
      </w:r>
    </w:p>
    <w:p w14:paraId="07E91384"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Rohit Malhotra</w:t>
      </w:r>
      <w:r w:rsidRPr="008F1996">
        <w:rPr>
          <w:rFonts w:ascii="Times New Roman" w:eastAsia="Times New Roman" w:hAnsi="Times New Roman" w:cs="Times New Roman"/>
        </w:rPr>
        <w:t>²</w:t>
      </w:r>
      <w:r w:rsidRPr="008F1996">
        <w:rPr>
          <w:rFonts w:ascii="Times New Roman" w:eastAsia="Times New Roman" w:hAnsi="Times New Roman" w:cs="Times New Roman"/>
        </w:rPr>
        <w:br/>
        <w:t>Research Scholar, School of Sustainability</w:t>
      </w:r>
    </w:p>
    <w:p w14:paraId="139E5C36"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¹Massive Earth Foundation, New Delhi, India – 110070</w:t>
      </w:r>
      <w:r w:rsidRPr="008F1996">
        <w:rPr>
          <w:rFonts w:ascii="Times New Roman" w:eastAsia="Times New Roman" w:hAnsi="Times New Roman" w:cs="Times New Roman"/>
        </w:rPr>
        <w:br/>
        <w:t>²Plaksha University, Mohali, Punjab, India – 140306</w:t>
      </w:r>
      <w:r w:rsidRPr="008F1996">
        <w:rPr>
          <w:rFonts w:ascii="Times New Roman" w:eastAsia="Times New Roman" w:hAnsi="Times New Roman" w:cs="Times New Roman"/>
        </w:rPr>
        <w:br/>
        <w:t xml:space="preserve">*Corresponding author: </w:t>
      </w:r>
      <w:hyperlink r:id="rId5" w:tgtFrame="_blank" w:history="1">
        <w:r w:rsidRPr="008F1996">
          <w:rPr>
            <w:rFonts w:ascii="Times New Roman" w:eastAsia="Times New Roman" w:hAnsi="Times New Roman" w:cs="Times New Roman"/>
            <w:color w:val="0000FF"/>
            <w:u w:val="single"/>
            <w:bdr w:val="none" w:sz="0" w:space="0" w:color="auto" w:frame="1"/>
          </w:rPr>
          <w:t>shailesh@massivefoundation.org</w:t>
        </w:r>
      </w:hyperlink>
    </w:p>
    <w:p w14:paraId="3D44525E" w14:textId="77777777" w:rsidR="003B7739" w:rsidRPr="008F1996" w:rsidRDefault="00635C6E" w:rsidP="003B7739">
      <w:pPr>
        <w:spacing w:after="240"/>
        <w:rPr>
          <w:rFonts w:ascii="Times New Roman" w:eastAsia="Times New Roman" w:hAnsi="Times New Roman" w:cs="Times New Roman"/>
        </w:rPr>
      </w:pPr>
      <w:r>
        <w:rPr>
          <w:rFonts w:ascii="Times New Roman" w:eastAsia="Times New Roman" w:hAnsi="Times New Roman" w:cs="Times New Roman"/>
          <w:noProof/>
        </w:rPr>
        <w:pict w14:anchorId="5E8D3502">
          <v:rect id="_x0000_i1038" alt="" style="width:468pt;height:.05pt;mso-width-percent:0;mso-height-percent:0;mso-width-percent:0;mso-height-percent:0" o:hralign="center" o:hrstd="t" o:hr="t" fillcolor="#a0a0a0" stroked="f"/>
        </w:pict>
      </w:r>
    </w:p>
    <w:p w14:paraId="0118B652" w14:textId="5ADEE805" w:rsidR="003B7739" w:rsidRPr="008F1996" w:rsidRDefault="003B7739" w:rsidP="003B7739">
      <w:pPr>
        <w:textAlignment w:val="baseline"/>
        <w:rPr>
          <w:rFonts w:ascii="Times New Roman" w:eastAsia="Times New Roman" w:hAnsi="Times New Roman" w:cs="Times New Roman"/>
          <w:b/>
          <w:bCs/>
          <w:bdr w:val="none" w:sz="0" w:space="0" w:color="auto" w:frame="1"/>
        </w:rPr>
      </w:pPr>
      <w:r w:rsidRPr="008F1996">
        <w:rPr>
          <w:rFonts w:ascii="Times New Roman" w:eastAsia="Times New Roman" w:hAnsi="Times New Roman" w:cs="Times New Roman"/>
          <w:b/>
          <w:bCs/>
          <w:bdr w:val="none" w:sz="0" w:space="0" w:color="auto" w:frame="1"/>
        </w:rPr>
        <w:t>ABSTRACT</w:t>
      </w:r>
    </w:p>
    <w:p w14:paraId="3477E900" w14:textId="77777777" w:rsidR="003B7739" w:rsidRPr="008F1996" w:rsidRDefault="003B7739" w:rsidP="003B7739">
      <w:pPr>
        <w:textAlignment w:val="baseline"/>
        <w:rPr>
          <w:rFonts w:ascii="Times New Roman" w:eastAsia="Times New Roman" w:hAnsi="Times New Roman" w:cs="Times New Roman"/>
        </w:rPr>
      </w:pPr>
    </w:p>
    <w:p w14:paraId="2C1716EC" w14:textId="0D0FFE5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Background:</w:t>
      </w:r>
      <w:r w:rsidRPr="008F1996">
        <w:rPr>
          <w:rFonts w:ascii="Times New Roman" w:eastAsia="Times New Roman" w:hAnsi="Times New Roman" w:cs="Times New Roman"/>
        </w:rPr>
        <w:t xml:space="preserve"> Air pollution remains India's foremost environmental health crisis, causing over 2 million premature deaths annually and economic losses exceeding $95 billion. While the Environmental Kuznets Curve (EKC) hypothesis posits that pollution intensities decline after countries reach specific income thresholds, empirical evidence remains contested.</w:t>
      </w:r>
    </w:p>
    <w:p w14:paraId="399D1943" w14:textId="77777777" w:rsidR="003B7739" w:rsidRPr="008F1996" w:rsidRDefault="003B7739" w:rsidP="003B7739">
      <w:pPr>
        <w:textAlignment w:val="baseline"/>
        <w:rPr>
          <w:rFonts w:ascii="Times New Roman" w:eastAsia="Times New Roman" w:hAnsi="Times New Roman" w:cs="Times New Roman"/>
        </w:rPr>
      </w:pPr>
    </w:p>
    <w:p w14:paraId="0CD718E1" w14:textId="77326F0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Objective:</w:t>
      </w:r>
      <w:r w:rsidRPr="008F1996">
        <w:rPr>
          <w:rFonts w:ascii="Times New Roman" w:eastAsia="Times New Roman" w:hAnsi="Times New Roman" w:cs="Times New Roman"/>
        </w:rPr>
        <w:t xml:space="preserve"> This study quantifies the per capita income levels at which China and other industrialized nations achieved significant air quality improvements, and projects when India will reach comparable income thresholds under alternative growth scenarios.</w:t>
      </w:r>
    </w:p>
    <w:p w14:paraId="64DA4B10" w14:textId="77777777" w:rsidR="003B7739" w:rsidRPr="008F1996" w:rsidRDefault="003B7739" w:rsidP="003B7739">
      <w:pPr>
        <w:textAlignment w:val="baseline"/>
        <w:rPr>
          <w:rFonts w:ascii="Times New Roman" w:eastAsia="Times New Roman" w:hAnsi="Times New Roman" w:cs="Times New Roman"/>
        </w:rPr>
      </w:pPr>
    </w:p>
    <w:p w14:paraId="32E2371C" w14:textId="257E97D4"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Methods:</w:t>
      </w:r>
      <w:r w:rsidRPr="008F1996">
        <w:rPr>
          <w:rFonts w:ascii="Times New Roman" w:eastAsia="Times New Roman" w:hAnsi="Times New Roman" w:cs="Times New Roman"/>
        </w:rPr>
        <w:t xml:space="preserve"> We conducted a cross-country comparative analysis using panel data from the World Bank, IMF, and WHO for 15 countries (1980–2023). EKC turning points were estimated using polynomial regression models for PM2.5 and SO₂ concentrations. India's income projections were modeled using the Solow growth framework with total factor productivity estimates from IMF World Economic Outlook (2024) under baseline (6.5% GDP growth) and reforms (7.5% growth) scenarios.</w:t>
      </w:r>
    </w:p>
    <w:p w14:paraId="049372E4" w14:textId="77777777" w:rsidR="003B7739" w:rsidRPr="008F1996" w:rsidRDefault="003B7739" w:rsidP="003B7739">
      <w:pPr>
        <w:textAlignment w:val="baseline"/>
        <w:rPr>
          <w:rFonts w:ascii="Times New Roman" w:eastAsia="Times New Roman" w:hAnsi="Times New Roman" w:cs="Times New Roman"/>
        </w:rPr>
      </w:pPr>
    </w:p>
    <w:p w14:paraId="2B68F451" w14:textId="27AB4442"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Results:</w:t>
      </w:r>
      <w:r w:rsidRPr="008F1996">
        <w:rPr>
          <w:rFonts w:ascii="Times New Roman" w:eastAsia="Times New Roman" w:hAnsi="Times New Roman" w:cs="Times New Roman"/>
        </w:rPr>
        <w:t xml:space="preserve"> China's particulate matter pollution began declining at per capita income of </w:t>
      </w:r>
      <w:r w:rsidRPr="008F1996">
        <w:rPr>
          <w:rFonts w:ascii="Times New Roman" w:eastAsia="Times New Roman" w:hAnsi="Times New Roman" w:cs="Times New Roman"/>
          <w:b/>
          <w:bCs/>
          <w:bdr w:val="none" w:sz="0" w:space="0" w:color="auto" w:frame="1"/>
        </w:rPr>
        <w:t>$7,800–$12,900 (PPP, 2015 base)</w:t>
      </w:r>
      <w:r w:rsidRPr="008F1996">
        <w:rPr>
          <w:rFonts w:ascii="Times New Roman" w:eastAsia="Times New Roman" w:hAnsi="Times New Roman" w:cs="Times New Roman"/>
        </w:rPr>
        <w:t xml:space="preserve">, following implementation of stringent policies after 2013. Other industrialized nations turned at </w:t>
      </w:r>
      <w:r w:rsidRPr="008F1996">
        <w:rPr>
          <w:rFonts w:ascii="Times New Roman" w:eastAsia="Times New Roman" w:hAnsi="Times New Roman" w:cs="Times New Roman"/>
          <w:b/>
          <w:bCs/>
          <w:bdr w:val="none" w:sz="0" w:space="0" w:color="auto" w:frame="1"/>
        </w:rPr>
        <w:t>$8,000–$15,000</w:t>
      </w:r>
      <w:r w:rsidRPr="008F1996">
        <w:rPr>
          <w:rFonts w:ascii="Times New Roman" w:eastAsia="Times New Roman" w:hAnsi="Times New Roman" w:cs="Times New Roman"/>
        </w:rPr>
        <w:t xml:space="preserve"> (1985–2001 dollars). India's current per capita income stands at </w:t>
      </w:r>
      <w:r w:rsidRPr="008F1996">
        <w:rPr>
          <w:rFonts w:ascii="Times New Roman" w:eastAsia="Times New Roman" w:hAnsi="Times New Roman" w:cs="Times New Roman"/>
          <w:b/>
          <w:bCs/>
          <w:bdr w:val="none" w:sz="0" w:space="0" w:color="auto" w:frame="1"/>
        </w:rPr>
        <w:t>$2,600 (2025</w:t>
      </w:r>
      <w:proofErr w:type="gramStart"/>
      <w:r w:rsidRPr="008F1996">
        <w:rPr>
          <w:rFonts w:ascii="Times New Roman" w:eastAsia="Times New Roman" w:hAnsi="Times New Roman" w:cs="Times New Roman"/>
          <w:b/>
          <w:bCs/>
          <w:bdr w:val="none" w:sz="0" w:space="0" w:color="auto" w:frame="1"/>
        </w:rPr>
        <w:t>)</w:t>
      </w:r>
      <w:r w:rsidRPr="008F1996">
        <w:rPr>
          <w:rFonts w:ascii="Times New Roman" w:eastAsia="Times New Roman" w:hAnsi="Times New Roman" w:cs="Times New Roman"/>
        </w:rPr>
        <w:t xml:space="preserve"> .</w:t>
      </w:r>
      <w:proofErr w:type="gramEnd"/>
      <w:r w:rsidRPr="008F1996">
        <w:rPr>
          <w:rFonts w:ascii="Times New Roman" w:eastAsia="Times New Roman" w:hAnsi="Times New Roman" w:cs="Times New Roman"/>
        </w:rPr>
        <w:t xml:space="preserve"> Projections indicate India will reach the $8,000 threshold by </w:t>
      </w:r>
      <w:r w:rsidRPr="008F1996">
        <w:rPr>
          <w:rFonts w:ascii="Times New Roman" w:eastAsia="Times New Roman" w:hAnsi="Times New Roman" w:cs="Times New Roman"/>
          <w:b/>
          <w:bCs/>
          <w:bdr w:val="none" w:sz="0" w:space="0" w:color="auto" w:frame="1"/>
        </w:rPr>
        <w:t>2035–2040</w:t>
      </w:r>
      <w:r w:rsidRPr="008F1996">
        <w:rPr>
          <w:rFonts w:ascii="Times New Roman" w:eastAsia="Times New Roman" w:hAnsi="Times New Roman" w:cs="Times New Roman"/>
        </w:rPr>
        <w:t xml:space="preserve"> </w:t>
      </w:r>
      <w:r w:rsidRPr="008F1996">
        <w:rPr>
          <w:rFonts w:ascii="Times New Roman" w:eastAsia="Times New Roman" w:hAnsi="Times New Roman" w:cs="Times New Roman"/>
          <w:b/>
          <w:bCs/>
          <w:bdr w:val="none" w:sz="0" w:space="0" w:color="auto" w:frame="1"/>
        </w:rPr>
        <w:t>under reforms scenario</w:t>
      </w:r>
      <w:r w:rsidRPr="008F1996">
        <w:rPr>
          <w:rFonts w:ascii="Times New Roman" w:eastAsia="Times New Roman" w:hAnsi="Times New Roman" w:cs="Times New Roman"/>
        </w:rPr>
        <w:t xml:space="preserve"> and </w:t>
      </w:r>
      <w:r w:rsidRPr="008F1996">
        <w:rPr>
          <w:rFonts w:ascii="Times New Roman" w:eastAsia="Times New Roman" w:hAnsi="Times New Roman" w:cs="Times New Roman"/>
          <w:b/>
          <w:bCs/>
          <w:bdr w:val="none" w:sz="0" w:space="0" w:color="auto" w:frame="1"/>
        </w:rPr>
        <w:t xml:space="preserve">2040–2045 under baseline </w:t>
      </w:r>
      <w:proofErr w:type="gramStart"/>
      <w:r w:rsidRPr="008F1996">
        <w:rPr>
          <w:rFonts w:ascii="Times New Roman" w:eastAsia="Times New Roman" w:hAnsi="Times New Roman" w:cs="Times New Roman"/>
          <w:b/>
          <w:bCs/>
          <w:bdr w:val="none" w:sz="0" w:space="0" w:color="auto" w:frame="1"/>
        </w:rPr>
        <w:t>conditions</w:t>
      </w:r>
      <w:r w:rsidRPr="008F1996">
        <w:rPr>
          <w:rFonts w:ascii="Times New Roman" w:eastAsia="Times New Roman" w:hAnsi="Times New Roman" w:cs="Times New Roman"/>
        </w:rPr>
        <w:t xml:space="preserve"> .</w:t>
      </w:r>
      <w:proofErr w:type="gramEnd"/>
      <w:r w:rsidRPr="008F1996">
        <w:rPr>
          <w:rFonts w:ascii="Times New Roman" w:eastAsia="Times New Roman" w:hAnsi="Times New Roman" w:cs="Times New Roman"/>
        </w:rPr>
        <w:t xml:space="preserve"> However, the </w:t>
      </w:r>
      <w:r w:rsidRPr="008F1996">
        <w:rPr>
          <w:rFonts w:ascii="Times New Roman" w:eastAsia="Times New Roman" w:hAnsi="Times New Roman" w:cs="Times New Roman"/>
        </w:rPr>
        <w:lastRenderedPageBreak/>
        <w:t xml:space="preserve">EKC relationship is conditional: China invested </w:t>
      </w:r>
      <w:r w:rsidRPr="008F1996">
        <w:rPr>
          <w:rFonts w:ascii="Times New Roman" w:eastAsia="Times New Roman" w:hAnsi="Times New Roman" w:cs="Times New Roman"/>
          <w:b/>
          <w:bCs/>
          <w:bdr w:val="none" w:sz="0" w:space="0" w:color="auto" w:frame="1"/>
        </w:rPr>
        <w:t>$277 billion</w:t>
      </w:r>
      <w:r w:rsidRPr="008F1996">
        <w:rPr>
          <w:rFonts w:ascii="Times New Roman" w:eastAsia="Times New Roman" w:hAnsi="Times New Roman" w:cs="Times New Roman"/>
        </w:rPr>
        <w:t xml:space="preserve"> in pollution control (2013–2018), equivalent to 1.5% of GDP annually.</w:t>
      </w:r>
    </w:p>
    <w:p w14:paraId="706670FD" w14:textId="77777777" w:rsidR="003B7739" w:rsidRPr="008F1996" w:rsidRDefault="003B7739" w:rsidP="003B7739">
      <w:pPr>
        <w:textAlignment w:val="baseline"/>
        <w:rPr>
          <w:rFonts w:ascii="Times New Roman" w:eastAsia="Times New Roman" w:hAnsi="Times New Roman" w:cs="Times New Roman"/>
        </w:rPr>
      </w:pPr>
    </w:p>
    <w:p w14:paraId="7471A007" w14:textId="25099206"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Conclusion:</w:t>
      </w:r>
      <w:r w:rsidRPr="008F1996">
        <w:rPr>
          <w:rFonts w:ascii="Times New Roman" w:eastAsia="Times New Roman" w:hAnsi="Times New Roman" w:cs="Times New Roman"/>
        </w:rPr>
        <w:t xml:space="preserve"> Income thresholds are necessary but insufficient for pollution turnaround. India requires policy interventions </w:t>
      </w:r>
      <w:r w:rsidRPr="008F1996">
        <w:rPr>
          <w:rFonts w:ascii="Times New Roman" w:eastAsia="Times New Roman" w:hAnsi="Times New Roman" w:cs="Times New Roman"/>
          <w:b/>
          <w:bCs/>
          <w:bdr w:val="none" w:sz="0" w:space="0" w:color="auto" w:frame="1"/>
        </w:rPr>
        <w:t>10–15 years before</w:t>
      </w:r>
      <w:r w:rsidRPr="008F1996">
        <w:rPr>
          <w:rFonts w:ascii="Times New Roman" w:eastAsia="Times New Roman" w:hAnsi="Times New Roman" w:cs="Times New Roman"/>
        </w:rPr>
        <w:t xml:space="preserve"> reaching China's income level to avoid the "grow now, clean up later" trap. Delayed action could cost an additional 25 million pollution-related deaths by 2050.</w:t>
      </w:r>
    </w:p>
    <w:p w14:paraId="7B33AA3F" w14:textId="77777777" w:rsidR="003B7739" w:rsidRPr="008F1996" w:rsidRDefault="003B7739" w:rsidP="003B7739">
      <w:pPr>
        <w:textAlignment w:val="baseline"/>
        <w:rPr>
          <w:rFonts w:ascii="Times New Roman" w:eastAsia="Times New Roman" w:hAnsi="Times New Roman" w:cs="Times New Roman"/>
        </w:rPr>
      </w:pPr>
    </w:p>
    <w:p w14:paraId="46151182"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Keywords:</w:t>
      </w:r>
      <w:r w:rsidRPr="008F1996">
        <w:rPr>
          <w:rFonts w:ascii="Times New Roman" w:eastAsia="Times New Roman" w:hAnsi="Times New Roman" w:cs="Times New Roman"/>
        </w:rPr>
        <w:t xml:space="preserve"> Environmental Kuznets Curve; air pollution; per capita income; India; China; policy intervention; sustainable development</w:t>
      </w:r>
    </w:p>
    <w:p w14:paraId="314D8C1B" w14:textId="77777777" w:rsidR="003B7739" w:rsidRPr="008F1996" w:rsidRDefault="00635C6E" w:rsidP="003B7739">
      <w:pPr>
        <w:spacing w:after="240"/>
        <w:rPr>
          <w:rFonts w:ascii="Times New Roman" w:eastAsia="Times New Roman" w:hAnsi="Times New Roman" w:cs="Times New Roman"/>
        </w:rPr>
      </w:pPr>
      <w:r>
        <w:rPr>
          <w:rFonts w:ascii="Times New Roman" w:eastAsia="Times New Roman" w:hAnsi="Times New Roman" w:cs="Times New Roman"/>
          <w:noProof/>
        </w:rPr>
        <w:pict w14:anchorId="6A3768FD">
          <v:rect id="_x0000_i1037" alt="" style="width:468pt;height:.05pt;mso-width-percent:0;mso-height-percent:0;mso-width-percent:0;mso-height-percent:0" o:hralign="center" o:hrstd="t" o:hr="t" fillcolor="#a0a0a0" stroked="f"/>
        </w:pict>
      </w:r>
    </w:p>
    <w:p w14:paraId="0704C686"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1. INTRODUCTION</w:t>
      </w:r>
    </w:p>
    <w:p w14:paraId="5D40A692"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1.1 Research Motivation</w:t>
      </w:r>
    </w:p>
    <w:p w14:paraId="1443091B"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 xml:space="preserve">Ambient air pollution accounts for 12.4% of total deaths in India, with particulate matter (PM2.5) concentrations exceeding WHO guidelines by 400% in 132 Indian cities under the National Clean Air </w:t>
      </w:r>
      <w:proofErr w:type="spellStart"/>
      <w:r w:rsidRPr="008F1996">
        <w:rPr>
          <w:rFonts w:ascii="Times New Roman" w:eastAsia="Times New Roman" w:hAnsi="Times New Roman" w:cs="Times New Roman"/>
        </w:rPr>
        <w:t>Programme</w:t>
      </w:r>
      <w:proofErr w:type="spellEnd"/>
      <w:r w:rsidRPr="008F1996">
        <w:rPr>
          <w:rFonts w:ascii="Times New Roman" w:eastAsia="Times New Roman" w:hAnsi="Times New Roman" w:cs="Times New Roman"/>
        </w:rPr>
        <w:t xml:space="preserve"> (NCAP) (Balakrishnan et al., 2023; Greenstone et al., 2022). While economic growth traditionally correlates with environmental degradation, cross-country evidence suggests a non-linear relationship—the Environmental Kuznets Curve (EKC)—where pollution intensities peak and subsequently decline beyond specific income levels (Grossman &amp; Krueger, 1995).</w:t>
      </w:r>
    </w:p>
    <w:p w14:paraId="6AC11105"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However, India's pollution trajectory remains anomalous: despite per capita income growth from $1,100 (2000) to $2,600 (2025), PM2.5 concentrations have increased by 17% in major metropolitan areas (CRB, 2024). This divergence necessitates rigorous empirical investigation into:</w:t>
      </w:r>
    </w:p>
    <w:p w14:paraId="0BB6E036" w14:textId="77777777" w:rsidR="003B7739" w:rsidRPr="008F1996" w:rsidRDefault="003B7739" w:rsidP="003B7739">
      <w:pPr>
        <w:numPr>
          <w:ilvl w:val="0"/>
          <w:numId w:val="1"/>
        </w:numPr>
        <w:spacing w:after="180"/>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sz w:val="21"/>
          <w:szCs w:val="21"/>
        </w:rPr>
        <w:t xml:space="preserve">The precise income thresholds at which comparator nations achieved pollution </w:t>
      </w:r>
      <w:proofErr w:type="gramStart"/>
      <w:r w:rsidRPr="008F1996">
        <w:rPr>
          <w:rFonts w:ascii="Times New Roman" w:eastAsia="Times New Roman" w:hAnsi="Times New Roman" w:cs="Times New Roman"/>
          <w:sz w:val="21"/>
          <w:szCs w:val="21"/>
        </w:rPr>
        <w:t>reversal;</w:t>
      </w:r>
      <w:proofErr w:type="gramEnd"/>
    </w:p>
    <w:p w14:paraId="01C4209B" w14:textId="77777777" w:rsidR="003B7739" w:rsidRPr="008F1996" w:rsidRDefault="003B7739" w:rsidP="003B7739">
      <w:pPr>
        <w:numPr>
          <w:ilvl w:val="0"/>
          <w:numId w:val="1"/>
        </w:numPr>
        <w:spacing w:after="180"/>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sz w:val="21"/>
          <w:szCs w:val="21"/>
        </w:rPr>
        <w:t>The policy intensity required to engineer such reversals; and</w:t>
      </w:r>
    </w:p>
    <w:p w14:paraId="5C239B7F" w14:textId="08172A53" w:rsidR="003B7739" w:rsidRPr="008F1996" w:rsidRDefault="003B7739" w:rsidP="003B7739">
      <w:pPr>
        <w:numPr>
          <w:ilvl w:val="0"/>
          <w:numId w:val="1"/>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sz w:val="21"/>
          <w:szCs w:val="21"/>
        </w:rPr>
        <w:t>Probabilistic timelines for India under realistic macroeconomic scenarios.</w:t>
      </w:r>
    </w:p>
    <w:p w14:paraId="7BBF7A4E" w14:textId="77777777" w:rsidR="003B7739" w:rsidRPr="008F1996" w:rsidRDefault="003B7739" w:rsidP="003B7739">
      <w:pPr>
        <w:ind w:left="360"/>
        <w:textAlignment w:val="baseline"/>
        <w:rPr>
          <w:rFonts w:ascii="Times New Roman" w:eastAsia="Times New Roman" w:hAnsi="Times New Roman" w:cs="Times New Roman"/>
          <w:sz w:val="21"/>
          <w:szCs w:val="21"/>
        </w:rPr>
      </w:pPr>
    </w:p>
    <w:p w14:paraId="5D113207"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1.2 Research Gap and Hypotheses</w:t>
      </w:r>
    </w:p>
    <w:p w14:paraId="77B90DAE"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Existing literature documents EKC relationships for developed economies but offers limited guidance for late-stage industrializers like India facing dual challenges of development and climate constraints (Stern, 2017). We hypothesize that:</w:t>
      </w:r>
    </w:p>
    <w:p w14:paraId="114ED5EF"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H₁:</w:t>
      </w:r>
      <w:r w:rsidRPr="008F1996">
        <w:rPr>
          <w:rFonts w:ascii="Times New Roman" w:eastAsia="Times New Roman" w:hAnsi="Times New Roman" w:cs="Times New Roman"/>
        </w:rPr>
        <w:t xml:space="preserve"> India's air pollution will not spontaneously decline upon reaching China's 2013 income level without commensurate policy stringency.</w:t>
      </w:r>
      <w:r w:rsidRPr="008F1996">
        <w:rPr>
          <w:rFonts w:ascii="Times New Roman" w:eastAsia="Times New Roman" w:hAnsi="Times New Roman" w:cs="Times New Roman"/>
        </w:rPr>
        <w:br/>
      </w:r>
      <w:r w:rsidRPr="008F1996">
        <w:rPr>
          <w:rFonts w:ascii="Times New Roman" w:eastAsia="Times New Roman" w:hAnsi="Times New Roman" w:cs="Times New Roman"/>
          <w:b/>
          <w:bCs/>
          <w:bdr w:val="none" w:sz="0" w:space="0" w:color="auto" w:frame="1"/>
        </w:rPr>
        <w:t>H₂:</w:t>
      </w:r>
      <w:r w:rsidRPr="008F1996">
        <w:rPr>
          <w:rFonts w:ascii="Times New Roman" w:eastAsia="Times New Roman" w:hAnsi="Times New Roman" w:cs="Times New Roman"/>
        </w:rPr>
        <w:t xml:space="preserve"> The effective turning point is 30–40% lower in PPP terms for late-developing nations due to technology transfer effects.</w:t>
      </w:r>
      <w:r w:rsidRPr="008F1996">
        <w:rPr>
          <w:rFonts w:ascii="Times New Roman" w:eastAsia="Times New Roman" w:hAnsi="Times New Roman" w:cs="Times New Roman"/>
        </w:rPr>
        <w:br/>
      </w:r>
      <w:r w:rsidRPr="008F1996">
        <w:rPr>
          <w:rFonts w:ascii="Times New Roman" w:eastAsia="Times New Roman" w:hAnsi="Times New Roman" w:cs="Times New Roman"/>
          <w:b/>
          <w:bCs/>
          <w:bdr w:val="none" w:sz="0" w:space="0" w:color="auto" w:frame="1"/>
        </w:rPr>
        <w:t>H₃:</w:t>
      </w:r>
      <w:r w:rsidRPr="008F1996">
        <w:rPr>
          <w:rFonts w:ascii="Times New Roman" w:eastAsia="Times New Roman" w:hAnsi="Times New Roman" w:cs="Times New Roman"/>
        </w:rPr>
        <w:t xml:space="preserve"> India's pollution plateau will occur at per capita income between $8,000–$10,000 PPP, conditional on enforcement of NCAP Phase II (2024–2029).</w:t>
      </w:r>
    </w:p>
    <w:p w14:paraId="1871DFE8" w14:textId="77777777" w:rsidR="003B7739" w:rsidRPr="008F1996" w:rsidRDefault="00635C6E" w:rsidP="003B7739">
      <w:pPr>
        <w:spacing w:after="240"/>
        <w:rPr>
          <w:rFonts w:ascii="Times New Roman" w:eastAsia="Times New Roman" w:hAnsi="Times New Roman" w:cs="Times New Roman"/>
        </w:rPr>
      </w:pPr>
      <w:r>
        <w:rPr>
          <w:rFonts w:ascii="Times New Roman" w:eastAsia="Times New Roman" w:hAnsi="Times New Roman" w:cs="Times New Roman"/>
          <w:noProof/>
        </w:rPr>
        <w:pict w14:anchorId="6AC394E3">
          <v:rect id="_x0000_i1036" alt="" style="width:468pt;height:.05pt;mso-width-percent:0;mso-height-percent:0;mso-width-percent:0;mso-height-percent:0" o:hralign="center" o:hrstd="t" o:hr="t" fillcolor="#a0a0a0" stroked="f"/>
        </w:pict>
      </w:r>
    </w:p>
    <w:p w14:paraId="63A795F4" w14:textId="264F3787" w:rsidR="003B7739" w:rsidRPr="008F1996" w:rsidRDefault="003B7739" w:rsidP="003B7739">
      <w:pPr>
        <w:textAlignment w:val="baseline"/>
        <w:rPr>
          <w:rFonts w:ascii="Times New Roman" w:eastAsia="Times New Roman" w:hAnsi="Times New Roman" w:cs="Times New Roman"/>
          <w:b/>
          <w:bCs/>
          <w:bdr w:val="none" w:sz="0" w:space="0" w:color="auto" w:frame="1"/>
        </w:rPr>
      </w:pPr>
      <w:r w:rsidRPr="008F1996">
        <w:rPr>
          <w:rFonts w:ascii="Times New Roman" w:eastAsia="Times New Roman" w:hAnsi="Times New Roman" w:cs="Times New Roman"/>
          <w:b/>
          <w:bCs/>
          <w:bdr w:val="none" w:sz="0" w:space="0" w:color="auto" w:frame="1"/>
        </w:rPr>
        <w:t>2. LITERATURE REVIEW</w:t>
      </w:r>
    </w:p>
    <w:p w14:paraId="4811F3A2" w14:textId="77777777" w:rsidR="003B7739" w:rsidRPr="008F1996" w:rsidRDefault="003B7739" w:rsidP="003B7739">
      <w:pPr>
        <w:textAlignment w:val="baseline"/>
        <w:rPr>
          <w:rFonts w:ascii="Times New Roman" w:eastAsia="Times New Roman" w:hAnsi="Times New Roman" w:cs="Times New Roman"/>
        </w:rPr>
      </w:pPr>
    </w:p>
    <w:p w14:paraId="2F30A734"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2.1 Theoretical Foundations of EKC</w:t>
      </w:r>
    </w:p>
    <w:p w14:paraId="788B4F80"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The EKC postulates an inverted-U relationship between environmental degradation and per capita income (Grossman &amp; Krueger, 1995). Mechanisms include:</w:t>
      </w:r>
    </w:p>
    <w:p w14:paraId="1375EAFF" w14:textId="77777777" w:rsidR="003B7739" w:rsidRPr="008F1996" w:rsidRDefault="003B7739" w:rsidP="003B7739">
      <w:pPr>
        <w:numPr>
          <w:ilvl w:val="0"/>
          <w:numId w:val="2"/>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lastRenderedPageBreak/>
        <w:t>Scale effect:</w:t>
      </w:r>
      <w:r w:rsidRPr="008F1996">
        <w:rPr>
          <w:rFonts w:ascii="Times New Roman" w:eastAsia="Times New Roman" w:hAnsi="Times New Roman" w:cs="Times New Roman"/>
          <w:sz w:val="21"/>
          <w:szCs w:val="21"/>
        </w:rPr>
        <w:t xml:space="preserve"> Initial growth increases pollution-intensive activities.</w:t>
      </w:r>
    </w:p>
    <w:p w14:paraId="2DC4F81A" w14:textId="77777777" w:rsidR="003B7739" w:rsidRPr="008F1996" w:rsidRDefault="003B7739" w:rsidP="003B7739">
      <w:pPr>
        <w:numPr>
          <w:ilvl w:val="0"/>
          <w:numId w:val="2"/>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Composition effect:</w:t>
      </w:r>
      <w:r w:rsidRPr="008F1996">
        <w:rPr>
          <w:rFonts w:ascii="Times New Roman" w:eastAsia="Times New Roman" w:hAnsi="Times New Roman" w:cs="Times New Roman"/>
          <w:sz w:val="21"/>
          <w:szCs w:val="21"/>
        </w:rPr>
        <w:t xml:space="preserve"> Structural shift from agriculture to manufacturing, then services.</w:t>
      </w:r>
    </w:p>
    <w:p w14:paraId="786ED183" w14:textId="77777777" w:rsidR="003B7739" w:rsidRPr="008F1996" w:rsidRDefault="003B7739" w:rsidP="003B7739">
      <w:pPr>
        <w:numPr>
          <w:ilvl w:val="0"/>
          <w:numId w:val="2"/>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Technique effect:</w:t>
      </w:r>
      <w:r w:rsidRPr="008F1996">
        <w:rPr>
          <w:rFonts w:ascii="Times New Roman" w:eastAsia="Times New Roman" w:hAnsi="Times New Roman" w:cs="Times New Roman"/>
          <w:sz w:val="21"/>
          <w:szCs w:val="21"/>
        </w:rPr>
        <w:t xml:space="preserve"> Adoption of cleaner technologies at higher incomes.</w:t>
      </w:r>
    </w:p>
    <w:p w14:paraId="4E688726" w14:textId="7BC3FF76" w:rsidR="003B7739" w:rsidRPr="008F1996" w:rsidRDefault="003B7739" w:rsidP="003B7739">
      <w:pPr>
        <w:numPr>
          <w:ilvl w:val="0"/>
          <w:numId w:val="2"/>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Policy effect:</w:t>
      </w:r>
      <w:r w:rsidRPr="008F1996">
        <w:rPr>
          <w:rFonts w:ascii="Times New Roman" w:eastAsia="Times New Roman" w:hAnsi="Times New Roman" w:cs="Times New Roman"/>
          <w:sz w:val="21"/>
          <w:szCs w:val="21"/>
        </w:rPr>
        <w:t xml:space="preserve"> Demand for environmental quality becomes income-elastic beyond middle-income status (Dasgupta et al., 2002).</w:t>
      </w:r>
    </w:p>
    <w:p w14:paraId="292C5F42" w14:textId="77777777" w:rsidR="003B7739" w:rsidRPr="008F1996" w:rsidRDefault="003B7739" w:rsidP="003B7739">
      <w:pPr>
        <w:ind w:left="360"/>
        <w:textAlignment w:val="baseline"/>
        <w:rPr>
          <w:rFonts w:ascii="Times New Roman" w:eastAsia="Times New Roman" w:hAnsi="Times New Roman" w:cs="Times New Roman"/>
          <w:sz w:val="21"/>
          <w:szCs w:val="21"/>
        </w:rPr>
      </w:pPr>
    </w:p>
    <w:p w14:paraId="1B15A0B0"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2.2 Empirical Evidence from Industrialized Nations</w:t>
      </w:r>
    </w:p>
    <w:p w14:paraId="27C23849"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United States &amp; Western Europe:</w:t>
      </w:r>
      <w:r w:rsidRPr="008F1996">
        <w:rPr>
          <w:rFonts w:ascii="Times New Roman" w:eastAsia="Times New Roman" w:hAnsi="Times New Roman" w:cs="Times New Roman"/>
        </w:rPr>
        <w:t xml:space="preserve"> SO₂ emissions peaked in 1970s at per capita incomes of </w:t>
      </w:r>
      <w:r w:rsidRPr="008F1996">
        <w:rPr>
          <w:rFonts w:ascii="Times New Roman" w:eastAsia="Times New Roman" w:hAnsi="Times New Roman" w:cs="Times New Roman"/>
          <w:b/>
          <w:bCs/>
          <w:bdr w:val="none" w:sz="0" w:space="0" w:color="auto" w:frame="1"/>
        </w:rPr>
        <w:t>$10,000–$12,000</w:t>
      </w:r>
      <w:r w:rsidRPr="008F1996">
        <w:rPr>
          <w:rFonts w:ascii="Times New Roman" w:eastAsia="Times New Roman" w:hAnsi="Times New Roman" w:cs="Times New Roman"/>
        </w:rPr>
        <w:t xml:space="preserve"> (1985 dollars, ~$25,000 PPP today) following Clean Air Act amendments and cap-and-trade systems (Smith, 2005).</w:t>
      </w:r>
    </w:p>
    <w:p w14:paraId="60F612C6"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Japan:</w:t>
      </w:r>
      <w:r w:rsidRPr="008F1996">
        <w:rPr>
          <w:rFonts w:ascii="Times New Roman" w:eastAsia="Times New Roman" w:hAnsi="Times New Roman" w:cs="Times New Roman"/>
        </w:rPr>
        <w:t xml:space="preserve"> Particulate matter declined post-1975 at </w:t>
      </w:r>
      <w:r w:rsidRPr="008F1996">
        <w:rPr>
          <w:rFonts w:ascii="Times New Roman" w:eastAsia="Times New Roman" w:hAnsi="Times New Roman" w:cs="Times New Roman"/>
          <w:b/>
          <w:bCs/>
          <w:bdr w:val="none" w:sz="0" w:space="0" w:color="auto" w:frame="1"/>
        </w:rPr>
        <w:t xml:space="preserve">$11,500 per </w:t>
      </w:r>
      <w:proofErr w:type="gramStart"/>
      <w:r w:rsidRPr="008F1996">
        <w:rPr>
          <w:rFonts w:ascii="Times New Roman" w:eastAsia="Times New Roman" w:hAnsi="Times New Roman" w:cs="Times New Roman"/>
          <w:b/>
          <w:bCs/>
          <w:bdr w:val="none" w:sz="0" w:space="0" w:color="auto" w:frame="1"/>
        </w:rPr>
        <w:t>capita</w:t>
      </w:r>
      <w:r w:rsidRPr="008F1996">
        <w:rPr>
          <w:rFonts w:ascii="Times New Roman" w:eastAsia="Times New Roman" w:hAnsi="Times New Roman" w:cs="Times New Roman"/>
        </w:rPr>
        <w:t xml:space="preserve"> ,</w:t>
      </w:r>
      <w:proofErr w:type="gramEnd"/>
      <w:r w:rsidRPr="008F1996">
        <w:rPr>
          <w:rFonts w:ascii="Times New Roman" w:eastAsia="Times New Roman" w:hAnsi="Times New Roman" w:cs="Times New Roman"/>
        </w:rPr>
        <w:t xml:space="preserve"> driven by technological innovation and stringent industrial standards (Hayami, 2015).</w:t>
      </w:r>
    </w:p>
    <w:p w14:paraId="5B3B0FFE" w14:textId="73BC738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Late industrializers:</w:t>
      </w:r>
      <w:r w:rsidRPr="008F1996">
        <w:rPr>
          <w:rFonts w:ascii="Times New Roman" w:eastAsia="Times New Roman" w:hAnsi="Times New Roman" w:cs="Times New Roman"/>
        </w:rPr>
        <w:t xml:space="preserve"> South Korea and Taiwan achieved pollution turnaround at </w:t>
      </w:r>
      <w:r w:rsidRPr="008F1996">
        <w:rPr>
          <w:rFonts w:ascii="Times New Roman" w:eastAsia="Times New Roman" w:hAnsi="Times New Roman" w:cs="Times New Roman"/>
          <w:b/>
          <w:bCs/>
          <w:bdr w:val="none" w:sz="0" w:space="0" w:color="auto" w:frame="1"/>
        </w:rPr>
        <w:t>$8,000–$10,000</w:t>
      </w:r>
      <w:r w:rsidRPr="008F1996">
        <w:rPr>
          <w:rFonts w:ascii="Times New Roman" w:eastAsia="Times New Roman" w:hAnsi="Times New Roman" w:cs="Times New Roman"/>
        </w:rPr>
        <w:t xml:space="preserve"> (1990 dollars) by leapfrogging to cleaner technologies (</w:t>
      </w:r>
      <w:proofErr w:type="spellStart"/>
      <w:r w:rsidRPr="008F1996">
        <w:rPr>
          <w:rFonts w:ascii="Times New Roman" w:eastAsia="Times New Roman" w:hAnsi="Times New Roman" w:cs="Times New Roman"/>
        </w:rPr>
        <w:t>Panayotou</w:t>
      </w:r>
      <w:proofErr w:type="spellEnd"/>
      <w:r w:rsidRPr="008F1996">
        <w:rPr>
          <w:rFonts w:ascii="Times New Roman" w:eastAsia="Times New Roman" w:hAnsi="Times New Roman" w:cs="Times New Roman"/>
        </w:rPr>
        <w:t>, 2016).</w:t>
      </w:r>
    </w:p>
    <w:p w14:paraId="1FA8EE8B" w14:textId="77777777" w:rsidR="003B7739" w:rsidRPr="008F1996" w:rsidRDefault="003B7739" w:rsidP="003B7739">
      <w:pPr>
        <w:textAlignment w:val="baseline"/>
        <w:rPr>
          <w:rFonts w:ascii="Times New Roman" w:eastAsia="Times New Roman" w:hAnsi="Times New Roman" w:cs="Times New Roman"/>
        </w:rPr>
      </w:pPr>
    </w:p>
    <w:p w14:paraId="03E169DB"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2.3 China's Paradigm: Policy-Led Reversal</w:t>
      </w:r>
    </w:p>
    <w:p w14:paraId="79A69D38"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 xml:space="preserve">China's experience challenges pure EKC determinism. Despite reaching </w:t>
      </w:r>
      <w:r w:rsidRPr="008F1996">
        <w:rPr>
          <w:rFonts w:ascii="Times New Roman" w:eastAsia="Times New Roman" w:hAnsi="Times New Roman" w:cs="Times New Roman"/>
          <w:b/>
          <w:bCs/>
          <w:bdr w:val="none" w:sz="0" w:space="0" w:color="auto" w:frame="1"/>
        </w:rPr>
        <w:t>$6,800 per capita</w:t>
      </w:r>
      <w:r w:rsidRPr="008F1996">
        <w:rPr>
          <w:rFonts w:ascii="Times New Roman" w:eastAsia="Times New Roman" w:hAnsi="Times New Roman" w:cs="Times New Roman"/>
        </w:rPr>
        <w:t xml:space="preserve"> in 2010, pollution intensities continued worsening until the </w:t>
      </w:r>
      <w:r w:rsidRPr="008F1996">
        <w:rPr>
          <w:rFonts w:ascii="Times New Roman" w:eastAsia="Times New Roman" w:hAnsi="Times New Roman" w:cs="Times New Roman"/>
          <w:i/>
          <w:iCs/>
          <w:bdr w:val="none" w:sz="0" w:space="0" w:color="auto" w:frame="1"/>
        </w:rPr>
        <w:t>Air Pollution Prevention and Control Action Plan</w:t>
      </w:r>
      <w:r w:rsidRPr="008F1996">
        <w:rPr>
          <w:rFonts w:ascii="Times New Roman" w:eastAsia="Times New Roman" w:hAnsi="Times New Roman" w:cs="Times New Roman"/>
        </w:rPr>
        <w:t xml:space="preserve"> (2013) mandated:</w:t>
      </w:r>
    </w:p>
    <w:p w14:paraId="07EA630F" w14:textId="77777777" w:rsidR="003B7739" w:rsidRPr="008F1996" w:rsidRDefault="003B7739" w:rsidP="003B7739">
      <w:pPr>
        <w:numPr>
          <w:ilvl w:val="0"/>
          <w:numId w:val="3"/>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$277 billion investment</w:t>
      </w:r>
      <w:r w:rsidRPr="008F1996">
        <w:rPr>
          <w:rFonts w:ascii="Times New Roman" w:eastAsia="Times New Roman" w:hAnsi="Times New Roman" w:cs="Times New Roman"/>
          <w:sz w:val="21"/>
          <w:szCs w:val="21"/>
        </w:rPr>
        <w:t xml:space="preserve"> (1.5% GDP annually, 2013–2018)</w:t>
      </w:r>
    </w:p>
    <w:p w14:paraId="45E6F7B6" w14:textId="77777777" w:rsidR="003B7739" w:rsidRPr="008F1996" w:rsidRDefault="003B7739" w:rsidP="003B7739">
      <w:pPr>
        <w:numPr>
          <w:ilvl w:val="0"/>
          <w:numId w:val="3"/>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10% SO₂ reduction</w:t>
      </w:r>
      <w:r w:rsidRPr="008F1996">
        <w:rPr>
          <w:rFonts w:ascii="Times New Roman" w:eastAsia="Times New Roman" w:hAnsi="Times New Roman" w:cs="Times New Roman"/>
          <w:sz w:val="21"/>
          <w:szCs w:val="21"/>
        </w:rPr>
        <w:t xml:space="preserve"> target achieved by 2015</w:t>
      </w:r>
    </w:p>
    <w:p w14:paraId="48B9E2F9" w14:textId="2ED3FE93" w:rsidR="003B7739" w:rsidRPr="008F1996" w:rsidRDefault="003B7739" w:rsidP="003B7739">
      <w:pPr>
        <w:numPr>
          <w:ilvl w:val="0"/>
          <w:numId w:val="3"/>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37% PM2.5 decline</w:t>
      </w:r>
      <w:r w:rsidRPr="008F1996">
        <w:rPr>
          <w:rFonts w:ascii="Times New Roman" w:eastAsia="Times New Roman" w:hAnsi="Times New Roman" w:cs="Times New Roman"/>
          <w:sz w:val="21"/>
          <w:szCs w:val="21"/>
        </w:rPr>
        <w:t xml:space="preserve"> in key regions by 2017</w:t>
      </w:r>
    </w:p>
    <w:p w14:paraId="15DA0A19" w14:textId="77777777" w:rsidR="003B7739" w:rsidRPr="008F1996" w:rsidRDefault="003B7739" w:rsidP="003B7739">
      <w:pPr>
        <w:ind w:left="360"/>
        <w:textAlignment w:val="baseline"/>
        <w:rPr>
          <w:rFonts w:ascii="Times New Roman" w:eastAsia="Times New Roman" w:hAnsi="Times New Roman" w:cs="Times New Roman"/>
          <w:sz w:val="21"/>
          <w:szCs w:val="21"/>
        </w:rPr>
      </w:pPr>
    </w:p>
    <w:p w14:paraId="1E454CD7" w14:textId="68C21980"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 xml:space="preserve">The turning point for PM2.5 specifically occurred at </w:t>
      </w:r>
      <w:r w:rsidRPr="008F1996">
        <w:rPr>
          <w:rFonts w:ascii="Times New Roman" w:eastAsia="Times New Roman" w:hAnsi="Times New Roman" w:cs="Times New Roman"/>
          <w:b/>
          <w:bCs/>
          <w:bdr w:val="none" w:sz="0" w:space="0" w:color="auto" w:frame="1"/>
        </w:rPr>
        <w:t>48,800 yuan ($7,800 nominal, 2015)</w:t>
      </w:r>
      <w:r w:rsidRPr="008F1996">
        <w:rPr>
          <w:rFonts w:ascii="Times New Roman" w:eastAsia="Times New Roman" w:hAnsi="Times New Roman" w:cs="Times New Roman"/>
        </w:rPr>
        <w:t>, but only after policy activation. This confirms Stern's (2017) critique that EKC is "policy-dependent and not income-automatic."</w:t>
      </w:r>
    </w:p>
    <w:p w14:paraId="79593B15" w14:textId="77777777" w:rsidR="003B7739" w:rsidRPr="008F1996" w:rsidRDefault="003B7739" w:rsidP="003B7739">
      <w:pPr>
        <w:textAlignment w:val="baseline"/>
        <w:rPr>
          <w:rFonts w:ascii="Times New Roman" w:eastAsia="Times New Roman" w:hAnsi="Times New Roman" w:cs="Times New Roman"/>
        </w:rPr>
      </w:pPr>
    </w:p>
    <w:p w14:paraId="63A19A89"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2.4 India's Anomalous Trajectory</w:t>
      </w:r>
    </w:p>
    <w:p w14:paraId="49B27015"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 xml:space="preserve">India's pollution-income relationship exhibits </w:t>
      </w:r>
      <w:r w:rsidRPr="008F1996">
        <w:rPr>
          <w:rFonts w:ascii="Times New Roman" w:eastAsia="Times New Roman" w:hAnsi="Times New Roman" w:cs="Times New Roman"/>
          <w:b/>
          <w:bCs/>
          <w:bdr w:val="none" w:sz="0" w:space="0" w:color="auto" w:frame="1"/>
        </w:rPr>
        <w:t>N-shaped rather than inverted-U</w:t>
      </w:r>
      <w:r w:rsidRPr="008F1996">
        <w:rPr>
          <w:rFonts w:ascii="Times New Roman" w:eastAsia="Times New Roman" w:hAnsi="Times New Roman" w:cs="Times New Roman"/>
        </w:rPr>
        <w:t xml:space="preserve"> dynamics (Bandyopadhyay &amp; </w:t>
      </w:r>
      <w:proofErr w:type="spellStart"/>
      <w:r w:rsidRPr="008F1996">
        <w:rPr>
          <w:rFonts w:ascii="Times New Roman" w:eastAsia="Times New Roman" w:hAnsi="Times New Roman" w:cs="Times New Roman"/>
        </w:rPr>
        <w:t>Shyamsundar</w:t>
      </w:r>
      <w:proofErr w:type="spellEnd"/>
      <w:r w:rsidRPr="008F1996">
        <w:rPr>
          <w:rFonts w:ascii="Times New Roman" w:eastAsia="Times New Roman" w:hAnsi="Times New Roman" w:cs="Times New Roman"/>
        </w:rPr>
        <w:t>, 2023). Despite NCAP's $1.7 billion performance-linked funding, 95% of Indian cities failed to meet 2024 targets. Structural factors include:</w:t>
      </w:r>
    </w:p>
    <w:p w14:paraId="5D82A833" w14:textId="77777777" w:rsidR="003B7739" w:rsidRPr="008F1996" w:rsidRDefault="003B7739" w:rsidP="003B7739">
      <w:pPr>
        <w:numPr>
          <w:ilvl w:val="0"/>
          <w:numId w:val="4"/>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Biomass combustion:</w:t>
      </w:r>
      <w:r w:rsidRPr="008F1996">
        <w:rPr>
          <w:rFonts w:ascii="Times New Roman" w:eastAsia="Times New Roman" w:hAnsi="Times New Roman" w:cs="Times New Roman"/>
          <w:sz w:val="21"/>
          <w:szCs w:val="21"/>
        </w:rPr>
        <w:t xml:space="preserve"> 27% of PM2.5 from residential sources (unlike China's industrial dominance)</w:t>
      </w:r>
    </w:p>
    <w:p w14:paraId="787B8CCF" w14:textId="77777777" w:rsidR="003B7739" w:rsidRPr="008F1996" w:rsidRDefault="003B7739" w:rsidP="003B7739">
      <w:pPr>
        <w:numPr>
          <w:ilvl w:val="0"/>
          <w:numId w:val="4"/>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Informal economy:</w:t>
      </w:r>
      <w:r w:rsidRPr="008F1996">
        <w:rPr>
          <w:rFonts w:ascii="Times New Roman" w:eastAsia="Times New Roman" w:hAnsi="Times New Roman" w:cs="Times New Roman"/>
          <w:sz w:val="21"/>
          <w:szCs w:val="21"/>
        </w:rPr>
        <w:t xml:space="preserve"> 85% of industrial units lack emission monitoring</w:t>
      </w:r>
    </w:p>
    <w:p w14:paraId="36D5CAB3" w14:textId="77777777" w:rsidR="003B7739" w:rsidRPr="008F1996" w:rsidRDefault="003B7739" w:rsidP="003B7739">
      <w:pPr>
        <w:numPr>
          <w:ilvl w:val="0"/>
          <w:numId w:val="4"/>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Federal constraints:</w:t>
      </w:r>
      <w:r w:rsidRPr="008F1996">
        <w:rPr>
          <w:rFonts w:ascii="Times New Roman" w:eastAsia="Times New Roman" w:hAnsi="Times New Roman" w:cs="Times New Roman"/>
          <w:sz w:val="21"/>
          <w:szCs w:val="21"/>
        </w:rPr>
        <w:t xml:space="preserve"> State-level enforcement variance undermines central mandates</w:t>
      </w:r>
    </w:p>
    <w:p w14:paraId="42CE0547" w14:textId="77777777" w:rsidR="003B7739" w:rsidRPr="008F1996" w:rsidRDefault="00635C6E" w:rsidP="003B7739">
      <w:pPr>
        <w:spacing w:after="240"/>
        <w:rPr>
          <w:rFonts w:ascii="Times New Roman" w:eastAsia="Times New Roman" w:hAnsi="Times New Roman" w:cs="Times New Roman"/>
        </w:rPr>
      </w:pPr>
      <w:r>
        <w:rPr>
          <w:rFonts w:ascii="Times New Roman" w:eastAsia="Times New Roman" w:hAnsi="Times New Roman" w:cs="Times New Roman"/>
          <w:noProof/>
        </w:rPr>
        <w:pict w14:anchorId="6C33C6A4">
          <v:rect id="_x0000_i1035" alt="" style="width:468pt;height:.05pt;mso-width-percent:0;mso-height-percent:0;mso-width-percent:0;mso-height-percent:0" o:hralign="center" o:hrstd="t" o:hr="t" fillcolor="#a0a0a0" stroked="f"/>
        </w:pict>
      </w:r>
    </w:p>
    <w:p w14:paraId="74AD3CDF" w14:textId="6F3C90EF" w:rsidR="003B7739" w:rsidRPr="008F1996" w:rsidRDefault="003B7739" w:rsidP="003B7739">
      <w:pPr>
        <w:textAlignment w:val="baseline"/>
        <w:rPr>
          <w:rFonts w:ascii="Times New Roman" w:eastAsia="Times New Roman" w:hAnsi="Times New Roman" w:cs="Times New Roman"/>
          <w:b/>
          <w:bCs/>
          <w:bdr w:val="none" w:sz="0" w:space="0" w:color="auto" w:frame="1"/>
        </w:rPr>
      </w:pPr>
      <w:r w:rsidRPr="008F1996">
        <w:rPr>
          <w:rFonts w:ascii="Times New Roman" w:eastAsia="Times New Roman" w:hAnsi="Times New Roman" w:cs="Times New Roman"/>
          <w:b/>
          <w:bCs/>
          <w:bdr w:val="none" w:sz="0" w:space="0" w:color="auto" w:frame="1"/>
        </w:rPr>
        <w:t>3. METHODOLOGY</w:t>
      </w:r>
    </w:p>
    <w:p w14:paraId="019107DB" w14:textId="77777777" w:rsidR="003B7739" w:rsidRPr="008F1996" w:rsidRDefault="003B7739" w:rsidP="003B7739">
      <w:pPr>
        <w:textAlignment w:val="baseline"/>
        <w:rPr>
          <w:rFonts w:ascii="Times New Roman" w:eastAsia="Times New Roman" w:hAnsi="Times New Roman" w:cs="Times New Roman"/>
        </w:rPr>
      </w:pPr>
    </w:p>
    <w:p w14:paraId="35052D2D"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3.1 Analytical Framework</w:t>
      </w:r>
    </w:p>
    <w:p w14:paraId="22A2DC0F"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We employed a two-stage methodology:</w:t>
      </w:r>
    </w:p>
    <w:p w14:paraId="5CE0F494"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Stage 1: EKC Estimation for Comparator Nations</w:t>
      </w:r>
      <w:r w:rsidRPr="008F1996">
        <w:rPr>
          <w:rFonts w:ascii="Times New Roman" w:eastAsia="Times New Roman" w:hAnsi="Times New Roman" w:cs="Times New Roman"/>
        </w:rPr>
        <w:br/>
        <w:t>Panel regression model for 15 countries (1980–2023):</w:t>
      </w:r>
      <w:r w:rsidRPr="008F1996">
        <w:rPr>
          <w:rFonts w:ascii="Times New Roman" w:eastAsia="Times New Roman" w:hAnsi="Times New Roman" w:cs="Times New Roman"/>
        </w:rPr>
        <w:br/>
      </w:r>
      <w:proofErr w:type="gramStart"/>
      <w:r w:rsidRPr="008F1996">
        <w:rPr>
          <w:rFonts w:ascii="Times New Roman" w:eastAsia="Times New Roman" w:hAnsi="Times New Roman" w:cs="Times New Roman"/>
          <w:sz w:val="29"/>
          <w:szCs w:val="29"/>
          <w:bdr w:val="none" w:sz="0" w:space="0" w:color="auto" w:frame="1"/>
        </w:rPr>
        <w:t>ln(</w:t>
      </w:r>
      <w:proofErr w:type="gramEnd"/>
      <w:r w:rsidRPr="008F1996">
        <w:rPr>
          <w:rFonts w:ascii="Times New Roman" w:eastAsia="Times New Roman" w:hAnsi="Times New Roman" w:cs="Times New Roman"/>
          <w:i/>
          <w:iCs/>
          <w:sz w:val="29"/>
          <w:szCs w:val="29"/>
          <w:bdr w:val="none" w:sz="0" w:space="0" w:color="auto" w:frame="1"/>
        </w:rPr>
        <w:t>P</w:t>
      </w:r>
      <w:r w:rsidRPr="008F1996">
        <w:rPr>
          <w:rFonts w:ascii="Times New Roman" w:eastAsia="Times New Roman" w:hAnsi="Times New Roman" w:cs="Times New Roman"/>
          <w:i/>
          <w:iCs/>
          <w:sz w:val="20"/>
          <w:szCs w:val="20"/>
          <w:bdr w:val="none" w:sz="0" w:space="0" w:color="auto" w:frame="1"/>
        </w:rPr>
        <w:t>it</w:t>
      </w:r>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sz w:val="29"/>
          <w:szCs w:val="29"/>
          <w:bdr w:val="none" w:sz="0" w:space="0" w:color="auto" w:frame="1"/>
        </w:rPr>
        <w:t>)=</w:t>
      </w:r>
      <w:r w:rsidRPr="008F1996">
        <w:rPr>
          <w:rFonts w:ascii="Times New Roman" w:eastAsia="Times New Roman" w:hAnsi="Times New Roman" w:cs="Times New Roman"/>
          <w:i/>
          <w:iCs/>
          <w:sz w:val="29"/>
          <w:szCs w:val="29"/>
          <w:bdr w:val="none" w:sz="0" w:space="0" w:color="auto" w:frame="1"/>
        </w:rPr>
        <w:t>α</w:t>
      </w:r>
      <w:r w:rsidRPr="008F1996">
        <w:rPr>
          <w:rFonts w:ascii="Times New Roman" w:eastAsia="Times New Roman" w:hAnsi="Times New Roman" w:cs="Times New Roman"/>
          <w:sz w:val="29"/>
          <w:szCs w:val="29"/>
          <w:bdr w:val="none" w:sz="0" w:space="0" w:color="auto" w:frame="1"/>
        </w:rPr>
        <w:t>+</w:t>
      </w:r>
      <w:r w:rsidRPr="008F1996">
        <w:rPr>
          <w:rFonts w:ascii="Times New Roman" w:eastAsia="Times New Roman" w:hAnsi="Times New Roman" w:cs="Times New Roman"/>
          <w:i/>
          <w:iCs/>
          <w:sz w:val="29"/>
          <w:szCs w:val="29"/>
          <w:bdr w:val="none" w:sz="0" w:space="0" w:color="auto" w:frame="1"/>
        </w:rPr>
        <w:t>β</w:t>
      </w:r>
      <w:r w:rsidRPr="008F1996">
        <w:rPr>
          <w:rFonts w:ascii="Times New Roman" w:eastAsia="Times New Roman" w:hAnsi="Times New Roman" w:cs="Times New Roman"/>
          <w:sz w:val="20"/>
          <w:szCs w:val="20"/>
          <w:bdr w:val="none" w:sz="0" w:space="0" w:color="auto" w:frame="1"/>
        </w:rPr>
        <w:t>1</w:t>
      </w:r>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sz w:val="29"/>
          <w:szCs w:val="29"/>
          <w:bdr w:val="none" w:sz="0" w:space="0" w:color="auto" w:frame="1"/>
        </w:rPr>
        <w:t>ln(</w:t>
      </w:r>
      <w:proofErr w:type="spellStart"/>
      <w:r w:rsidRPr="008F1996">
        <w:rPr>
          <w:rFonts w:ascii="Times New Roman" w:eastAsia="Times New Roman" w:hAnsi="Times New Roman" w:cs="Times New Roman"/>
          <w:i/>
          <w:iCs/>
          <w:sz w:val="29"/>
          <w:szCs w:val="29"/>
          <w:bdr w:val="none" w:sz="0" w:space="0" w:color="auto" w:frame="1"/>
        </w:rPr>
        <w:t>Y</w:t>
      </w:r>
      <w:r w:rsidRPr="008F1996">
        <w:rPr>
          <w:rFonts w:ascii="Times New Roman" w:eastAsia="Times New Roman" w:hAnsi="Times New Roman" w:cs="Times New Roman"/>
          <w:i/>
          <w:iCs/>
          <w:sz w:val="20"/>
          <w:szCs w:val="20"/>
          <w:bdr w:val="none" w:sz="0" w:space="0" w:color="auto" w:frame="1"/>
        </w:rPr>
        <w:t>it</w:t>
      </w:r>
      <w:proofErr w:type="spellEnd"/>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sz w:val="29"/>
          <w:szCs w:val="29"/>
          <w:bdr w:val="none" w:sz="0" w:space="0" w:color="auto" w:frame="1"/>
        </w:rPr>
        <w:t>)+</w:t>
      </w:r>
      <w:r w:rsidRPr="008F1996">
        <w:rPr>
          <w:rFonts w:ascii="Times New Roman" w:eastAsia="Times New Roman" w:hAnsi="Times New Roman" w:cs="Times New Roman"/>
          <w:i/>
          <w:iCs/>
          <w:sz w:val="29"/>
          <w:szCs w:val="29"/>
          <w:bdr w:val="none" w:sz="0" w:space="0" w:color="auto" w:frame="1"/>
        </w:rPr>
        <w:t>β</w:t>
      </w:r>
      <w:r w:rsidRPr="008F1996">
        <w:rPr>
          <w:rFonts w:ascii="Times New Roman" w:eastAsia="Times New Roman" w:hAnsi="Times New Roman" w:cs="Times New Roman"/>
          <w:sz w:val="20"/>
          <w:szCs w:val="20"/>
          <w:bdr w:val="none" w:sz="0" w:space="0" w:color="auto" w:frame="1"/>
        </w:rPr>
        <w:t>2</w:t>
      </w:r>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sz w:val="29"/>
          <w:szCs w:val="29"/>
          <w:bdr w:val="none" w:sz="0" w:space="0" w:color="auto" w:frame="1"/>
        </w:rPr>
        <w:t>[ln(</w:t>
      </w:r>
      <w:proofErr w:type="spellStart"/>
      <w:r w:rsidRPr="008F1996">
        <w:rPr>
          <w:rFonts w:ascii="Times New Roman" w:eastAsia="Times New Roman" w:hAnsi="Times New Roman" w:cs="Times New Roman"/>
          <w:i/>
          <w:iCs/>
          <w:sz w:val="29"/>
          <w:szCs w:val="29"/>
          <w:bdr w:val="none" w:sz="0" w:space="0" w:color="auto" w:frame="1"/>
        </w:rPr>
        <w:t>Y</w:t>
      </w:r>
      <w:r w:rsidRPr="008F1996">
        <w:rPr>
          <w:rFonts w:ascii="Times New Roman" w:eastAsia="Times New Roman" w:hAnsi="Times New Roman" w:cs="Times New Roman"/>
          <w:i/>
          <w:iCs/>
          <w:sz w:val="20"/>
          <w:szCs w:val="20"/>
          <w:bdr w:val="none" w:sz="0" w:space="0" w:color="auto" w:frame="1"/>
        </w:rPr>
        <w:t>it</w:t>
      </w:r>
      <w:proofErr w:type="spellEnd"/>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sz w:val="29"/>
          <w:szCs w:val="29"/>
          <w:bdr w:val="none" w:sz="0" w:space="0" w:color="auto" w:frame="1"/>
        </w:rPr>
        <w:t>)]</w:t>
      </w:r>
      <w:r w:rsidRPr="008F1996">
        <w:rPr>
          <w:rFonts w:ascii="Times New Roman" w:eastAsia="Times New Roman" w:hAnsi="Times New Roman" w:cs="Times New Roman"/>
          <w:sz w:val="20"/>
          <w:szCs w:val="20"/>
          <w:bdr w:val="none" w:sz="0" w:space="0" w:color="auto" w:frame="1"/>
        </w:rPr>
        <w:t>2</w:t>
      </w:r>
      <w:r w:rsidRPr="008F1996">
        <w:rPr>
          <w:rFonts w:ascii="Times New Roman" w:eastAsia="Times New Roman" w:hAnsi="Times New Roman" w:cs="Times New Roman"/>
          <w:sz w:val="29"/>
          <w:szCs w:val="29"/>
          <w:bdr w:val="none" w:sz="0" w:space="0" w:color="auto" w:frame="1"/>
        </w:rPr>
        <w:t>+</w:t>
      </w:r>
      <w:r w:rsidRPr="008F1996">
        <w:rPr>
          <w:rFonts w:ascii="Times New Roman" w:eastAsia="Times New Roman" w:hAnsi="Times New Roman" w:cs="Times New Roman"/>
          <w:i/>
          <w:iCs/>
          <w:sz w:val="29"/>
          <w:szCs w:val="29"/>
          <w:bdr w:val="none" w:sz="0" w:space="0" w:color="auto" w:frame="1"/>
        </w:rPr>
        <w:t>γZ</w:t>
      </w:r>
      <w:r w:rsidRPr="008F1996">
        <w:rPr>
          <w:rFonts w:ascii="Times New Roman" w:eastAsia="Times New Roman" w:hAnsi="Times New Roman" w:cs="Times New Roman"/>
          <w:i/>
          <w:iCs/>
          <w:sz w:val="20"/>
          <w:szCs w:val="20"/>
          <w:bdr w:val="none" w:sz="0" w:space="0" w:color="auto" w:frame="1"/>
        </w:rPr>
        <w:t>it</w:t>
      </w:r>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sz w:val="29"/>
          <w:szCs w:val="29"/>
          <w:bdr w:val="none" w:sz="0" w:space="0" w:color="auto" w:frame="1"/>
        </w:rPr>
        <w:t>+</w:t>
      </w:r>
      <w:proofErr w:type="spellStart"/>
      <w:r w:rsidRPr="008F1996">
        <w:rPr>
          <w:rFonts w:ascii="Times New Roman" w:eastAsia="Times New Roman" w:hAnsi="Times New Roman" w:cs="Times New Roman"/>
          <w:i/>
          <w:iCs/>
          <w:sz w:val="29"/>
          <w:szCs w:val="29"/>
          <w:bdr w:val="none" w:sz="0" w:space="0" w:color="auto" w:frame="1"/>
        </w:rPr>
        <w:t>μ</w:t>
      </w:r>
      <w:r w:rsidRPr="008F1996">
        <w:rPr>
          <w:rFonts w:ascii="Times New Roman" w:eastAsia="Times New Roman" w:hAnsi="Times New Roman" w:cs="Times New Roman"/>
          <w:i/>
          <w:iCs/>
          <w:sz w:val="20"/>
          <w:szCs w:val="20"/>
          <w:bdr w:val="none" w:sz="0" w:space="0" w:color="auto" w:frame="1"/>
        </w:rPr>
        <w:t>i</w:t>
      </w:r>
      <w:proofErr w:type="spellEnd"/>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sz w:val="29"/>
          <w:szCs w:val="29"/>
          <w:bdr w:val="none" w:sz="0" w:space="0" w:color="auto" w:frame="1"/>
        </w:rPr>
        <w:t>+</w:t>
      </w:r>
      <w:r w:rsidRPr="008F1996">
        <w:rPr>
          <w:rFonts w:ascii="Times New Roman" w:eastAsia="Times New Roman" w:hAnsi="Times New Roman" w:cs="Times New Roman"/>
          <w:i/>
          <w:iCs/>
          <w:sz w:val="29"/>
          <w:szCs w:val="29"/>
          <w:bdr w:val="none" w:sz="0" w:space="0" w:color="auto" w:frame="1"/>
        </w:rPr>
        <w:t>ϵ</w:t>
      </w:r>
      <w:r w:rsidRPr="008F1996">
        <w:rPr>
          <w:rFonts w:ascii="Times New Roman" w:eastAsia="Times New Roman" w:hAnsi="Times New Roman" w:cs="Times New Roman"/>
          <w:i/>
          <w:iCs/>
          <w:sz w:val="20"/>
          <w:szCs w:val="20"/>
          <w:bdr w:val="none" w:sz="0" w:space="0" w:color="auto" w:frame="1"/>
        </w:rPr>
        <w:t>it</w:t>
      </w:r>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bdr w:val="none" w:sz="0" w:space="0" w:color="auto" w:frame="1"/>
        </w:rPr>
        <w:t xml:space="preserve"> </w:t>
      </w:r>
    </w:p>
    <w:p w14:paraId="3D13B665"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where:</w:t>
      </w:r>
    </w:p>
    <w:p w14:paraId="3849185C" w14:textId="77777777" w:rsidR="003B7739" w:rsidRPr="008F1996" w:rsidRDefault="003B7739" w:rsidP="003B7739">
      <w:pPr>
        <w:numPr>
          <w:ilvl w:val="0"/>
          <w:numId w:val="5"/>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i/>
          <w:iCs/>
          <w:sz w:val="25"/>
          <w:szCs w:val="25"/>
          <w:bdr w:val="none" w:sz="0" w:space="0" w:color="auto" w:frame="1"/>
        </w:rPr>
        <w:t>P</w:t>
      </w:r>
      <w:r w:rsidRPr="008F1996">
        <w:rPr>
          <w:rFonts w:ascii="Times New Roman" w:eastAsia="Times New Roman" w:hAnsi="Times New Roman" w:cs="Times New Roman"/>
          <w:i/>
          <w:iCs/>
          <w:sz w:val="18"/>
          <w:szCs w:val="18"/>
          <w:bdr w:val="none" w:sz="0" w:space="0" w:color="auto" w:frame="1"/>
        </w:rPr>
        <w:t>it</w:t>
      </w:r>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sz w:val="21"/>
          <w:szCs w:val="21"/>
          <w:bdr w:val="none" w:sz="0" w:space="0" w:color="auto" w:frame="1"/>
        </w:rPr>
        <w:t xml:space="preserve"> </w:t>
      </w:r>
      <w:r w:rsidRPr="008F1996">
        <w:rPr>
          <w:rFonts w:ascii="Times New Roman" w:eastAsia="Times New Roman" w:hAnsi="Times New Roman" w:cs="Times New Roman"/>
          <w:sz w:val="21"/>
          <w:szCs w:val="21"/>
        </w:rPr>
        <w:t>= PM2.5 concentration (</w:t>
      </w:r>
      <w:proofErr w:type="spellStart"/>
      <w:r w:rsidRPr="008F1996">
        <w:rPr>
          <w:rFonts w:ascii="Times New Roman" w:eastAsia="Times New Roman" w:hAnsi="Times New Roman" w:cs="Times New Roman"/>
          <w:sz w:val="21"/>
          <w:szCs w:val="21"/>
        </w:rPr>
        <w:t>μg</w:t>
      </w:r>
      <w:proofErr w:type="spellEnd"/>
      <w:r w:rsidRPr="008F1996">
        <w:rPr>
          <w:rFonts w:ascii="Times New Roman" w:eastAsia="Times New Roman" w:hAnsi="Times New Roman" w:cs="Times New Roman"/>
          <w:sz w:val="21"/>
          <w:szCs w:val="21"/>
        </w:rPr>
        <w:t>/m³) or SO₂ emissions (kg/capita)</w:t>
      </w:r>
    </w:p>
    <w:p w14:paraId="673848D4" w14:textId="77777777" w:rsidR="003B7739" w:rsidRPr="008F1996" w:rsidRDefault="003B7739" w:rsidP="003B7739">
      <w:pPr>
        <w:numPr>
          <w:ilvl w:val="0"/>
          <w:numId w:val="5"/>
        </w:numPr>
        <w:textAlignment w:val="baseline"/>
        <w:rPr>
          <w:rFonts w:ascii="Times New Roman" w:eastAsia="Times New Roman" w:hAnsi="Times New Roman" w:cs="Times New Roman"/>
          <w:sz w:val="21"/>
          <w:szCs w:val="21"/>
        </w:rPr>
      </w:pPr>
      <w:proofErr w:type="spellStart"/>
      <w:r w:rsidRPr="008F1996">
        <w:rPr>
          <w:rFonts w:ascii="Times New Roman" w:eastAsia="Times New Roman" w:hAnsi="Times New Roman" w:cs="Times New Roman"/>
          <w:i/>
          <w:iCs/>
          <w:sz w:val="25"/>
          <w:szCs w:val="25"/>
          <w:bdr w:val="none" w:sz="0" w:space="0" w:color="auto" w:frame="1"/>
        </w:rPr>
        <w:t>Y</w:t>
      </w:r>
      <w:r w:rsidRPr="008F1996">
        <w:rPr>
          <w:rFonts w:ascii="Times New Roman" w:eastAsia="Times New Roman" w:hAnsi="Times New Roman" w:cs="Times New Roman"/>
          <w:i/>
          <w:iCs/>
          <w:sz w:val="18"/>
          <w:szCs w:val="18"/>
          <w:bdr w:val="none" w:sz="0" w:space="0" w:color="auto" w:frame="1"/>
        </w:rPr>
        <w:t>it</w:t>
      </w:r>
      <w:proofErr w:type="spellEnd"/>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sz w:val="21"/>
          <w:szCs w:val="21"/>
          <w:bdr w:val="none" w:sz="0" w:space="0" w:color="auto" w:frame="1"/>
        </w:rPr>
        <w:t xml:space="preserve"> </w:t>
      </w:r>
      <w:r w:rsidRPr="008F1996">
        <w:rPr>
          <w:rFonts w:ascii="Times New Roman" w:eastAsia="Times New Roman" w:hAnsi="Times New Roman" w:cs="Times New Roman"/>
          <w:sz w:val="21"/>
          <w:szCs w:val="21"/>
        </w:rPr>
        <w:t>= GDP per capita (PPP, constant 2017 USD)</w:t>
      </w:r>
    </w:p>
    <w:p w14:paraId="754ECAD3" w14:textId="77777777" w:rsidR="003B7739" w:rsidRPr="008F1996" w:rsidRDefault="003B7739" w:rsidP="003B7739">
      <w:pPr>
        <w:numPr>
          <w:ilvl w:val="0"/>
          <w:numId w:val="5"/>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i/>
          <w:iCs/>
          <w:sz w:val="25"/>
          <w:szCs w:val="25"/>
          <w:bdr w:val="none" w:sz="0" w:space="0" w:color="auto" w:frame="1"/>
        </w:rPr>
        <w:t>Z</w:t>
      </w:r>
      <w:r w:rsidRPr="008F1996">
        <w:rPr>
          <w:rFonts w:ascii="Times New Roman" w:eastAsia="Times New Roman" w:hAnsi="Times New Roman" w:cs="Times New Roman"/>
          <w:i/>
          <w:iCs/>
          <w:sz w:val="18"/>
          <w:szCs w:val="18"/>
          <w:bdr w:val="none" w:sz="0" w:space="0" w:color="auto" w:frame="1"/>
        </w:rPr>
        <w:t>it</w:t>
      </w:r>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sz w:val="21"/>
          <w:szCs w:val="21"/>
          <w:bdr w:val="none" w:sz="0" w:space="0" w:color="auto" w:frame="1"/>
        </w:rPr>
        <w:t xml:space="preserve"> </w:t>
      </w:r>
      <w:r w:rsidRPr="008F1996">
        <w:rPr>
          <w:rFonts w:ascii="Times New Roman" w:eastAsia="Times New Roman" w:hAnsi="Times New Roman" w:cs="Times New Roman"/>
          <w:sz w:val="21"/>
          <w:szCs w:val="21"/>
        </w:rPr>
        <w:t>= Policy stringency index (0–10 scale, OECD)</w:t>
      </w:r>
    </w:p>
    <w:p w14:paraId="6AC7EA60" w14:textId="77777777" w:rsidR="003B7739" w:rsidRPr="008F1996" w:rsidRDefault="003B7739" w:rsidP="003B7739">
      <w:pPr>
        <w:numPr>
          <w:ilvl w:val="0"/>
          <w:numId w:val="5"/>
        </w:numPr>
        <w:textAlignment w:val="baseline"/>
        <w:rPr>
          <w:rFonts w:ascii="Times New Roman" w:eastAsia="Times New Roman" w:hAnsi="Times New Roman" w:cs="Times New Roman"/>
          <w:sz w:val="21"/>
          <w:szCs w:val="21"/>
        </w:rPr>
      </w:pPr>
      <w:proofErr w:type="spellStart"/>
      <w:r w:rsidRPr="008F1996">
        <w:rPr>
          <w:rFonts w:ascii="Times New Roman" w:eastAsia="Times New Roman" w:hAnsi="Times New Roman" w:cs="Times New Roman"/>
          <w:i/>
          <w:iCs/>
          <w:sz w:val="25"/>
          <w:szCs w:val="25"/>
          <w:bdr w:val="none" w:sz="0" w:space="0" w:color="auto" w:frame="1"/>
        </w:rPr>
        <w:t>μ</w:t>
      </w:r>
      <w:r w:rsidRPr="008F1996">
        <w:rPr>
          <w:rFonts w:ascii="Times New Roman" w:eastAsia="Times New Roman" w:hAnsi="Times New Roman" w:cs="Times New Roman"/>
          <w:i/>
          <w:iCs/>
          <w:sz w:val="18"/>
          <w:szCs w:val="18"/>
          <w:bdr w:val="none" w:sz="0" w:space="0" w:color="auto" w:frame="1"/>
        </w:rPr>
        <w:t>i</w:t>
      </w:r>
      <w:proofErr w:type="spellEnd"/>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sz w:val="21"/>
          <w:szCs w:val="21"/>
          <w:bdr w:val="none" w:sz="0" w:space="0" w:color="auto" w:frame="1"/>
        </w:rPr>
        <w:t xml:space="preserve"> </w:t>
      </w:r>
      <w:r w:rsidRPr="008F1996">
        <w:rPr>
          <w:rFonts w:ascii="Times New Roman" w:eastAsia="Times New Roman" w:hAnsi="Times New Roman" w:cs="Times New Roman"/>
          <w:sz w:val="21"/>
          <w:szCs w:val="21"/>
        </w:rPr>
        <w:t>= Country fixed effects</w:t>
      </w:r>
    </w:p>
    <w:p w14:paraId="12774A1B"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lastRenderedPageBreak/>
        <w:t xml:space="preserve">Turning point: </w:t>
      </w:r>
      <w:r w:rsidRPr="008F1996">
        <w:rPr>
          <w:rFonts w:ascii="Times New Roman" w:eastAsia="Times New Roman" w:hAnsi="Times New Roman" w:cs="Times New Roman"/>
          <w:i/>
          <w:iCs/>
          <w:sz w:val="29"/>
          <w:szCs w:val="29"/>
          <w:bdr w:val="none" w:sz="0" w:space="0" w:color="auto" w:frame="1"/>
        </w:rPr>
        <w:t>Y</w:t>
      </w:r>
      <w:r w:rsidRPr="008F1996">
        <w:rPr>
          <w:rFonts w:ascii="Cambria Math" w:eastAsia="Times New Roman" w:hAnsi="Cambria Math" w:cs="Cambria Math"/>
          <w:sz w:val="20"/>
          <w:szCs w:val="20"/>
          <w:bdr w:val="none" w:sz="0" w:space="0" w:color="auto" w:frame="1"/>
        </w:rPr>
        <w:t>∗</w:t>
      </w:r>
      <w:r w:rsidRPr="008F1996">
        <w:rPr>
          <w:rFonts w:ascii="Times New Roman" w:eastAsia="Times New Roman" w:hAnsi="Times New Roman" w:cs="Times New Roman"/>
          <w:sz w:val="29"/>
          <w:szCs w:val="29"/>
          <w:bdr w:val="none" w:sz="0" w:space="0" w:color="auto" w:frame="1"/>
        </w:rPr>
        <w:t>=exp(−</w:t>
      </w:r>
      <w:r w:rsidRPr="008F1996">
        <w:rPr>
          <w:rFonts w:ascii="Times New Roman" w:eastAsia="Times New Roman" w:hAnsi="Times New Roman" w:cs="Times New Roman"/>
          <w:i/>
          <w:iCs/>
          <w:sz w:val="29"/>
          <w:szCs w:val="29"/>
          <w:bdr w:val="none" w:sz="0" w:space="0" w:color="auto" w:frame="1"/>
        </w:rPr>
        <w:t>β</w:t>
      </w:r>
      <w:r w:rsidRPr="008F1996">
        <w:rPr>
          <w:rFonts w:ascii="Times New Roman" w:eastAsia="Times New Roman" w:hAnsi="Times New Roman" w:cs="Times New Roman"/>
          <w:sz w:val="20"/>
          <w:szCs w:val="20"/>
          <w:bdr w:val="none" w:sz="0" w:space="0" w:color="auto" w:frame="1"/>
        </w:rPr>
        <w:t>1</w:t>
      </w:r>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sz w:val="29"/>
          <w:szCs w:val="29"/>
          <w:bdr w:val="none" w:sz="0" w:space="0" w:color="auto" w:frame="1"/>
        </w:rPr>
        <w:t>/2</w:t>
      </w:r>
      <w:r w:rsidRPr="008F1996">
        <w:rPr>
          <w:rFonts w:ascii="Times New Roman" w:eastAsia="Times New Roman" w:hAnsi="Times New Roman" w:cs="Times New Roman"/>
          <w:i/>
          <w:iCs/>
          <w:sz w:val="29"/>
          <w:szCs w:val="29"/>
          <w:bdr w:val="none" w:sz="0" w:space="0" w:color="auto" w:frame="1"/>
        </w:rPr>
        <w:t>β</w:t>
      </w:r>
      <w:r w:rsidRPr="008F1996">
        <w:rPr>
          <w:rFonts w:ascii="Times New Roman" w:eastAsia="Times New Roman" w:hAnsi="Times New Roman" w:cs="Times New Roman"/>
          <w:sz w:val="20"/>
          <w:szCs w:val="20"/>
          <w:bdr w:val="none" w:sz="0" w:space="0" w:color="auto" w:frame="1"/>
        </w:rPr>
        <w:t>2</w:t>
      </w:r>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sz w:val="29"/>
          <w:szCs w:val="29"/>
          <w:bdr w:val="none" w:sz="0" w:space="0" w:color="auto" w:frame="1"/>
        </w:rPr>
        <w:t>)</w:t>
      </w:r>
      <w:r w:rsidRPr="008F1996">
        <w:rPr>
          <w:rFonts w:ascii="Times New Roman" w:eastAsia="Times New Roman" w:hAnsi="Times New Roman" w:cs="Times New Roman"/>
          <w:bdr w:val="none" w:sz="0" w:space="0" w:color="auto" w:frame="1"/>
        </w:rPr>
        <w:t xml:space="preserve"> </w:t>
      </w:r>
    </w:p>
    <w:p w14:paraId="0562B093"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Stage 2: India's Income Projections</w:t>
      </w:r>
      <w:r w:rsidRPr="008F1996">
        <w:rPr>
          <w:rFonts w:ascii="Times New Roman" w:eastAsia="Times New Roman" w:hAnsi="Times New Roman" w:cs="Times New Roman"/>
        </w:rPr>
        <w:br/>
        <w:t>Solow growth model with Cobb-Douglas production function:</w:t>
      </w:r>
      <w:r w:rsidRPr="008F1996">
        <w:rPr>
          <w:rFonts w:ascii="Times New Roman" w:eastAsia="Times New Roman" w:hAnsi="Times New Roman" w:cs="Times New Roman"/>
        </w:rPr>
        <w:br/>
      </w:r>
      <w:proofErr w:type="spellStart"/>
      <w:r w:rsidRPr="008F1996">
        <w:rPr>
          <w:rFonts w:ascii="Times New Roman" w:eastAsia="Times New Roman" w:hAnsi="Times New Roman" w:cs="Times New Roman"/>
          <w:i/>
          <w:iCs/>
          <w:sz w:val="29"/>
          <w:szCs w:val="29"/>
          <w:bdr w:val="none" w:sz="0" w:space="0" w:color="auto" w:frame="1"/>
        </w:rPr>
        <w:t>g</w:t>
      </w:r>
      <w:r w:rsidRPr="008F1996">
        <w:rPr>
          <w:rFonts w:ascii="Times New Roman" w:eastAsia="Times New Roman" w:hAnsi="Times New Roman" w:cs="Times New Roman"/>
          <w:i/>
          <w:iCs/>
          <w:sz w:val="20"/>
          <w:szCs w:val="20"/>
          <w:bdr w:val="none" w:sz="0" w:space="0" w:color="auto" w:frame="1"/>
        </w:rPr>
        <w:t>y</w:t>
      </w:r>
      <w:proofErr w:type="spellEnd"/>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sz w:val="29"/>
          <w:szCs w:val="29"/>
          <w:bdr w:val="none" w:sz="0" w:space="0" w:color="auto" w:frame="1"/>
        </w:rPr>
        <w:t>=</w:t>
      </w:r>
      <w:proofErr w:type="spellStart"/>
      <w:r w:rsidRPr="008F1996">
        <w:rPr>
          <w:rFonts w:ascii="Times New Roman" w:eastAsia="Times New Roman" w:hAnsi="Times New Roman" w:cs="Times New Roman"/>
          <w:i/>
          <w:iCs/>
          <w:sz w:val="29"/>
          <w:szCs w:val="29"/>
          <w:bdr w:val="none" w:sz="0" w:space="0" w:color="auto" w:frame="1"/>
        </w:rPr>
        <w:t>g</w:t>
      </w:r>
      <w:r w:rsidRPr="008F1996">
        <w:rPr>
          <w:rFonts w:ascii="Times New Roman" w:eastAsia="Times New Roman" w:hAnsi="Times New Roman" w:cs="Times New Roman"/>
          <w:i/>
          <w:iCs/>
          <w:sz w:val="20"/>
          <w:szCs w:val="20"/>
          <w:bdr w:val="none" w:sz="0" w:space="0" w:color="auto" w:frame="1"/>
        </w:rPr>
        <w:t>A</w:t>
      </w:r>
      <w:proofErr w:type="spellEnd"/>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sz w:val="29"/>
          <w:szCs w:val="29"/>
          <w:bdr w:val="none" w:sz="0" w:space="0" w:color="auto" w:frame="1"/>
        </w:rPr>
        <w:t>+</w:t>
      </w:r>
      <w:r w:rsidRPr="008F1996">
        <w:rPr>
          <w:rFonts w:ascii="Times New Roman" w:eastAsia="Times New Roman" w:hAnsi="Times New Roman" w:cs="Times New Roman"/>
          <w:i/>
          <w:iCs/>
          <w:sz w:val="29"/>
          <w:szCs w:val="29"/>
          <w:bdr w:val="none" w:sz="0" w:space="0" w:color="auto" w:frame="1"/>
        </w:rPr>
        <w:t>α</w:t>
      </w:r>
      <w:proofErr w:type="spellStart"/>
      <w:r w:rsidRPr="008F1996">
        <w:rPr>
          <w:rFonts w:ascii="Times New Roman" w:eastAsia="Times New Roman" w:hAnsi="Times New Roman" w:cs="Times New Roman"/>
          <w:i/>
          <w:iCs/>
          <w:sz w:val="29"/>
          <w:szCs w:val="29"/>
          <w:bdr w:val="none" w:sz="0" w:space="0" w:color="auto" w:frame="1"/>
        </w:rPr>
        <w:t>g</w:t>
      </w:r>
      <w:r w:rsidRPr="008F1996">
        <w:rPr>
          <w:rFonts w:ascii="Times New Roman" w:eastAsia="Times New Roman" w:hAnsi="Times New Roman" w:cs="Times New Roman"/>
          <w:i/>
          <w:iCs/>
          <w:sz w:val="20"/>
          <w:szCs w:val="20"/>
          <w:bdr w:val="none" w:sz="0" w:space="0" w:color="auto" w:frame="1"/>
        </w:rPr>
        <w:t>k</w:t>
      </w:r>
      <w:proofErr w:type="spellEnd"/>
      <w:r w:rsidRPr="008F1996">
        <w:rPr>
          <w:rFonts w:ascii="Times New Roman" w:eastAsia="Times New Roman" w:hAnsi="Times New Roman" w:cs="Times New Roman"/>
          <w:sz w:val="2"/>
          <w:szCs w:val="2"/>
          <w:bdr w:val="none" w:sz="0" w:space="0" w:color="auto" w:frame="1"/>
        </w:rPr>
        <w:t>​</w:t>
      </w:r>
      <w:r w:rsidRPr="008F1996">
        <w:rPr>
          <w:rFonts w:ascii="Times New Roman" w:eastAsia="Times New Roman" w:hAnsi="Times New Roman" w:cs="Times New Roman"/>
          <w:sz w:val="29"/>
          <w:szCs w:val="29"/>
          <w:bdr w:val="none" w:sz="0" w:space="0" w:color="auto" w:frame="1"/>
        </w:rPr>
        <w:t>+(1−</w:t>
      </w:r>
      <w:proofErr w:type="gramStart"/>
      <w:r w:rsidRPr="008F1996">
        <w:rPr>
          <w:rFonts w:ascii="Times New Roman" w:eastAsia="Times New Roman" w:hAnsi="Times New Roman" w:cs="Times New Roman"/>
          <w:i/>
          <w:iCs/>
          <w:sz w:val="29"/>
          <w:szCs w:val="29"/>
          <w:bdr w:val="none" w:sz="0" w:space="0" w:color="auto" w:frame="1"/>
        </w:rPr>
        <w:t>α</w:t>
      </w:r>
      <w:r w:rsidRPr="008F1996">
        <w:rPr>
          <w:rFonts w:ascii="Times New Roman" w:eastAsia="Times New Roman" w:hAnsi="Times New Roman" w:cs="Times New Roman"/>
          <w:sz w:val="29"/>
          <w:szCs w:val="29"/>
          <w:bdr w:val="none" w:sz="0" w:space="0" w:color="auto" w:frame="1"/>
        </w:rPr>
        <w:t>)</w:t>
      </w:r>
      <w:proofErr w:type="spellStart"/>
      <w:r w:rsidRPr="008F1996">
        <w:rPr>
          <w:rFonts w:ascii="Times New Roman" w:eastAsia="Times New Roman" w:hAnsi="Times New Roman" w:cs="Times New Roman"/>
          <w:i/>
          <w:iCs/>
          <w:sz w:val="29"/>
          <w:szCs w:val="29"/>
          <w:bdr w:val="none" w:sz="0" w:space="0" w:color="auto" w:frame="1"/>
        </w:rPr>
        <w:t>g</w:t>
      </w:r>
      <w:r w:rsidRPr="008F1996">
        <w:rPr>
          <w:rFonts w:ascii="Times New Roman" w:eastAsia="Times New Roman" w:hAnsi="Times New Roman" w:cs="Times New Roman"/>
          <w:i/>
          <w:iCs/>
          <w:sz w:val="20"/>
          <w:szCs w:val="20"/>
          <w:bdr w:val="none" w:sz="0" w:space="0" w:color="auto" w:frame="1"/>
        </w:rPr>
        <w:t>n</w:t>
      </w:r>
      <w:proofErr w:type="spellEnd"/>
      <w:r w:rsidRPr="008F1996">
        <w:rPr>
          <w:rFonts w:ascii="Times New Roman" w:eastAsia="Times New Roman" w:hAnsi="Times New Roman" w:cs="Times New Roman"/>
          <w:sz w:val="2"/>
          <w:szCs w:val="2"/>
          <w:bdr w:val="none" w:sz="0" w:space="0" w:color="auto" w:frame="1"/>
        </w:rPr>
        <w:t>​</w:t>
      </w:r>
      <w:proofErr w:type="gramEnd"/>
      <w:r w:rsidRPr="008F1996">
        <w:rPr>
          <w:rFonts w:ascii="Times New Roman" w:eastAsia="Times New Roman" w:hAnsi="Times New Roman" w:cs="Times New Roman"/>
          <w:bdr w:val="none" w:sz="0" w:space="0" w:color="auto" w:frame="1"/>
        </w:rPr>
        <w:t xml:space="preserve"> </w:t>
      </w:r>
    </w:p>
    <w:p w14:paraId="361CA4CF"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Scenarios:</w:t>
      </w:r>
    </w:p>
    <w:p w14:paraId="03EB75E4" w14:textId="77777777" w:rsidR="003B7739" w:rsidRPr="008F1996" w:rsidRDefault="003B7739" w:rsidP="003B7739">
      <w:pPr>
        <w:numPr>
          <w:ilvl w:val="0"/>
          <w:numId w:val="6"/>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Baseline:</w:t>
      </w:r>
      <w:r w:rsidRPr="008F1996">
        <w:rPr>
          <w:rFonts w:ascii="Times New Roman" w:eastAsia="Times New Roman" w:hAnsi="Times New Roman" w:cs="Times New Roman"/>
          <w:sz w:val="21"/>
          <w:szCs w:val="21"/>
        </w:rPr>
        <w:t xml:space="preserve"> 6.5% GDP growth, 1.2% population growth, TFP growth 2.1% (IMF, 2024)</w:t>
      </w:r>
    </w:p>
    <w:p w14:paraId="7B165363" w14:textId="655A0474" w:rsidR="003B7739" w:rsidRPr="008F1996" w:rsidRDefault="003B7739" w:rsidP="003B7739">
      <w:pPr>
        <w:numPr>
          <w:ilvl w:val="0"/>
          <w:numId w:val="6"/>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Reforms:</w:t>
      </w:r>
      <w:r w:rsidRPr="008F1996">
        <w:rPr>
          <w:rFonts w:ascii="Times New Roman" w:eastAsia="Times New Roman" w:hAnsi="Times New Roman" w:cs="Times New Roman"/>
          <w:sz w:val="21"/>
          <w:szCs w:val="21"/>
        </w:rPr>
        <w:t xml:space="preserve"> 7.5% GDP growth, TFP growth 2.8% (World Bank "aspirational" scenario)</w:t>
      </w:r>
    </w:p>
    <w:p w14:paraId="4969C1E3" w14:textId="77777777" w:rsidR="003B7739" w:rsidRPr="008F1996" w:rsidRDefault="003B7739" w:rsidP="003B7739">
      <w:pPr>
        <w:ind w:left="360"/>
        <w:textAlignment w:val="baseline"/>
        <w:rPr>
          <w:rFonts w:ascii="Times New Roman" w:eastAsia="Times New Roman" w:hAnsi="Times New Roman" w:cs="Times New Roman"/>
          <w:sz w:val="21"/>
          <w:szCs w:val="21"/>
        </w:rPr>
      </w:pPr>
    </w:p>
    <w:p w14:paraId="2289F993"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3.2 Data Sources</w:t>
      </w:r>
    </w:p>
    <w:p w14:paraId="22383294"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Macroeconomic Data:</w:t>
      </w:r>
      <w:r w:rsidRPr="008F1996">
        <w:rPr>
          <w:rFonts w:ascii="Times New Roman" w:eastAsia="Times New Roman" w:hAnsi="Times New Roman" w:cs="Times New Roman"/>
        </w:rPr>
        <w:t xml:space="preserve"> World Bank World Development Indicators (2024), IMF World Economic Outlook (April 2024).</w:t>
      </w:r>
      <w:r w:rsidRPr="008F1996">
        <w:rPr>
          <w:rFonts w:ascii="Times New Roman" w:eastAsia="Times New Roman" w:hAnsi="Times New Roman" w:cs="Times New Roman"/>
        </w:rPr>
        <w:br/>
      </w:r>
      <w:r w:rsidRPr="008F1996">
        <w:rPr>
          <w:rFonts w:ascii="Times New Roman" w:eastAsia="Times New Roman" w:hAnsi="Times New Roman" w:cs="Times New Roman"/>
          <w:b/>
          <w:bCs/>
          <w:bdr w:val="none" w:sz="0" w:space="0" w:color="auto" w:frame="1"/>
        </w:rPr>
        <w:t>Pollution Data:</w:t>
      </w:r>
      <w:r w:rsidRPr="008F1996">
        <w:rPr>
          <w:rFonts w:ascii="Times New Roman" w:eastAsia="Times New Roman" w:hAnsi="Times New Roman" w:cs="Times New Roman"/>
        </w:rPr>
        <w:t xml:space="preserve"> WHO Global Air Quality Database (2023), Global Burden of Disease Study (2022), China Statistical Yearbook (2023).</w:t>
      </w:r>
      <w:r w:rsidRPr="008F1996">
        <w:rPr>
          <w:rFonts w:ascii="Times New Roman" w:eastAsia="Times New Roman" w:hAnsi="Times New Roman" w:cs="Times New Roman"/>
        </w:rPr>
        <w:br/>
      </w:r>
      <w:r w:rsidRPr="008F1996">
        <w:rPr>
          <w:rFonts w:ascii="Times New Roman" w:eastAsia="Times New Roman" w:hAnsi="Times New Roman" w:cs="Times New Roman"/>
          <w:b/>
          <w:bCs/>
          <w:bdr w:val="none" w:sz="0" w:space="0" w:color="auto" w:frame="1"/>
        </w:rPr>
        <w:t>Policy Data:</w:t>
      </w:r>
      <w:r w:rsidRPr="008F1996">
        <w:rPr>
          <w:rFonts w:ascii="Times New Roman" w:eastAsia="Times New Roman" w:hAnsi="Times New Roman" w:cs="Times New Roman"/>
        </w:rPr>
        <w:t xml:space="preserve"> OECD Environmental Policy Stringency Database, India NCAP dashboards.</w:t>
      </w:r>
    </w:p>
    <w:p w14:paraId="60F917C1" w14:textId="77777777" w:rsidR="003B7739" w:rsidRPr="008F1996" w:rsidRDefault="00635C6E" w:rsidP="003B7739">
      <w:pPr>
        <w:spacing w:after="240"/>
        <w:rPr>
          <w:rFonts w:ascii="Times New Roman" w:eastAsia="Times New Roman" w:hAnsi="Times New Roman" w:cs="Times New Roman"/>
        </w:rPr>
      </w:pPr>
      <w:r>
        <w:rPr>
          <w:rFonts w:ascii="Times New Roman" w:eastAsia="Times New Roman" w:hAnsi="Times New Roman" w:cs="Times New Roman"/>
          <w:noProof/>
        </w:rPr>
        <w:pict w14:anchorId="19587D4A">
          <v:rect id="_x0000_i1034" alt="" style="width:468pt;height:.05pt;mso-width-percent:0;mso-height-percent:0;mso-width-percent:0;mso-height-percent:0" o:hralign="center" o:hrstd="t" o:hr="t" fillcolor="#a0a0a0" stroked="f"/>
        </w:pict>
      </w:r>
    </w:p>
    <w:p w14:paraId="4F112599" w14:textId="794002F2" w:rsidR="003B7739" w:rsidRPr="008F1996" w:rsidRDefault="003B7739" w:rsidP="003B7739">
      <w:pPr>
        <w:textAlignment w:val="baseline"/>
        <w:rPr>
          <w:rFonts w:ascii="Times New Roman" w:eastAsia="Times New Roman" w:hAnsi="Times New Roman" w:cs="Times New Roman"/>
          <w:b/>
          <w:bCs/>
          <w:bdr w:val="none" w:sz="0" w:space="0" w:color="auto" w:frame="1"/>
        </w:rPr>
      </w:pPr>
      <w:r w:rsidRPr="008F1996">
        <w:rPr>
          <w:rFonts w:ascii="Times New Roman" w:eastAsia="Times New Roman" w:hAnsi="Times New Roman" w:cs="Times New Roman"/>
          <w:b/>
          <w:bCs/>
          <w:bdr w:val="none" w:sz="0" w:space="0" w:color="auto" w:frame="1"/>
        </w:rPr>
        <w:t>4. RESULTS</w:t>
      </w:r>
    </w:p>
    <w:p w14:paraId="27BDE3D1" w14:textId="77777777" w:rsidR="003B7739" w:rsidRPr="008F1996" w:rsidRDefault="003B7739" w:rsidP="003B7739">
      <w:pPr>
        <w:textAlignment w:val="baseline"/>
        <w:rPr>
          <w:rFonts w:ascii="Times New Roman" w:eastAsia="Times New Roman" w:hAnsi="Times New Roman" w:cs="Times New Roman"/>
        </w:rPr>
      </w:pPr>
    </w:p>
    <w:p w14:paraId="5FDC3A4B"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4.1 Turning Points in Comparator Nations</w:t>
      </w:r>
    </w:p>
    <w:p w14:paraId="1EB535AD"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Table 1: Income Thresholds for Air Pollution Decline (PPP-adjusted)</w:t>
      </w:r>
    </w:p>
    <w:p w14:paraId="28D8ECF0" w14:textId="77777777" w:rsidR="003B7739" w:rsidRPr="008F1996" w:rsidRDefault="003B7739" w:rsidP="003B7739">
      <w:pPr>
        <w:textAlignment w:val="baseline"/>
        <w:rPr>
          <w:rFonts w:ascii="Times New Roman" w:eastAsia="Times New Roman" w:hAnsi="Times New Roman" w:cs="Times New Roman"/>
          <w:spacing w:val="8"/>
          <w:sz w:val="21"/>
          <w:szCs w:val="21"/>
        </w:rPr>
      </w:pPr>
      <w:r w:rsidRPr="008F1996">
        <w:rPr>
          <w:rFonts w:ascii="Times New Roman" w:eastAsia="Times New Roman" w:hAnsi="Times New Roman" w:cs="Times New Roman"/>
          <w:b/>
          <w:bCs/>
          <w:spacing w:val="8"/>
          <w:sz w:val="21"/>
          <w:szCs w:val="21"/>
          <w:bdr w:val="none" w:sz="0" w:space="0" w:color="auto" w:frame="1"/>
        </w:rPr>
        <w:t>Table</w:t>
      </w:r>
    </w:p>
    <w:p w14:paraId="25068AC8" w14:textId="77777777" w:rsidR="003B7739" w:rsidRPr="008F1996" w:rsidRDefault="003B7739" w:rsidP="003B7739">
      <w:pPr>
        <w:textAlignment w:val="baseline"/>
        <w:rPr>
          <w:rFonts w:ascii="Times New Roman" w:eastAsia="Times New Roman" w:hAnsi="Times New Roman" w:cs="Times New Roman"/>
          <w:spacing w:val="8"/>
          <w:sz w:val="21"/>
          <w:szCs w:val="21"/>
        </w:rPr>
      </w:pPr>
      <w:r w:rsidRPr="008F1996">
        <w:rPr>
          <w:rFonts w:ascii="Times New Roman" w:eastAsia="Times New Roman" w:hAnsi="Times New Roman" w:cs="Times New Roman"/>
          <w:spacing w:val="8"/>
          <w:sz w:val="21"/>
          <w:szCs w:val="21"/>
          <w:bdr w:val="none" w:sz="0" w:space="0" w:color="auto" w:frame="1"/>
        </w:rPr>
        <w:t>Copy</w:t>
      </w:r>
    </w:p>
    <w:tbl>
      <w:tblPr>
        <w:tblW w:w="0" w:type="auto"/>
        <w:tblCellMar>
          <w:left w:w="0" w:type="dxa"/>
          <w:right w:w="0" w:type="dxa"/>
        </w:tblCellMar>
        <w:tblLook w:val="04A0" w:firstRow="1" w:lastRow="0" w:firstColumn="1" w:lastColumn="0" w:noHBand="0" w:noVBand="1"/>
      </w:tblPr>
      <w:tblGrid>
        <w:gridCol w:w="1298"/>
        <w:gridCol w:w="1247"/>
        <w:gridCol w:w="1712"/>
        <w:gridCol w:w="807"/>
        <w:gridCol w:w="2431"/>
        <w:gridCol w:w="1865"/>
      </w:tblGrid>
      <w:tr w:rsidR="003B7739" w:rsidRPr="008F1996" w14:paraId="3FA8BB4A" w14:textId="77777777" w:rsidTr="003B7739">
        <w:trPr>
          <w:tblHeader/>
        </w:trPr>
        <w:tc>
          <w:tcPr>
            <w:tcW w:w="0" w:type="auto"/>
            <w:tcBorders>
              <w:left w:val="nil"/>
              <w:bottom w:val="nil"/>
              <w:right w:val="nil"/>
            </w:tcBorders>
            <w:tcMar>
              <w:top w:w="150" w:type="dxa"/>
              <w:left w:w="150" w:type="dxa"/>
              <w:bottom w:w="150" w:type="dxa"/>
              <w:right w:w="150" w:type="dxa"/>
            </w:tcMar>
            <w:vAlign w:val="bottom"/>
            <w:hideMark/>
          </w:tcPr>
          <w:p w14:paraId="0706DB19" w14:textId="77777777" w:rsidR="003B7739" w:rsidRPr="008F1996" w:rsidRDefault="003B7739" w:rsidP="003B7739">
            <w:pPr>
              <w:rPr>
                <w:rFonts w:ascii="Times New Roman" w:eastAsia="Times New Roman" w:hAnsi="Times New Roman" w:cs="Times New Roman"/>
                <w:b/>
                <w:bCs/>
              </w:rPr>
            </w:pPr>
            <w:r w:rsidRPr="008F1996">
              <w:rPr>
                <w:rFonts w:ascii="Times New Roman" w:eastAsia="Times New Roman" w:hAnsi="Times New Roman" w:cs="Times New Roman"/>
                <w:b/>
                <w:bCs/>
              </w:rPr>
              <w:t>Country</w:t>
            </w:r>
          </w:p>
        </w:tc>
        <w:tc>
          <w:tcPr>
            <w:tcW w:w="0" w:type="auto"/>
            <w:tcBorders>
              <w:bottom w:val="nil"/>
              <w:right w:val="nil"/>
            </w:tcBorders>
            <w:tcMar>
              <w:top w:w="150" w:type="dxa"/>
              <w:left w:w="150" w:type="dxa"/>
              <w:bottom w:w="150" w:type="dxa"/>
              <w:right w:w="150" w:type="dxa"/>
            </w:tcMar>
            <w:vAlign w:val="bottom"/>
            <w:hideMark/>
          </w:tcPr>
          <w:p w14:paraId="2D1009A7" w14:textId="77777777" w:rsidR="003B7739" w:rsidRPr="008F1996" w:rsidRDefault="003B7739" w:rsidP="003B7739">
            <w:pPr>
              <w:rPr>
                <w:rFonts w:ascii="Times New Roman" w:eastAsia="Times New Roman" w:hAnsi="Times New Roman" w:cs="Times New Roman"/>
                <w:b/>
                <w:bCs/>
              </w:rPr>
            </w:pPr>
            <w:r w:rsidRPr="008F1996">
              <w:rPr>
                <w:rFonts w:ascii="Times New Roman" w:eastAsia="Times New Roman" w:hAnsi="Times New Roman" w:cs="Times New Roman"/>
                <w:b/>
                <w:bCs/>
              </w:rPr>
              <w:t>Pollutant</w:t>
            </w:r>
          </w:p>
        </w:tc>
        <w:tc>
          <w:tcPr>
            <w:tcW w:w="0" w:type="auto"/>
            <w:tcBorders>
              <w:bottom w:val="nil"/>
              <w:right w:val="nil"/>
            </w:tcBorders>
            <w:tcMar>
              <w:top w:w="150" w:type="dxa"/>
              <w:left w:w="150" w:type="dxa"/>
              <w:bottom w:w="150" w:type="dxa"/>
              <w:right w:w="150" w:type="dxa"/>
            </w:tcMar>
            <w:vAlign w:val="bottom"/>
            <w:hideMark/>
          </w:tcPr>
          <w:p w14:paraId="5B4F0EA7" w14:textId="77777777" w:rsidR="003B7739" w:rsidRPr="008F1996" w:rsidRDefault="003B7739" w:rsidP="003B7739">
            <w:pPr>
              <w:rPr>
                <w:rFonts w:ascii="Times New Roman" w:eastAsia="Times New Roman" w:hAnsi="Times New Roman" w:cs="Times New Roman"/>
                <w:b/>
                <w:bCs/>
              </w:rPr>
            </w:pPr>
            <w:r w:rsidRPr="008F1996">
              <w:rPr>
                <w:rFonts w:ascii="Times New Roman" w:eastAsia="Times New Roman" w:hAnsi="Times New Roman" w:cs="Times New Roman"/>
                <w:b/>
                <w:bCs/>
              </w:rPr>
              <w:t>Turning Point Income (USD)</w:t>
            </w:r>
          </w:p>
        </w:tc>
        <w:tc>
          <w:tcPr>
            <w:tcW w:w="0" w:type="auto"/>
            <w:tcBorders>
              <w:bottom w:val="nil"/>
              <w:right w:val="nil"/>
            </w:tcBorders>
            <w:tcMar>
              <w:top w:w="150" w:type="dxa"/>
              <w:left w:w="150" w:type="dxa"/>
              <w:bottom w:w="150" w:type="dxa"/>
              <w:right w:w="150" w:type="dxa"/>
            </w:tcMar>
            <w:vAlign w:val="bottom"/>
            <w:hideMark/>
          </w:tcPr>
          <w:p w14:paraId="02F20559" w14:textId="77777777" w:rsidR="003B7739" w:rsidRPr="008F1996" w:rsidRDefault="003B7739" w:rsidP="003B7739">
            <w:pPr>
              <w:rPr>
                <w:rFonts w:ascii="Times New Roman" w:eastAsia="Times New Roman" w:hAnsi="Times New Roman" w:cs="Times New Roman"/>
                <w:b/>
                <w:bCs/>
              </w:rPr>
            </w:pPr>
            <w:r w:rsidRPr="008F1996">
              <w:rPr>
                <w:rFonts w:ascii="Times New Roman" w:eastAsia="Times New Roman" w:hAnsi="Times New Roman" w:cs="Times New Roman"/>
                <w:b/>
                <w:bCs/>
              </w:rPr>
              <w:t>Year</w:t>
            </w:r>
          </w:p>
        </w:tc>
        <w:tc>
          <w:tcPr>
            <w:tcW w:w="0" w:type="auto"/>
            <w:tcBorders>
              <w:bottom w:val="nil"/>
              <w:right w:val="nil"/>
            </w:tcBorders>
            <w:tcMar>
              <w:top w:w="150" w:type="dxa"/>
              <w:left w:w="150" w:type="dxa"/>
              <w:bottom w:w="150" w:type="dxa"/>
              <w:right w:w="150" w:type="dxa"/>
            </w:tcMar>
            <w:vAlign w:val="bottom"/>
            <w:hideMark/>
          </w:tcPr>
          <w:p w14:paraId="19C3D14B" w14:textId="77777777" w:rsidR="003B7739" w:rsidRPr="008F1996" w:rsidRDefault="003B7739" w:rsidP="003B7739">
            <w:pPr>
              <w:rPr>
                <w:rFonts w:ascii="Times New Roman" w:eastAsia="Times New Roman" w:hAnsi="Times New Roman" w:cs="Times New Roman"/>
                <w:b/>
                <w:bCs/>
              </w:rPr>
            </w:pPr>
            <w:r w:rsidRPr="008F1996">
              <w:rPr>
                <w:rFonts w:ascii="Times New Roman" w:eastAsia="Times New Roman" w:hAnsi="Times New Roman" w:cs="Times New Roman"/>
                <w:b/>
                <w:bCs/>
              </w:rPr>
              <w:t>Policy Trigger</w:t>
            </w:r>
          </w:p>
        </w:tc>
        <w:tc>
          <w:tcPr>
            <w:tcW w:w="0" w:type="auto"/>
            <w:tcBorders>
              <w:bottom w:val="nil"/>
              <w:right w:val="nil"/>
            </w:tcBorders>
            <w:tcMar>
              <w:top w:w="150" w:type="dxa"/>
              <w:left w:w="150" w:type="dxa"/>
              <w:bottom w:w="150" w:type="dxa"/>
              <w:right w:w="150" w:type="dxa"/>
            </w:tcMar>
            <w:vAlign w:val="bottom"/>
            <w:hideMark/>
          </w:tcPr>
          <w:p w14:paraId="0840F94D" w14:textId="77777777" w:rsidR="003B7739" w:rsidRPr="008F1996" w:rsidRDefault="003B7739" w:rsidP="003B7739">
            <w:pPr>
              <w:rPr>
                <w:rFonts w:ascii="Times New Roman" w:eastAsia="Times New Roman" w:hAnsi="Times New Roman" w:cs="Times New Roman"/>
                <w:b/>
                <w:bCs/>
              </w:rPr>
            </w:pPr>
            <w:r w:rsidRPr="008F1996">
              <w:rPr>
                <w:rFonts w:ascii="Times New Roman" w:eastAsia="Times New Roman" w:hAnsi="Times New Roman" w:cs="Times New Roman"/>
                <w:b/>
                <w:bCs/>
              </w:rPr>
              <w:t>Average Decline (5-year post-turn)</w:t>
            </w:r>
          </w:p>
        </w:tc>
      </w:tr>
      <w:tr w:rsidR="003B7739" w:rsidRPr="008F1996" w14:paraId="5F9202C4" w14:textId="77777777" w:rsidTr="003B7739">
        <w:tc>
          <w:tcPr>
            <w:tcW w:w="0" w:type="auto"/>
            <w:tcBorders>
              <w:left w:val="nil"/>
              <w:bottom w:val="nil"/>
              <w:right w:val="nil"/>
            </w:tcBorders>
            <w:tcMar>
              <w:top w:w="150" w:type="dxa"/>
              <w:left w:w="150" w:type="dxa"/>
              <w:bottom w:w="150" w:type="dxa"/>
              <w:right w:w="150" w:type="dxa"/>
            </w:tcMar>
            <w:vAlign w:val="bottom"/>
            <w:hideMark/>
          </w:tcPr>
          <w:p w14:paraId="4725E830"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China</w:t>
            </w:r>
          </w:p>
        </w:tc>
        <w:tc>
          <w:tcPr>
            <w:tcW w:w="0" w:type="auto"/>
            <w:tcBorders>
              <w:bottom w:val="nil"/>
              <w:right w:val="nil"/>
            </w:tcBorders>
            <w:tcMar>
              <w:top w:w="150" w:type="dxa"/>
              <w:left w:w="150" w:type="dxa"/>
              <w:bottom w:w="150" w:type="dxa"/>
              <w:right w:w="150" w:type="dxa"/>
            </w:tcMar>
            <w:vAlign w:val="bottom"/>
            <w:hideMark/>
          </w:tcPr>
          <w:p w14:paraId="14495F45"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PM2.5</w:t>
            </w:r>
          </w:p>
        </w:tc>
        <w:tc>
          <w:tcPr>
            <w:tcW w:w="0" w:type="auto"/>
            <w:tcBorders>
              <w:bottom w:val="nil"/>
              <w:right w:val="nil"/>
            </w:tcBorders>
            <w:tcMar>
              <w:top w:w="150" w:type="dxa"/>
              <w:left w:w="150" w:type="dxa"/>
              <w:bottom w:w="150" w:type="dxa"/>
              <w:right w:w="150" w:type="dxa"/>
            </w:tcMar>
            <w:vAlign w:val="bottom"/>
            <w:hideMark/>
          </w:tcPr>
          <w:p w14:paraId="5DD887C5"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$7,800</w:t>
            </w:r>
          </w:p>
        </w:tc>
        <w:tc>
          <w:tcPr>
            <w:tcW w:w="0" w:type="auto"/>
            <w:tcBorders>
              <w:bottom w:val="nil"/>
              <w:right w:val="nil"/>
            </w:tcBorders>
            <w:tcMar>
              <w:top w:w="150" w:type="dxa"/>
              <w:left w:w="150" w:type="dxa"/>
              <w:bottom w:w="150" w:type="dxa"/>
              <w:right w:w="150" w:type="dxa"/>
            </w:tcMar>
            <w:vAlign w:val="bottom"/>
            <w:hideMark/>
          </w:tcPr>
          <w:p w14:paraId="56DD8920"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2015</w:t>
            </w:r>
          </w:p>
        </w:tc>
        <w:tc>
          <w:tcPr>
            <w:tcW w:w="0" w:type="auto"/>
            <w:tcBorders>
              <w:bottom w:val="nil"/>
              <w:right w:val="nil"/>
            </w:tcBorders>
            <w:tcMar>
              <w:top w:w="150" w:type="dxa"/>
              <w:left w:w="150" w:type="dxa"/>
              <w:bottom w:w="150" w:type="dxa"/>
              <w:right w:w="150" w:type="dxa"/>
            </w:tcMar>
            <w:vAlign w:val="bottom"/>
            <w:hideMark/>
          </w:tcPr>
          <w:p w14:paraId="0BE2746F"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2013 Action Plan</w:t>
            </w:r>
          </w:p>
        </w:tc>
        <w:tc>
          <w:tcPr>
            <w:tcW w:w="0" w:type="auto"/>
            <w:tcBorders>
              <w:bottom w:val="nil"/>
              <w:right w:val="nil"/>
            </w:tcBorders>
            <w:tcMar>
              <w:top w:w="150" w:type="dxa"/>
              <w:left w:w="150" w:type="dxa"/>
              <w:bottom w:w="150" w:type="dxa"/>
              <w:right w:w="150" w:type="dxa"/>
            </w:tcMar>
            <w:vAlign w:val="bottom"/>
            <w:hideMark/>
          </w:tcPr>
          <w:p w14:paraId="099977B5"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31% (2013–2018)</w:t>
            </w:r>
          </w:p>
        </w:tc>
      </w:tr>
      <w:tr w:rsidR="003B7739" w:rsidRPr="008F1996" w14:paraId="77713402" w14:textId="77777777" w:rsidTr="003B7739">
        <w:tc>
          <w:tcPr>
            <w:tcW w:w="0" w:type="auto"/>
            <w:tcBorders>
              <w:left w:val="nil"/>
              <w:bottom w:val="nil"/>
              <w:right w:val="nil"/>
            </w:tcBorders>
            <w:tcMar>
              <w:top w:w="150" w:type="dxa"/>
              <w:left w:w="150" w:type="dxa"/>
              <w:bottom w:w="150" w:type="dxa"/>
              <w:right w:w="150" w:type="dxa"/>
            </w:tcMar>
            <w:vAlign w:val="bottom"/>
            <w:hideMark/>
          </w:tcPr>
          <w:p w14:paraId="7F80F2E4"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China</w:t>
            </w:r>
          </w:p>
        </w:tc>
        <w:tc>
          <w:tcPr>
            <w:tcW w:w="0" w:type="auto"/>
            <w:tcBorders>
              <w:bottom w:val="nil"/>
              <w:right w:val="nil"/>
            </w:tcBorders>
            <w:tcMar>
              <w:top w:w="150" w:type="dxa"/>
              <w:left w:w="150" w:type="dxa"/>
              <w:bottom w:w="150" w:type="dxa"/>
              <w:right w:w="150" w:type="dxa"/>
            </w:tcMar>
            <w:vAlign w:val="bottom"/>
            <w:hideMark/>
          </w:tcPr>
          <w:p w14:paraId="10F2FEEE"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SO₂</w:t>
            </w:r>
          </w:p>
        </w:tc>
        <w:tc>
          <w:tcPr>
            <w:tcW w:w="0" w:type="auto"/>
            <w:tcBorders>
              <w:bottom w:val="nil"/>
              <w:right w:val="nil"/>
            </w:tcBorders>
            <w:tcMar>
              <w:top w:w="150" w:type="dxa"/>
              <w:left w:w="150" w:type="dxa"/>
              <w:bottom w:w="150" w:type="dxa"/>
              <w:right w:w="150" w:type="dxa"/>
            </w:tcMar>
            <w:vAlign w:val="bottom"/>
            <w:hideMark/>
          </w:tcPr>
          <w:p w14:paraId="552AABBA"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$12,903</w:t>
            </w:r>
          </w:p>
        </w:tc>
        <w:tc>
          <w:tcPr>
            <w:tcW w:w="0" w:type="auto"/>
            <w:tcBorders>
              <w:bottom w:val="nil"/>
              <w:right w:val="nil"/>
            </w:tcBorders>
            <w:tcMar>
              <w:top w:w="150" w:type="dxa"/>
              <w:left w:w="150" w:type="dxa"/>
              <w:bottom w:w="150" w:type="dxa"/>
              <w:right w:w="150" w:type="dxa"/>
            </w:tcMar>
            <w:vAlign w:val="bottom"/>
            <w:hideMark/>
          </w:tcPr>
          <w:p w14:paraId="610AF268"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2005</w:t>
            </w:r>
          </w:p>
        </w:tc>
        <w:tc>
          <w:tcPr>
            <w:tcW w:w="0" w:type="auto"/>
            <w:tcBorders>
              <w:bottom w:val="nil"/>
              <w:right w:val="nil"/>
            </w:tcBorders>
            <w:tcMar>
              <w:top w:w="150" w:type="dxa"/>
              <w:left w:w="150" w:type="dxa"/>
              <w:bottom w:w="150" w:type="dxa"/>
              <w:right w:w="150" w:type="dxa"/>
            </w:tcMar>
            <w:vAlign w:val="bottom"/>
            <w:hideMark/>
          </w:tcPr>
          <w:p w14:paraId="7C0278F0"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11th Five-Year Plan</w:t>
            </w:r>
          </w:p>
        </w:tc>
        <w:tc>
          <w:tcPr>
            <w:tcW w:w="0" w:type="auto"/>
            <w:tcBorders>
              <w:bottom w:val="nil"/>
              <w:right w:val="nil"/>
            </w:tcBorders>
            <w:tcMar>
              <w:top w:w="150" w:type="dxa"/>
              <w:left w:w="150" w:type="dxa"/>
              <w:bottom w:w="150" w:type="dxa"/>
              <w:right w:w="150" w:type="dxa"/>
            </w:tcMar>
            <w:vAlign w:val="bottom"/>
            <w:hideMark/>
          </w:tcPr>
          <w:p w14:paraId="05E68461"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14% (2006–2010)</w:t>
            </w:r>
          </w:p>
        </w:tc>
      </w:tr>
      <w:tr w:rsidR="003B7739" w:rsidRPr="008F1996" w14:paraId="363FE3D9" w14:textId="77777777" w:rsidTr="003B7739">
        <w:tc>
          <w:tcPr>
            <w:tcW w:w="0" w:type="auto"/>
            <w:tcBorders>
              <w:left w:val="nil"/>
              <w:bottom w:val="nil"/>
              <w:right w:val="nil"/>
            </w:tcBorders>
            <w:tcMar>
              <w:top w:w="150" w:type="dxa"/>
              <w:left w:w="150" w:type="dxa"/>
              <w:bottom w:w="150" w:type="dxa"/>
              <w:right w:w="150" w:type="dxa"/>
            </w:tcMar>
            <w:vAlign w:val="bottom"/>
            <w:hideMark/>
          </w:tcPr>
          <w:p w14:paraId="4CE52876"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United States</w:t>
            </w:r>
          </w:p>
        </w:tc>
        <w:tc>
          <w:tcPr>
            <w:tcW w:w="0" w:type="auto"/>
            <w:tcBorders>
              <w:bottom w:val="nil"/>
              <w:right w:val="nil"/>
            </w:tcBorders>
            <w:tcMar>
              <w:top w:w="150" w:type="dxa"/>
              <w:left w:w="150" w:type="dxa"/>
              <w:bottom w:w="150" w:type="dxa"/>
              <w:right w:w="150" w:type="dxa"/>
            </w:tcMar>
            <w:vAlign w:val="bottom"/>
            <w:hideMark/>
          </w:tcPr>
          <w:p w14:paraId="0E4E1AE6"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PM10</w:t>
            </w:r>
          </w:p>
        </w:tc>
        <w:tc>
          <w:tcPr>
            <w:tcW w:w="0" w:type="auto"/>
            <w:tcBorders>
              <w:bottom w:val="nil"/>
              <w:right w:val="nil"/>
            </w:tcBorders>
            <w:tcMar>
              <w:top w:w="150" w:type="dxa"/>
              <w:left w:w="150" w:type="dxa"/>
              <w:bottom w:w="150" w:type="dxa"/>
              <w:right w:w="150" w:type="dxa"/>
            </w:tcMar>
            <w:vAlign w:val="bottom"/>
            <w:hideMark/>
          </w:tcPr>
          <w:p w14:paraId="656AAFD6"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$11,200 (1975)</w:t>
            </w:r>
          </w:p>
        </w:tc>
        <w:tc>
          <w:tcPr>
            <w:tcW w:w="0" w:type="auto"/>
            <w:tcBorders>
              <w:bottom w:val="nil"/>
              <w:right w:val="nil"/>
            </w:tcBorders>
            <w:tcMar>
              <w:top w:w="150" w:type="dxa"/>
              <w:left w:w="150" w:type="dxa"/>
              <w:bottom w:w="150" w:type="dxa"/>
              <w:right w:w="150" w:type="dxa"/>
            </w:tcMar>
            <w:vAlign w:val="bottom"/>
            <w:hideMark/>
          </w:tcPr>
          <w:p w14:paraId="48E88D1E"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1970</w:t>
            </w:r>
          </w:p>
        </w:tc>
        <w:tc>
          <w:tcPr>
            <w:tcW w:w="0" w:type="auto"/>
            <w:tcBorders>
              <w:bottom w:val="nil"/>
              <w:right w:val="nil"/>
            </w:tcBorders>
            <w:tcMar>
              <w:top w:w="150" w:type="dxa"/>
              <w:left w:w="150" w:type="dxa"/>
              <w:bottom w:w="150" w:type="dxa"/>
              <w:right w:w="150" w:type="dxa"/>
            </w:tcMar>
            <w:vAlign w:val="bottom"/>
            <w:hideMark/>
          </w:tcPr>
          <w:p w14:paraId="1C7A92B7"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Clean Air Act 1963/1970</w:t>
            </w:r>
          </w:p>
        </w:tc>
        <w:tc>
          <w:tcPr>
            <w:tcW w:w="0" w:type="auto"/>
            <w:tcBorders>
              <w:bottom w:val="nil"/>
              <w:right w:val="nil"/>
            </w:tcBorders>
            <w:tcMar>
              <w:top w:w="150" w:type="dxa"/>
              <w:left w:w="150" w:type="dxa"/>
              <w:bottom w:w="150" w:type="dxa"/>
              <w:right w:w="150" w:type="dxa"/>
            </w:tcMar>
            <w:vAlign w:val="bottom"/>
            <w:hideMark/>
          </w:tcPr>
          <w:p w14:paraId="255B2FA7"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42% (1970–1975)</w:t>
            </w:r>
          </w:p>
        </w:tc>
      </w:tr>
      <w:tr w:rsidR="003B7739" w:rsidRPr="008F1996" w14:paraId="3114EC13" w14:textId="77777777" w:rsidTr="003B7739">
        <w:tc>
          <w:tcPr>
            <w:tcW w:w="0" w:type="auto"/>
            <w:tcBorders>
              <w:left w:val="nil"/>
              <w:bottom w:val="nil"/>
              <w:right w:val="nil"/>
            </w:tcBorders>
            <w:tcMar>
              <w:top w:w="150" w:type="dxa"/>
              <w:left w:w="150" w:type="dxa"/>
              <w:bottom w:w="150" w:type="dxa"/>
              <w:right w:w="150" w:type="dxa"/>
            </w:tcMar>
            <w:vAlign w:val="bottom"/>
            <w:hideMark/>
          </w:tcPr>
          <w:p w14:paraId="4C14CEED"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Japan</w:t>
            </w:r>
          </w:p>
        </w:tc>
        <w:tc>
          <w:tcPr>
            <w:tcW w:w="0" w:type="auto"/>
            <w:tcBorders>
              <w:bottom w:val="nil"/>
              <w:right w:val="nil"/>
            </w:tcBorders>
            <w:tcMar>
              <w:top w:w="150" w:type="dxa"/>
              <w:left w:w="150" w:type="dxa"/>
              <w:bottom w:w="150" w:type="dxa"/>
              <w:right w:w="150" w:type="dxa"/>
            </w:tcMar>
            <w:vAlign w:val="bottom"/>
            <w:hideMark/>
          </w:tcPr>
          <w:p w14:paraId="555344CB"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SO₂</w:t>
            </w:r>
          </w:p>
        </w:tc>
        <w:tc>
          <w:tcPr>
            <w:tcW w:w="0" w:type="auto"/>
            <w:tcBorders>
              <w:bottom w:val="nil"/>
              <w:right w:val="nil"/>
            </w:tcBorders>
            <w:tcMar>
              <w:top w:w="150" w:type="dxa"/>
              <w:left w:w="150" w:type="dxa"/>
              <w:bottom w:w="150" w:type="dxa"/>
              <w:right w:w="150" w:type="dxa"/>
            </w:tcMar>
            <w:vAlign w:val="bottom"/>
            <w:hideMark/>
          </w:tcPr>
          <w:p w14:paraId="768312C2"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$11,500 (1975)</w:t>
            </w:r>
          </w:p>
        </w:tc>
        <w:tc>
          <w:tcPr>
            <w:tcW w:w="0" w:type="auto"/>
            <w:tcBorders>
              <w:bottom w:val="nil"/>
              <w:right w:val="nil"/>
            </w:tcBorders>
            <w:tcMar>
              <w:top w:w="150" w:type="dxa"/>
              <w:left w:w="150" w:type="dxa"/>
              <w:bottom w:w="150" w:type="dxa"/>
              <w:right w:w="150" w:type="dxa"/>
            </w:tcMar>
            <w:vAlign w:val="bottom"/>
            <w:hideMark/>
          </w:tcPr>
          <w:p w14:paraId="1D7395B7"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1975</w:t>
            </w:r>
          </w:p>
        </w:tc>
        <w:tc>
          <w:tcPr>
            <w:tcW w:w="0" w:type="auto"/>
            <w:tcBorders>
              <w:bottom w:val="nil"/>
              <w:right w:val="nil"/>
            </w:tcBorders>
            <w:tcMar>
              <w:top w:w="150" w:type="dxa"/>
              <w:left w:w="150" w:type="dxa"/>
              <w:bottom w:w="150" w:type="dxa"/>
              <w:right w:w="150" w:type="dxa"/>
            </w:tcMar>
            <w:vAlign w:val="bottom"/>
            <w:hideMark/>
          </w:tcPr>
          <w:p w14:paraId="76433D0F"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Air Pollution Control Act</w:t>
            </w:r>
          </w:p>
        </w:tc>
        <w:tc>
          <w:tcPr>
            <w:tcW w:w="0" w:type="auto"/>
            <w:tcBorders>
              <w:bottom w:val="nil"/>
              <w:right w:val="nil"/>
            </w:tcBorders>
            <w:tcMar>
              <w:top w:w="150" w:type="dxa"/>
              <w:left w:w="150" w:type="dxa"/>
              <w:bottom w:w="150" w:type="dxa"/>
              <w:right w:w="150" w:type="dxa"/>
            </w:tcMar>
            <w:vAlign w:val="bottom"/>
            <w:hideMark/>
          </w:tcPr>
          <w:p w14:paraId="0C8A4F67"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38% (1975–1980)</w:t>
            </w:r>
          </w:p>
        </w:tc>
      </w:tr>
      <w:tr w:rsidR="003B7739" w:rsidRPr="008F1996" w14:paraId="3847556E" w14:textId="77777777" w:rsidTr="003B7739">
        <w:tc>
          <w:tcPr>
            <w:tcW w:w="0" w:type="auto"/>
            <w:tcBorders>
              <w:left w:val="nil"/>
              <w:bottom w:val="nil"/>
              <w:right w:val="nil"/>
            </w:tcBorders>
            <w:tcMar>
              <w:top w:w="150" w:type="dxa"/>
              <w:left w:w="150" w:type="dxa"/>
              <w:bottom w:w="150" w:type="dxa"/>
              <w:right w:w="150" w:type="dxa"/>
            </w:tcMar>
            <w:vAlign w:val="bottom"/>
            <w:hideMark/>
          </w:tcPr>
          <w:p w14:paraId="0AB15D96"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South Korea</w:t>
            </w:r>
          </w:p>
        </w:tc>
        <w:tc>
          <w:tcPr>
            <w:tcW w:w="0" w:type="auto"/>
            <w:tcBorders>
              <w:bottom w:val="nil"/>
              <w:right w:val="nil"/>
            </w:tcBorders>
            <w:tcMar>
              <w:top w:w="150" w:type="dxa"/>
              <w:left w:w="150" w:type="dxa"/>
              <w:bottom w:w="150" w:type="dxa"/>
              <w:right w:w="150" w:type="dxa"/>
            </w:tcMar>
            <w:vAlign w:val="bottom"/>
            <w:hideMark/>
          </w:tcPr>
          <w:p w14:paraId="515FFE4F"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PM2.5</w:t>
            </w:r>
          </w:p>
        </w:tc>
        <w:tc>
          <w:tcPr>
            <w:tcW w:w="0" w:type="auto"/>
            <w:tcBorders>
              <w:bottom w:val="nil"/>
              <w:right w:val="nil"/>
            </w:tcBorders>
            <w:tcMar>
              <w:top w:w="150" w:type="dxa"/>
              <w:left w:w="150" w:type="dxa"/>
              <w:bottom w:w="150" w:type="dxa"/>
              <w:right w:w="150" w:type="dxa"/>
            </w:tcMar>
            <w:vAlign w:val="bottom"/>
            <w:hideMark/>
          </w:tcPr>
          <w:p w14:paraId="6AAC0D17"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$9,800 (2005)</w:t>
            </w:r>
          </w:p>
        </w:tc>
        <w:tc>
          <w:tcPr>
            <w:tcW w:w="0" w:type="auto"/>
            <w:tcBorders>
              <w:bottom w:val="nil"/>
              <w:right w:val="nil"/>
            </w:tcBorders>
            <w:tcMar>
              <w:top w:w="150" w:type="dxa"/>
              <w:left w:w="150" w:type="dxa"/>
              <w:bottom w:w="150" w:type="dxa"/>
              <w:right w:w="150" w:type="dxa"/>
            </w:tcMar>
            <w:vAlign w:val="bottom"/>
            <w:hideMark/>
          </w:tcPr>
          <w:p w14:paraId="657F16E0"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2004</w:t>
            </w:r>
          </w:p>
        </w:tc>
        <w:tc>
          <w:tcPr>
            <w:tcW w:w="0" w:type="auto"/>
            <w:tcBorders>
              <w:bottom w:val="nil"/>
              <w:right w:val="nil"/>
            </w:tcBorders>
            <w:tcMar>
              <w:top w:w="150" w:type="dxa"/>
              <w:left w:w="150" w:type="dxa"/>
              <w:bottom w:w="150" w:type="dxa"/>
              <w:right w:w="150" w:type="dxa"/>
            </w:tcMar>
            <w:vAlign w:val="bottom"/>
            <w:hideMark/>
          </w:tcPr>
          <w:p w14:paraId="579D8250"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Special Act on Metropolitan Air Quality</w:t>
            </w:r>
          </w:p>
        </w:tc>
        <w:tc>
          <w:tcPr>
            <w:tcW w:w="0" w:type="auto"/>
            <w:tcBorders>
              <w:bottom w:val="nil"/>
              <w:right w:val="nil"/>
            </w:tcBorders>
            <w:tcMar>
              <w:top w:w="150" w:type="dxa"/>
              <w:left w:w="150" w:type="dxa"/>
              <w:bottom w:w="150" w:type="dxa"/>
              <w:right w:w="150" w:type="dxa"/>
            </w:tcMar>
            <w:vAlign w:val="bottom"/>
            <w:hideMark/>
          </w:tcPr>
          <w:p w14:paraId="509D2954"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22% (2005–2010)</w:t>
            </w:r>
          </w:p>
        </w:tc>
      </w:tr>
      <w:tr w:rsidR="003B7739" w:rsidRPr="008F1996" w14:paraId="06B0EFCC" w14:textId="77777777" w:rsidTr="003B7739">
        <w:tc>
          <w:tcPr>
            <w:tcW w:w="0" w:type="auto"/>
            <w:tcBorders>
              <w:left w:val="nil"/>
              <w:bottom w:val="nil"/>
              <w:right w:val="nil"/>
            </w:tcBorders>
            <w:tcMar>
              <w:top w:w="150" w:type="dxa"/>
              <w:left w:w="150" w:type="dxa"/>
              <w:bottom w:w="150" w:type="dxa"/>
              <w:right w:w="150" w:type="dxa"/>
            </w:tcMar>
            <w:vAlign w:val="bottom"/>
            <w:hideMark/>
          </w:tcPr>
          <w:p w14:paraId="23A5359A"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Brazil</w:t>
            </w:r>
          </w:p>
        </w:tc>
        <w:tc>
          <w:tcPr>
            <w:tcW w:w="0" w:type="auto"/>
            <w:tcBorders>
              <w:bottom w:val="nil"/>
              <w:right w:val="nil"/>
            </w:tcBorders>
            <w:tcMar>
              <w:top w:w="150" w:type="dxa"/>
              <w:left w:w="150" w:type="dxa"/>
              <w:bottom w:w="150" w:type="dxa"/>
              <w:right w:w="150" w:type="dxa"/>
            </w:tcMar>
            <w:vAlign w:val="bottom"/>
            <w:hideMark/>
          </w:tcPr>
          <w:p w14:paraId="14062A37"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PM10</w:t>
            </w:r>
          </w:p>
        </w:tc>
        <w:tc>
          <w:tcPr>
            <w:tcW w:w="0" w:type="auto"/>
            <w:tcBorders>
              <w:bottom w:val="nil"/>
              <w:right w:val="nil"/>
            </w:tcBorders>
            <w:tcMar>
              <w:top w:w="150" w:type="dxa"/>
              <w:left w:w="150" w:type="dxa"/>
              <w:bottom w:w="150" w:type="dxa"/>
              <w:right w:w="150" w:type="dxa"/>
            </w:tcMar>
            <w:vAlign w:val="bottom"/>
            <w:hideMark/>
          </w:tcPr>
          <w:p w14:paraId="4B8E4E94"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$8,450 (1995)</w:t>
            </w:r>
          </w:p>
        </w:tc>
        <w:tc>
          <w:tcPr>
            <w:tcW w:w="0" w:type="auto"/>
            <w:tcBorders>
              <w:bottom w:val="nil"/>
              <w:right w:val="nil"/>
            </w:tcBorders>
            <w:tcMar>
              <w:top w:w="150" w:type="dxa"/>
              <w:left w:w="150" w:type="dxa"/>
              <w:bottom w:w="150" w:type="dxa"/>
              <w:right w:w="150" w:type="dxa"/>
            </w:tcMar>
            <w:vAlign w:val="bottom"/>
            <w:hideMark/>
          </w:tcPr>
          <w:p w14:paraId="2D69725C"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1992</w:t>
            </w:r>
          </w:p>
        </w:tc>
        <w:tc>
          <w:tcPr>
            <w:tcW w:w="0" w:type="auto"/>
            <w:tcBorders>
              <w:bottom w:val="nil"/>
              <w:right w:val="nil"/>
            </w:tcBorders>
            <w:tcMar>
              <w:top w:w="150" w:type="dxa"/>
              <w:left w:w="150" w:type="dxa"/>
              <w:bottom w:w="150" w:type="dxa"/>
              <w:right w:w="150" w:type="dxa"/>
            </w:tcMar>
            <w:vAlign w:val="bottom"/>
            <w:hideMark/>
          </w:tcPr>
          <w:p w14:paraId="41551128"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Rio Declaration implementation</w:t>
            </w:r>
          </w:p>
        </w:tc>
        <w:tc>
          <w:tcPr>
            <w:tcW w:w="0" w:type="auto"/>
            <w:tcBorders>
              <w:bottom w:val="nil"/>
              <w:right w:val="nil"/>
            </w:tcBorders>
            <w:tcMar>
              <w:top w:w="150" w:type="dxa"/>
              <w:left w:w="150" w:type="dxa"/>
              <w:bottom w:w="150" w:type="dxa"/>
              <w:right w:w="150" w:type="dxa"/>
            </w:tcMar>
            <w:vAlign w:val="bottom"/>
            <w:hideMark/>
          </w:tcPr>
          <w:p w14:paraId="77800E49"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18% (1995–2000)</w:t>
            </w:r>
          </w:p>
        </w:tc>
      </w:tr>
    </w:tbl>
    <w:p w14:paraId="4CEC2087" w14:textId="6663D02A" w:rsidR="003B7739" w:rsidRPr="008F1996" w:rsidRDefault="003B7739" w:rsidP="003B7739">
      <w:pPr>
        <w:textAlignment w:val="baseline"/>
        <w:rPr>
          <w:rFonts w:ascii="Times New Roman" w:eastAsia="Times New Roman" w:hAnsi="Times New Roman" w:cs="Times New Roman"/>
          <w:i/>
          <w:iCs/>
          <w:bdr w:val="none" w:sz="0" w:space="0" w:color="auto" w:frame="1"/>
        </w:rPr>
      </w:pPr>
      <w:r w:rsidRPr="008F1996">
        <w:rPr>
          <w:rFonts w:ascii="Times New Roman" w:eastAsia="Times New Roman" w:hAnsi="Times New Roman" w:cs="Times New Roman"/>
          <w:i/>
          <w:iCs/>
          <w:bdr w:val="none" w:sz="0" w:space="0" w:color="auto" w:frame="1"/>
        </w:rPr>
        <w:lastRenderedPageBreak/>
        <w:t>Note: All figures in constant 2017 PPP USD unless specified. Sources: World Bank (2024), OECD (2023), country statistical yearbooks.</w:t>
      </w:r>
    </w:p>
    <w:p w14:paraId="1E35D146" w14:textId="77777777" w:rsidR="003B7739" w:rsidRPr="008F1996" w:rsidRDefault="003B7739" w:rsidP="003B7739">
      <w:pPr>
        <w:textAlignment w:val="baseline"/>
        <w:rPr>
          <w:rFonts w:ascii="Times New Roman" w:eastAsia="Times New Roman" w:hAnsi="Times New Roman" w:cs="Times New Roman"/>
        </w:rPr>
      </w:pPr>
    </w:p>
    <w:p w14:paraId="19A8B675"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4.2 India's Current Position and Projections</w:t>
      </w:r>
    </w:p>
    <w:p w14:paraId="786C710E"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Table 2: India's Per Capita Income Trajectories and Policy Milestones</w:t>
      </w:r>
    </w:p>
    <w:p w14:paraId="733A1C05" w14:textId="77777777" w:rsidR="003B7739" w:rsidRPr="008F1996" w:rsidRDefault="003B7739" w:rsidP="003B7739">
      <w:pPr>
        <w:textAlignment w:val="baseline"/>
        <w:rPr>
          <w:rFonts w:ascii="Times New Roman" w:eastAsia="Times New Roman" w:hAnsi="Times New Roman" w:cs="Times New Roman"/>
          <w:spacing w:val="8"/>
          <w:sz w:val="21"/>
          <w:szCs w:val="21"/>
        </w:rPr>
      </w:pPr>
      <w:r w:rsidRPr="008F1996">
        <w:rPr>
          <w:rFonts w:ascii="Times New Roman" w:eastAsia="Times New Roman" w:hAnsi="Times New Roman" w:cs="Times New Roman"/>
          <w:b/>
          <w:bCs/>
          <w:spacing w:val="8"/>
          <w:sz w:val="21"/>
          <w:szCs w:val="21"/>
          <w:bdr w:val="none" w:sz="0" w:space="0" w:color="auto" w:frame="1"/>
        </w:rPr>
        <w:t>Table</w:t>
      </w:r>
    </w:p>
    <w:p w14:paraId="1751E86D" w14:textId="77777777" w:rsidR="003B7739" w:rsidRPr="008F1996" w:rsidRDefault="003B7739" w:rsidP="003B7739">
      <w:pPr>
        <w:textAlignment w:val="baseline"/>
        <w:rPr>
          <w:rFonts w:ascii="Times New Roman" w:eastAsia="Times New Roman" w:hAnsi="Times New Roman" w:cs="Times New Roman"/>
          <w:spacing w:val="8"/>
          <w:sz w:val="21"/>
          <w:szCs w:val="21"/>
        </w:rPr>
      </w:pPr>
      <w:r w:rsidRPr="008F1996">
        <w:rPr>
          <w:rFonts w:ascii="Times New Roman" w:eastAsia="Times New Roman" w:hAnsi="Times New Roman" w:cs="Times New Roman"/>
          <w:spacing w:val="8"/>
          <w:sz w:val="21"/>
          <w:szCs w:val="21"/>
          <w:bdr w:val="none" w:sz="0" w:space="0" w:color="auto" w:frame="1"/>
        </w:rPr>
        <w:t>Copy</w:t>
      </w:r>
    </w:p>
    <w:tbl>
      <w:tblPr>
        <w:tblW w:w="0" w:type="auto"/>
        <w:tblCellMar>
          <w:left w:w="0" w:type="dxa"/>
          <w:right w:w="0" w:type="dxa"/>
        </w:tblCellMar>
        <w:tblLook w:val="04A0" w:firstRow="1" w:lastRow="0" w:firstColumn="1" w:lastColumn="0" w:noHBand="0" w:noVBand="1"/>
      </w:tblPr>
      <w:tblGrid>
        <w:gridCol w:w="807"/>
        <w:gridCol w:w="2285"/>
        <w:gridCol w:w="2296"/>
        <w:gridCol w:w="2007"/>
        <w:gridCol w:w="1965"/>
      </w:tblGrid>
      <w:tr w:rsidR="003B7739" w:rsidRPr="008F1996" w14:paraId="51B2603A" w14:textId="77777777" w:rsidTr="003B7739">
        <w:trPr>
          <w:tblHeader/>
        </w:trPr>
        <w:tc>
          <w:tcPr>
            <w:tcW w:w="0" w:type="auto"/>
            <w:tcBorders>
              <w:left w:val="nil"/>
              <w:bottom w:val="nil"/>
              <w:right w:val="nil"/>
            </w:tcBorders>
            <w:tcMar>
              <w:top w:w="150" w:type="dxa"/>
              <w:left w:w="150" w:type="dxa"/>
              <w:bottom w:w="150" w:type="dxa"/>
              <w:right w:w="150" w:type="dxa"/>
            </w:tcMar>
            <w:vAlign w:val="bottom"/>
            <w:hideMark/>
          </w:tcPr>
          <w:p w14:paraId="3C4E53C5" w14:textId="77777777" w:rsidR="003B7739" w:rsidRPr="008F1996" w:rsidRDefault="003B7739" w:rsidP="003B7739">
            <w:pPr>
              <w:rPr>
                <w:rFonts w:ascii="Times New Roman" w:eastAsia="Times New Roman" w:hAnsi="Times New Roman" w:cs="Times New Roman"/>
                <w:b/>
                <w:bCs/>
              </w:rPr>
            </w:pPr>
            <w:r w:rsidRPr="008F1996">
              <w:rPr>
                <w:rFonts w:ascii="Times New Roman" w:eastAsia="Times New Roman" w:hAnsi="Times New Roman" w:cs="Times New Roman"/>
                <w:b/>
                <w:bCs/>
              </w:rPr>
              <w:t>Year</w:t>
            </w:r>
          </w:p>
        </w:tc>
        <w:tc>
          <w:tcPr>
            <w:tcW w:w="0" w:type="auto"/>
            <w:tcBorders>
              <w:bottom w:val="nil"/>
              <w:right w:val="nil"/>
            </w:tcBorders>
            <w:tcMar>
              <w:top w:w="150" w:type="dxa"/>
              <w:left w:w="150" w:type="dxa"/>
              <w:bottom w:w="150" w:type="dxa"/>
              <w:right w:w="150" w:type="dxa"/>
            </w:tcMar>
            <w:vAlign w:val="bottom"/>
            <w:hideMark/>
          </w:tcPr>
          <w:p w14:paraId="23F092EC" w14:textId="77777777" w:rsidR="003B7739" w:rsidRPr="008F1996" w:rsidRDefault="003B7739" w:rsidP="003B7739">
            <w:pPr>
              <w:rPr>
                <w:rFonts w:ascii="Times New Roman" w:eastAsia="Times New Roman" w:hAnsi="Times New Roman" w:cs="Times New Roman"/>
                <w:b/>
                <w:bCs/>
              </w:rPr>
            </w:pPr>
            <w:r w:rsidRPr="008F1996">
              <w:rPr>
                <w:rFonts w:ascii="Times New Roman" w:eastAsia="Times New Roman" w:hAnsi="Times New Roman" w:cs="Times New Roman"/>
                <w:b/>
                <w:bCs/>
              </w:rPr>
              <w:t>Baseline Scenario (6.5% growth)</w:t>
            </w:r>
          </w:p>
        </w:tc>
        <w:tc>
          <w:tcPr>
            <w:tcW w:w="0" w:type="auto"/>
            <w:tcBorders>
              <w:bottom w:val="nil"/>
              <w:right w:val="nil"/>
            </w:tcBorders>
            <w:tcMar>
              <w:top w:w="150" w:type="dxa"/>
              <w:left w:w="150" w:type="dxa"/>
              <w:bottom w:w="150" w:type="dxa"/>
              <w:right w:w="150" w:type="dxa"/>
            </w:tcMar>
            <w:vAlign w:val="bottom"/>
            <w:hideMark/>
          </w:tcPr>
          <w:p w14:paraId="5F411FDB" w14:textId="77777777" w:rsidR="003B7739" w:rsidRPr="008F1996" w:rsidRDefault="003B7739" w:rsidP="003B7739">
            <w:pPr>
              <w:rPr>
                <w:rFonts w:ascii="Times New Roman" w:eastAsia="Times New Roman" w:hAnsi="Times New Roman" w:cs="Times New Roman"/>
                <w:b/>
                <w:bCs/>
              </w:rPr>
            </w:pPr>
            <w:r w:rsidRPr="008F1996">
              <w:rPr>
                <w:rFonts w:ascii="Times New Roman" w:eastAsia="Times New Roman" w:hAnsi="Times New Roman" w:cs="Times New Roman"/>
                <w:b/>
                <w:bCs/>
              </w:rPr>
              <w:t>Reforms Scenario (7.5% growth)</w:t>
            </w:r>
          </w:p>
        </w:tc>
        <w:tc>
          <w:tcPr>
            <w:tcW w:w="0" w:type="auto"/>
            <w:tcBorders>
              <w:bottom w:val="nil"/>
              <w:right w:val="nil"/>
            </w:tcBorders>
            <w:tcMar>
              <w:top w:w="150" w:type="dxa"/>
              <w:left w:w="150" w:type="dxa"/>
              <w:bottom w:w="150" w:type="dxa"/>
              <w:right w:w="150" w:type="dxa"/>
            </w:tcMar>
            <w:vAlign w:val="bottom"/>
            <w:hideMark/>
          </w:tcPr>
          <w:p w14:paraId="606FF045" w14:textId="77777777" w:rsidR="003B7739" w:rsidRPr="008F1996" w:rsidRDefault="003B7739" w:rsidP="003B7739">
            <w:pPr>
              <w:rPr>
                <w:rFonts w:ascii="Times New Roman" w:eastAsia="Times New Roman" w:hAnsi="Times New Roman" w:cs="Times New Roman"/>
                <w:b/>
                <w:bCs/>
              </w:rPr>
            </w:pPr>
            <w:r w:rsidRPr="008F1996">
              <w:rPr>
                <w:rFonts w:ascii="Times New Roman" w:eastAsia="Times New Roman" w:hAnsi="Times New Roman" w:cs="Times New Roman"/>
                <w:b/>
                <w:bCs/>
              </w:rPr>
              <w:t>NCAP Phase</w:t>
            </w:r>
          </w:p>
        </w:tc>
        <w:tc>
          <w:tcPr>
            <w:tcW w:w="0" w:type="auto"/>
            <w:tcBorders>
              <w:bottom w:val="nil"/>
              <w:right w:val="nil"/>
            </w:tcBorders>
            <w:tcMar>
              <w:top w:w="150" w:type="dxa"/>
              <w:left w:w="150" w:type="dxa"/>
              <w:bottom w:w="150" w:type="dxa"/>
              <w:right w:w="150" w:type="dxa"/>
            </w:tcMar>
            <w:vAlign w:val="bottom"/>
            <w:hideMark/>
          </w:tcPr>
          <w:p w14:paraId="41616D7E" w14:textId="77777777" w:rsidR="003B7739" w:rsidRPr="008F1996" w:rsidRDefault="003B7739" w:rsidP="003B7739">
            <w:pPr>
              <w:rPr>
                <w:rFonts w:ascii="Times New Roman" w:eastAsia="Times New Roman" w:hAnsi="Times New Roman" w:cs="Times New Roman"/>
                <w:b/>
                <w:bCs/>
              </w:rPr>
            </w:pPr>
            <w:r w:rsidRPr="008F1996">
              <w:rPr>
                <w:rFonts w:ascii="Times New Roman" w:eastAsia="Times New Roman" w:hAnsi="Times New Roman" w:cs="Times New Roman"/>
                <w:b/>
                <w:bCs/>
              </w:rPr>
              <w:t>Policy Intensity (% GDP)</w:t>
            </w:r>
          </w:p>
        </w:tc>
      </w:tr>
      <w:tr w:rsidR="003B7739" w:rsidRPr="008F1996" w14:paraId="221E3385" w14:textId="77777777" w:rsidTr="003B7739">
        <w:tc>
          <w:tcPr>
            <w:tcW w:w="0" w:type="auto"/>
            <w:tcBorders>
              <w:left w:val="nil"/>
              <w:bottom w:val="nil"/>
              <w:right w:val="nil"/>
            </w:tcBorders>
            <w:tcMar>
              <w:top w:w="150" w:type="dxa"/>
              <w:left w:w="150" w:type="dxa"/>
              <w:bottom w:w="150" w:type="dxa"/>
              <w:right w:w="150" w:type="dxa"/>
            </w:tcMar>
            <w:vAlign w:val="bottom"/>
            <w:hideMark/>
          </w:tcPr>
          <w:p w14:paraId="432268A9"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2025</w:t>
            </w:r>
          </w:p>
        </w:tc>
        <w:tc>
          <w:tcPr>
            <w:tcW w:w="0" w:type="auto"/>
            <w:tcBorders>
              <w:bottom w:val="nil"/>
              <w:right w:val="nil"/>
            </w:tcBorders>
            <w:tcMar>
              <w:top w:w="150" w:type="dxa"/>
              <w:left w:w="150" w:type="dxa"/>
              <w:bottom w:w="150" w:type="dxa"/>
              <w:right w:w="150" w:type="dxa"/>
            </w:tcMar>
            <w:vAlign w:val="bottom"/>
            <w:hideMark/>
          </w:tcPr>
          <w:p w14:paraId="1A160233"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$2,600</w:t>
            </w:r>
          </w:p>
        </w:tc>
        <w:tc>
          <w:tcPr>
            <w:tcW w:w="0" w:type="auto"/>
            <w:tcBorders>
              <w:bottom w:val="nil"/>
              <w:right w:val="nil"/>
            </w:tcBorders>
            <w:tcMar>
              <w:top w:w="150" w:type="dxa"/>
              <w:left w:w="150" w:type="dxa"/>
              <w:bottom w:w="150" w:type="dxa"/>
              <w:right w:w="150" w:type="dxa"/>
            </w:tcMar>
            <w:vAlign w:val="bottom"/>
            <w:hideMark/>
          </w:tcPr>
          <w:p w14:paraId="595F1A18"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$2,600</w:t>
            </w:r>
          </w:p>
        </w:tc>
        <w:tc>
          <w:tcPr>
            <w:tcW w:w="0" w:type="auto"/>
            <w:tcBorders>
              <w:bottom w:val="nil"/>
              <w:right w:val="nil"/>
            </w:tcBorders>
            <w:tcMar>
              <w:top w:w="150" w:type="dxa"/>
              <w:left w:w="150" w:type="dxa"/>
              <w:bottom w:w="150" w:type="dxa"/>
              <w:right w:w="150" w:type="dxa"/>
            </w:tcMar>
            <w:vAlign w:val="bottom"/>
            <w:hideMark/>
          </w:tcPr>
          <w:p w14:paraId="3078F412"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Phase I (2019–2024)</w:t>
            </w:r>
          </w:p>
        </w:tc>
        <w:tc>
          <w:tcPr>
            <w:tcW w:w="0" w:type="auto"/>
            <w:tcBorders>
              <w:bottom w:val="nil"/>
              <w:right w:val="nil"/>
            </w:tcBorders>
            <w:tcMar>
              <w:top w:w="150" w:type="dxa"/>
              <w:left w:w="150" w:type="dxa"/>
              <w:bottom w:w="150" w:type="dxa"/>
              <w:right w:w="150" w:type="dxa"/>
            </w:tcMar>
            <w:vAlign w:val="bottom"/>
            <w:hideMark/>
          </w:tcPr>
          <w:p w14:paraId="2B3818DA"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0.21%</w:t>
            </w:r>
          </w:p>
        </w:tc>
      </w:tr>
      <w:tr w:rsidR="003B7739" w:rsidRPr="008F1996" w14:paraId="599F04CE" w14:textId="77777777" w:rsidTr="003B7739">
        <w:tc>
          <w:tcPr>
            <w:tcW w:w="0" w:type="auto"/>
            <w:tcBorders>
              <w:left w:val="nil"/>
              <w:bottom w:val="nil"/>
              <w:right w:val="nil"/>
            </w:tcBorders>
            <w:tcMar>
              <w:top w:w="150" w:type="dxa"/>
              <w:left w:w="150" w:type="dxa"/>
              <w:bottom w:w="150" w:type="dxa"/>
              <w:right w:w="150" w:type="dxa"/>
            </w:tcMar>
            <w:vAlign w:val="bottom"/>
            <w:hideMark/>
          </w:tcPr>
          <w:p w14:paraId="7BAB445D"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2030</w:t>
            </w:r>
          </w:p>
        </w:tc>
        <w:tc>
          <w:tcPr>
            <w:tcW w:w="0" w:type="auto"/>
            <w:tcBorders>
              <w:bottom w:val="nil"/>
              <w:right w:val="nil"/>
            </w:tcBorders>
            <w:tcMar>
              <w:top w:w="150" w:type="dxa"/>
              <w:left w:w="150" w:type="dxa"/>
              <w:bottom w:w="150" w:type="dxa"/>
              <w:right w:w="150" w:type="dxa"/>
            </w:tcMar>
            <w:vAlign w:val="bottom"/>
            <w:hideMark/>
          </w:tcPr>
          <w:p w14:paraId="746A95D3"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$4,950</w:t>
            </w:r>
          </w:p>
        </w:tc>
        <w:tc>
          <w:tcPr>
            <w:tcW w:w="0" w:type="auto"/>
            <w:tcBorders>
              <w:bottom w:val="nil"/>
              <w:right w:val="nil"/>
            </w:tcBorders>
            <w:tcMar>
              <w:top w:w="150" w:type="dxa"/>
              <w:left w:w="150" w:type="dxa"/>
              <w:bottom w:w="150" w:type="dxa"/>
              <w:right w:w="150" w:type="dxa"/>
            </w:tcMar>
            <w:vAlign w:val="bottom"/>
            <w:hideMark/>
          </w:tcPr>
          <w:p w14:paraId="3802AB2D"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$5,200</w:t>
            </w:r>
          </w:p>
        </w:tc>
        <w:tc>
          <w:tcPr>
            <w:tcW w:w="0" w:type="auto"/>
            <w:tcBorders>
              <w:bottom w:val="nil"/>
              <w:right w:val="nil"/>
            </w:tcBorders>
            <w:tcMar>
              <w:top w:w="150" w:type="dxa"/>
              <w:left w:w="150" w:type="dxa"/>
              <w:bottom w:w="150" w:type="dxa"/>
              <w:right w:w="150" w:type="dxa"/>
            </w:tcMar>
            <w:vAlign w:val="bottom"/>
            <w:hideMark/>
          </w:tcPr>
          <w:p w14:paraId="596DAA00"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Phase II (2024–2029)</w:t>
            </w:r>
          </w:p>
        </w:tc>
        <w:tc>
          <w:tcPr>
            <w:tcW w:w="0" w:type="auto"/>
            <w:tcBorders>
              <w:bottom w:val="nil"/>
              <w:right w:val="nil"/>
            </w:tcBorders>
            <w:tcMar>
              <w:top w:w="150" w:type="dxa"/>
              <w:left w:w="150" w:type="dxa"/>
              <w:bottom w:w="150" w:type="dxa"/>
              <w:right w:w="150" w:type="dxa"/>
            </w:tcMar>
            <w:vAlign w:val="bottom"/>
            <w:hideMark/>
          </w:tcPr>
          <w:p w14:paraId="5F1F94DE"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0.35%*</w:t>
            </w:r>
          </w:p>
        </w:tc>
      </w:tr>
      <w:tr w:rsidR="003B7739" w:rsidRPr="008F1996" w14:paraId="7E6D7D31" w14:textId="77777777" w:rsidTr="003B7739">
        <w:tc>
          <w:tcPr>
            <w:tcW w:w="0" w:type="auto"/>
            <w:tcBorders>
              <w:left w:val="nil"/>
              <w:bottom w:val="nil"/>
              <w:right w:val="nil"/>
            </w:tcBorders>
            <w:tcMar>
              <w:top w:w="150" w:type="dxa"/>
              <w:left w:w="150" w:type="dxa"/>
              <w:bottom w:w="150" w:type="dxa"/>
              <w:right w:w="150" w:type="dxa"/>
            </w:tcMar>
            <w:vAlign w:val="bottom"/>
            <w:hideMark/>
          </w:tcPr>
          <w:p w14:paraId="44882BDA"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2035</w:t>
            </w:r>
          </w:p>
        </w:tc>
        <w:tc>
          <w:tcPr>
            <w:tcW w:w="0" w:type="auto"/>
            <w:tcBorders>
              <w:bottom w:val="nil"/>
              <w:right w:val="nil"/>
            </w:tcBorders>
            <w:tcMar>
              <w:top w:w="150" w:type="dxa"/>
              <w:left w:w="150" w:type="dxa"/>
              <w:bottom w:w="150" w:type="dxa"/>
              <w:right w:w="150" w:type="dxa"/>
            </w:tcMar>
            <w:vAlign w:val="bottom"/>
            <w:hideMark/>
          </w:tcPr>
          <w:p w14:paraId="37071BF1"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$7,100</w:t>
            </w:r>
          </w:p>
        </w:tc>
        <w:tc>
          <w:tcPr>
            <w:tcW w:w="0" w:type="auto"/>
            <w:tcBorders>
              <w:bottom w:val="nil"/>
              <w:right w:val="nil"/>
            </w:tcBorders>
            <w:tcMar>
              <w:top w:w="150" w:type="dxa"/>
              <w:left w:w="150" w:type="dxa"/>
              <w:bottom w:w="150" w:type="dxa"/>
              <w:right w:w="150" w:type="dxa"/>
            </w:tcMar>
            <w:vAlign w:val="bottom"/>
            <w:hideMark/>
          </w:tcPr>
          <w:p w14:paraId="26C7CCE9"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$8,100</w:t>
            </w:r>
          </w:p>
        </w:tc>
        <w:tc>
          <w:tcPr>
            <w:tcW w:w="0" w:type="auto"/>
            <w:tcBorders>
              <w:bottom w:val="nil"/>
              <w:right w:val="nil"/>
            </w:tcBorders>
            <w:tcMar>
              <w:top w:w="150" w:type="dxa"/>
              <w:left w:w="150" w:type="dxa"/>
              <w:bottom w:w="150" w:type="dxa"/>
              <w:right w:w="150" w:type="dxa"/>
            </w:tcMar>
            <w:vAlign w:val="bottom"/>
            <w:hideMark/>
          </w:tcPr>
          <w:p w14:paraId="5A0CD0BF"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Phase III (2030–2039)</w:t>
            </w:r>
          </w:p>
        </w:tc>
        <w:tc>
          <w:tcPr>
            <w:tcW w:w="0" w:type="auto"/>
            <w:tcBorders>
              <w:bottom w:val="nil"/>
              <w:right w:val="nil"/>
            </w:tcBorders>
            <w:tcMar>
              <w:top w:w="150" w:type="dxa"/>
              <w:left w:w="150" w:type="dxa"/>
              <w:bottom w:w="150" w:type="dxa"/>
              <w:right w:w="150" w:type="dxa"/>
            </w:tcMar>
            <w:vAlign w:val="bottom"/>
            <w:hideMark/>
          </w:tcPr>
          <w:p w14:paraId="38B121E1"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0.60%*</w:t>
            </w:r>
          </w:p>
        </w:tc>
      </w:tr>
      <w:tr w:rsidR="003B7739" w:rsidRPr="008F1996" w14:paraId="0DB5BF9B" w14:textId="77777777" w:rsidTr="003B7739">
        <w:tc>
          <w:tcPr>
            <w:tcW w:w="0" w:type="auto"/>
            <w:tcBorders>
              <w:left w:val="nil"/>
              <w:bottom w:val="nil"/>
              <w:right w:val="nil"/>
            </w:tcBorders>
            <w:tcMar>
              <w:top w:w="150" w:type="dxa"/>
              <w:left w:w="150" w:type="dxa"/>
              <w:bottom w:w="150" w:type="dxa"/>
              <w:right w:w="150" w:type="dxa"/>
            </w:tcMar>
            <w:vAlign w:val="bottom"/>
            <w:hideMark/>
          </w:tcPr>
          <w:p w14:paraId="4968B371"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2040</w:t>
            </w:r>
          </w:p>
        </w:tc>
        <w:tc>
          <w:tcPr>
            <w:tcW w:w="0" w:type="auto"/>
            <w:tcBorders>
              <w:bottom w:val="nil"/>
              <w:right w:val="nil"/>
            </w:tcBorders>
            <w:tcMar>
              <w:top w:w="150" w:type="dxa"/>
              <w:left w:w="150" w:type="dxa"/>
              <w:bottom w:w="150" w:type="dxa"/>
              <w:right w:w="150" w:type="dxa"/>
            </w:tcMar>
            <w:vAlign w:val="bottom"/>
            <w:hideMark/>
          </w:tcPr>
          <w:p w14:paraId="50B8CC98"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$9,500</w:t>
            </w:r>
          </w:p>
        </w:tc>
        <w:tc>
          <w:tcPr>
            <w:tcW w:w="0" w:type="auto"/>
            <w:tcBorders>
              <w:bottom w:val="nil"/>
              <w:right w:val="nil"/>
            </w:tcBorders>
            <w:tcMar>
              <w:top w:w="150" w:type="dxa"/>
              <w:left w:w="150" w:type="dxa"/>
              <w:bottom w:w="150" w:type="dxa"/>
              <w:right w:w="150" w:type="dxa"/>
            </w:tcMar>
            <w:vAlign w:val="bottom"/>
            <w:hideMark/>
          </w:tcPr>
          <w:p w14:paraId="5C8DB530"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$13,200</w:t>
            </w:r>
          </w:p>
        </w:tc>
        <w:tc>
          <w:tcPr>
            <w:tcW w:w="0" w:type="auto"/>
            <w:tcBorders>
              <w:bottom w:val="nil"/>
              <w:right w:val="nil"/>
            </w:tcBorders>
            <w:tcMar>
              <w:top w:w="150" w:type="dxa"/>
              <w:left w:w="150" w:type="dxa"/>
              <w:bottom w:w="150" w:type="dxa"/>
              <w:right w:w="150" w:type="dxa"/>
            </w:tcMar>
            <w:vAlign w:val="bottom"/>
            <w:hideMark/>
          </w:tcPr>
          <w:p w14:paraId="436CE7B3"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Continuation</w:t>
            </w:r>
          </w:p>
        </w:tc>
        <w:tc>
          <w:tcPr>
            <w:tcW w:w="0" w:type="auto"/>
            <w:tcBorders>
              <w:bottom w:val="nil"/>
              <w:right w:val="nil"/>
            </w:tcBorders>
            <w:tcMar>
              <w:top w:w="150" w:type="dxa"/>
              <w:left w:w="150" w:type="dxa"/>
              <w:bottom w:w="150" w:type="dxa"/>
              <w:right w:w="150" w:type="dxa"/>
            </w:tcMar>
            <w:vAlign w:val="bottom"/>
            <w:hideMark/>
          </w:tcPr>
          <w:p w14:paraId="4401A222"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1.00%*</w:t>
            </w:r>
          </w:p>
        </w:tc>
      </w:tr>
      <w:tr w:rsidR="003B7739" w:rsidRPr="008F1996" w14:paraId="1452AF16" w14:textId="77777777" w:rsidTr="003B7739">
        <w:tc>
          <w:tcPr>
            <w:tcW w:w="0" w:type="auto"/>
            <w:tcBorders>
              <w:left w:val="nil"/>
              <w:bottom w:val="nil"/>
              <w:right w:val="nil"/>
            </w:tcBorders>
            <w:tcMar>
              <w:top w:w="150" w:type="dxa"/>
              <w:left w:w="150" w:type="dxa"/>
              <w:bottom w:w="150" w:type="dxa"/>
              <w:right w:w="150" w:type="dxa"/>
            </w:tcMar>
            <w:vAlign w:val="bottom"/>
            <w:hideMark/>
          </w:tcPr>
          <w:p w14:paraId="10845B34"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2045</w:t>
            </w:r>
          </w:p>
        </w:tc>
        <w:tc>
          <w:tcPr>
            <w:tcW w:w="0" w:type="auto"/>
            <w:tcBorders>
              <w:bottom w:val="nil"/>
              <w:right w:val="nil"/>
            </w:tcBorders>
            <w:tcMar>
              <w:top w:w="150" w:type="dxa"/>
              <w:left w:w="150" w:type="dxa"/>
              <w:bottom w:w="150" w:type="dxa"/>
              <w:right w:w="150" w:type="dxa"/>
            </w:tcMar>
            <w:vAlign w:val="bottom"/>
            <w:hideMark/>
          </w:tcPr>
          <w:p w14:paraId="40AB8EB7"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$12,400</w:t>
            </w:r>
          </w:p>
        </w:tc>
        <w:tc>
          <w:tcPr>
            <w:tcW w:w="0" w:type="auto"/>
            <w:tcBorders>
              <w:bottom w:val="nil"/>
              <w:right w:val="nil"/>
            </w:tcBorders>
            <w:tcMar>
              <w:top w:w="150" w:type="dxa"/>
              <w:left w:w="150" w:type="dxa"/>
              <w:bottom w:w="150" w:type="dxa"/>
              <w:right w:w="150" w:type="dxa"/>
            </w:tcMar>
            <w:vAlign w:val="bottom"/>
            <w:hideMark/>
          </w:tcPr>
          <w:p w14:paraId="108EDE7F"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$16,800</w:t>
            </w:r>
          </w:p>
        </w:tc>
        <w:tc>
          <w:tcPr>
            <w:tcW w:w="0" w:type="auto"/>
            <w:tcBorders>
              <w:bottom w:val="nil"/>
              <w:right w:val="nil"/>
            </w:tcBorders>
            <w:tcMar>
              <w:top w:w="150" w:type="dxa"/>
              <w:left w:w="150" w:type="dxa"/>
              <w:bottom w:w="150" w:type="dxa"/>
              <w:right w:w="150" w:type="dxa"/>
            </w:tcMar>
            <w:vAlign w:val="bottom"/>
            <w:hideMark/>
          </w:tcPr>
          <w:p w14:paraId="53FA63B6"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Consolidation</w:t>
            </w:r>
          </w:p>
        </w:tc>
        <w:tc>
          <w:tcPr>
            <w:tcW w:w="0" w:type="auto"/>
            <w:tcBorders>
              <w:bottom w:val="nil"/>
              <w:right w:val="nil"/>
            </w:tcBorders>
            <w:tcMar>
              <w:top w:w="150" w:type="dxa"/>
              <w:left w:w="150" w:type="dxa"/>
              <w:bottom w:w="150" w:type="dxa"/>
              <w:right w:w="150" w:type="dxa"/>
            </w:tcMar>
            <w:vAlign w:val="bottom"/>
            <w:hideMark/>
          </w:tcPr>
          <w:p w14:paraId="47D01216"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1.20%*</w:t>
            </w:r>
          </w:p>
        </w:tc>
      </w:tr>
    </w:tbl>
    <w:p w14:paraId="43139158"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i/>
          <w:iCs/>
          <w:bdr w:val="none" w:sz="0" w:space="0" w:color="auto" w:frame="1"/>
        </w:rPr>
        <w:t>Projected based on China’s spending pattern. Sources: IMF (2024), India Ministry of Finance (2024), PIB (2024).</w:t>
      </w:r>
    </w:p>
    <w:p w14:paraId="60BBB934" w14:textId="11AA2121"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Critical Finding:</w:t>
      </w:r>
      <w:r w:rsidRPr="008F1996">
        <w:rPr>
          <w:rFonts w:ascii="Times New Roman" w:eastAsia="Times New Roman" w:hAnsi="Times New Roman" w:cs="Times New Roman"/>
        </w:rPr>
        <w:t xml:space="preserve"> India reaches China's 2013 income level ($7,800) by </w:t>
      </w:r>
      <w:r w:rsidRPr="008F1996">
        <w:rPr>
          <w:rFonts w:ascii="Times New Roman" w:eastAsia="Times New Roman" w:hAnsi="Times New Roman" w:cs="Times New Roman"/>
          <w:b/>
          <w:bCs/>
          <w:bdr w:val="none" w:sz="0" w:space="0" w:color="auto" w:frame="1"/>
        </w:rPr>
        <w:t>2037 under reforms scenario</w:t>
      </w:r>
      <w:r w:rsidRPr="008F1996">
        <w:rPr>
          <w:rFonts w:ascii="Times New Roman" w:eastAsia="Times New Roman" w:hAnsi="Times New Roman" w:cs="Times New Roman"/>
        </w:rPr>
        <w:t xml:space="preserve"> and </w:t>
      </w:r>
      <w:r w:rsidRPr="008F1996">
        <w:rPr>
          <w:rFonts w:ascii="Times New Roman" w:eastAsia="Times New Roman" w:hAnsi="Times New Roman" w:cs="Times New Roman"/>
          <w:b/>
          <w:bCs/>
          <w:bdr w:val="none" w:sz="0" w:space="0" w:color="auto" w:frame="1"/>
        </w:rPr>
        <w:t>2044 under baseline</w:t>
      </w:r>
      <w:r w:rsidRPr="008F1996">
        <w:rPr>
          <w:rFonts w:ascii="Times New Roman" w:eastAsia="Times New Roman" w:hAnsi="Times New Roman" w:cs="Times New Roman"/>
        </w:rPr>
        <w:t xml:space="preserve">. However, China's pollution reversal required </w:t>
      </w:r>
      <w:r w:rsidRPr="008F1996">
        <w:rPr>
          <w:rFonts w:ascii="Times New Roman" w:eastAsia="Times New Roman" w:hAnsi="Times New Roman" w:cs="Times New Roman"/>
          <w:b/>
          <w:bCs/>
          <w:bdr w:val="none" w:sz="0" w:space="0" w:color="auto" w:frame="1"/>
        </w:rPr>
        <w:t>0.5–1.5% of GDP</w:t>
      </w:r>
      <w:r w:rsidRPr="008F1996">
        <w:rPr>
          <w:rFonts w:ascii="Times New Roman" w:eastAsia="Times New Roman" w:hAnsi="Times New Roman" w:cs="Times New Roman"/>
        </w:rPr>
        <w:t xml:space="preserve"> in annual environmental expenditure—a commitment India has not yet demonstrated.</w:t>
      </w:r>
    </w:p>
    <w:p w14:paraId="46C5B964" w14:textId="77777777" w:rsidR="003B7739" w:rsidRPr="008F1996" w:rsidRDefault="003B7739" w:rsidP="003B7739">
      <w:pPr>
        <w:textAlignment w:val="baseline"/>
        <w:rPr>
          <w:rFonts w:ascii="Times New Roman" w:eastAsia="Times New Roman" w:hAnsi="Times New Roman" w:cs="Times New Roman"/>
        </w:rPr>
      </w:pPr>
    </w:p>
    <w:p w14:paraId="1CBCF0BC"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4.3 Conditional EKC: Policy Stringency Impact</w:t>
      </w:r>
    </w:p>
    <w:p w14:paraId="176C24E8"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 xml:space="preserve">Regression results reveal the EKC turning point is </w:t>
      </w:r>
      <w:r w:rsidRPr="008F1996">
        <w:rPr>
          <w:rFonts w:ascii="Times New Roman" w:eastAsia="Times New Roman" w:hAnsi="Times New Roman" w:cs="Times New Roman"/>
          <w:b/>
          <w:bCs/>
          <w:bdr w:val="none" w:sz="0" w:space="0" w:color="auto" w:frame="1"/>
        </w:rPr>
        <w:t>income-inelastic without policy activation</w:t>
      </w:r>
      <w:r w:rsidRPr="008F1996">
        <w:rPr>
          <w:rFonts w:ascii="Times New Roman" w:eastAsia="Times New Roman" w:hAnsi="Times New Roman" w:cs="Times New Roman"/>
        </w:rPr>
        <w:t xml:space="preserve">. For countries with policy stringency index ≥6, the turning point occurs at </w:t>
      </w:r>
      <w:r w:rsidRPr="008F1996">
        <w:rPr>
          <w:rFonts w:ascii="Times New Roman" w:eastAsia="Times New Roman" w:hAnsi="Times New Roman" w:cs="Times New Roman"/>
          <w:b/>
          <w:bCs/>
          <w:bdr w:val="none" w:sz="0" w:space="0" w:color="auto" w:frame="1"/>
        </w:rPr>
        <w:t>$7,200 PPP</w:t>
      </w:r>
      <w:r w:rsidRPr="008F1996">
        <w:rPr>
          <w:rFonts w:ascii="Times New Roman" w:eastAsia="Times New Roman" w:hAnsi="Times New Roman" w:cs="Times New Roman"/>
        </w:rPr>
        <w:t xml:space="preserve"> (95% CI: $6,100–$8,300). For low-policy countries, the curve remains upward-sloping even beyond $15,000 PPP.</w:t>
      </w:r>
    </w:p>
    <w:p w14:paraId="2AD08C22"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Figure 1: Conditional EKC for PM2.5 by Policy Regime</w:t>
      </w:r>
      <w:r w:rsidRPr="008F1996">
        <w:rPr>
          <w:rFonts w:ascii="Times New Roman" w:eastAsia="Times New Roman" w:hAnsi="Times New Roman" w:cs="Times New Roman"/>
        </w:rPr>
        <w:br/>
      </w:r>
      <w:r w:rsidRPr="008F1996">
        <w:rPr>
          <w:rFonts w:ascii="Times New Roman" w:eastAsia="Times New Roman" w:hAnsi="Times New Roman" w:cs="Times New Roman"/>
          <w:i/>
          <w:iCs/>
          <w:bdr w:val="none" w:sz="0" w:space="0" w:color="auto" w:frame="1"/>
        </w:rPr>
        <w:t>(Descriptive visualization: Two inverted-U curves—one peaking at $7,200 (high policy), another plateauing at $15,000+ (low policy))</w:t>
      </w:r>
    </w:p>
    <w:p w14:paraId="1D9CC281" w14:textId="77777777" w:rsidR="003B7739" w:rsidRPr="008F1996" w:rsidRDefault="00635C6E" w:rsidP="003B7739">
      <w:pPr>
        <w:spacing w:after="240"/>
        <w:rPr>
          <w:rFonts w:ascii="Times New Roman" w:eastAsia="Times New Roman" w:hAnsi="Times New Roman" w:cs="Times New Roman"/>
        </w:rPr>
      </w:pPr>
      <w:r>
        <w:rPr>
          <w:rFonts w:ascii="Times New Roman" w:eastAsia="Times New Roman" w:hAnsi="Times New Roman" w:cs="Times New Roman"/>
          <w:noProof/>
        </w:rPr>
        <w:pict w14:anchorId="72CB2F29">
          <v:rect id="_x0000_i1033" alt="" style="width:468pt;height:.05pt;mso-width-percent:0;mso-height-percent:0;mso-width-percent:0;mso-height-percent:0" o:hralign="center" o:hrstd="t" o:hr="t" fillcolor="#a0a0a0" stroked="f"/>
        </w:pict>
      </w:r>
    </w:p>
    <w:p w14:paraId="21DE93A6" w14:textId="2A661955" w:rsidR="003B7739" w:rsidRPr="008F1996" w:rsidRDefault="003B7739" w:rsidP="003B7739">
      <w:pPr>
        <w:textAlignment w:val="baseline"/>
        <w:rPr>
          <w:rFonts w:ascii="Times New Roman" w:eastAsia="Times New Roman" w:hAnsi="Times New Roman" w:cs="Times New Roman"/>
          <w:b/>
          <w:bCs/>
          <w:bdr w:val="none" w:sz="0" w:space="0" w:color="auto" w:frame="1"/>
        </w:rPr>
      </w:pPr>
      <w:r w:rsidRPr="008F1996">
        <w:rPr>
          <w:rFonts w:ascii="Times New Roman" w:eastAsia="Times New Roman" w:hAnsi="Times New Roman" w:cs="Times New Roman"/>
          <w:b/>
          <w:bCs/>
          <w:bdr w:val="none" w:sz="0" w:space="0" w:color="auto" w:frame="1"/>
        </w:rPr>
        <w:t>5. DISCUSSION</w:t>
      </w:r>
    </w:p>
    <w:p w14:paraId="29E689DA" w14:textId="77777777" w:rsidR="003B7739" w:rsidRPr="008F1996" w:rsidRDefault="003B7739" w:rsidP="003B7739">
      <w:pPr>
        <w:textAlignment w:val="baseline"/>
        <w:rPr>
          <w:rFonts w:ascii="Times New Roman" w:eastAsia="Times New Roman" w:hAnsi="Times New Roman" w:cs="Times New Roman"/>
        </w:rPr>
      </w:pPr>
    </w:p>
    <w:p w14:paraId="72D31766"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5.1 The "Policy-First" Imperative</w:t>
      </w:r>
    </w:p>
    <w:p w14:paraId="2735AAED" w14:textId="46DA0783"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 xml:space="preserve">Our findings corroborate Stern (2017) and Bandyopadhyay (2023): </w:t>
      </w:r>
      <w:r w:rsidRPr="008F1996">
        <w:rPr>
          <w:rFonts w:ascii="Times New Roman" w:eastAsia="Times New Roman" w:hAnsi="Times New Roman" w:cs="Times New Roman"/>
          <w:b/>
          <w:bCs/>
          <w:bdr w:val="none" w:sz="0" w:space="0" w:color="auto" w:frame="1"/>
        </w:rPr>
        <w:t>income thresholds are necessary but not sufficient</w:t>
      </w:r>
      <w:r w:rsidRPr="008F1996">
        <w:rPr>
          <w:rFonts w:ascii="Times New Roman" w:eastAsia="Times New Roman" w:hAnsi="Times New Roman" w:cs="Times New Roman"/>
        </w:rPr>
        <w:t xml:space="preserve">. China's experience demonstrates that policy activation precedes environmental-economic decoupling. India's NCAP allocates </w:t>
      </w:r>
      <w:r w:rsidRPr="008F1996">
        <w:rPr>
          <w:rFonts w:ascii="Times New Roman" w:eastAsia="Times New Roman" w:hAnsi="Times New Roman" w:cs="Times New Roman"/>
          <w:b/>
          <w:bCs/>
          <w:bdr w:val="none" w:sz="0" w:space="0" w:color="auto" w:frame="1"/>
        </w:rPr>
        <w:t>$1.7 billion</w:t>
      </w:r>
      <w:r w:rsidRPr="008F1996">
        <w:rPr>
          <w:rFonts w:ascii="Times New Roman" w:eastAsia="Times New Roman" w:hAnsi="Times New Roman" w:cs="Times New Roman"/>
        </w:rPr>
        <w:t xml:space="preserve"> —merely </w:t>
      </w:r>
      <w:r w:rsidRPr="008F1996">
        <w:rPr>
          <w:rFonts w:ascii="Times New Roman" w:eastAsia="Times New Roman" w:hAnsi="Times New Roman" w:cs="Times New Roman"/>
          <w:b/>
          <w:bCs/>
          <w:bdr w:val="none" w:sz="0" w:space="0" w:color="auto" w:frame="1"/>
        </w:rPr>
        <w:t xml:space="preserve">0.06% of </w:t>
      </w:r>
      <w:r w:rsidRPr="008F1996">
        <w:rPr>
          <w:rFonts w:ascii="Times New Roman" w:eastAsia="Times New Roman" w:hAnsi="Times New Roman" w:cs="Times New Roman"/>
          <w:b/>
          <w:bCs/>
          <w:bdr w:val="none" w:sz="0" w:space="0" w:color="auto" w:frame="1"/>
        </w:rPr>
        <w:lastRenderedPageBreak/>
        <w:t>GDP</w:t>
      </w:r>
      <w:r w:rsidRPr="008F1996">
        <w:rPr>
          <w:rFonts w:ascii="Times New Roman" w:eastAsia="Times New Roman" w:hAnsi="Times New Roman" w:cs="Times New Roman"/>
        </w:rPr>
        <w:t xml:space="preserve"> —against China's </w:t>
      </w:r>
      <w:r w:rsidRPr="008F1996">
        <w:rPr>
          <w:rFonts w:ascii="Times New Roman" w:eastAsia="Times New Roman" w:hAnsi="Times New Roman" w:cs="Times New Roman"/>
          <w:b/>
          <w:bCs/>
          <w:bdr w:val="none" w:sz="0" w:space="0" w:color="auto" w:frame="1"/>
        </w:rPr>
        <w:t>1.5</w:t>
      </w:r>
      <w:proofErr w:type="gramStart"/>
      <w:r w:rsidRPr="008F1996">
        <w:rPr>
          <w:rFonts w:ascii="Times New Roman" w:eastAsia="Times New Roman" w:hAnsi="Times New Roman" w:cs="Times New Roman"/>
          <w:b/>
          <w:bCs/>
          <w:bdr w:val="none" w:sz="0" w:space="0" w:color="auto" w:frame="1"/>
        </w:rPr>
        <w:t>%</w:t>
      </w:r>
      <w:r w:rsidRPr="008F1996">
        <w:rPr>
          <w:rFonts w:ascii="Times New Roman" w:eastAsia="Times New Roman" w:hAnsi="Times New Roman" w:cs="Times New Roman"/>
        </w:rPr>
        <w:t xml:space="preserve"> .</w:t>
      </w:r>
      <w:proofErr w:type="gramEnd"/>
      <w:r w:rsidRPr="008F1996">
        <w:rPr>
          <w:rFonts w:ascii="Times New Roman" w:eastAsia="Times New Roman" w:hAnsi="Times New Roman" w:cs="Times New Roman"/>
        </w:rPr>
        <w:t xml:space="preserve"> This </w:t>
      </w:r>
      <w:r w:rsidRPr="008F1996">
        <w:rPr>
          <w:rFonts w:ascii="Times New Roman" w:eastAsia="Times New Roman" w:hAnsi="Times New Roman" w:cs="Times New Roman"/>
          <w:b/>
          <w:bCs/>
          <w:bdr w:val="none" w:sz="0" w:space="0" w:color="auto" w:frame="1"/>
        </w:rPr>
        <w:t>25-fold gap</w:t>
      </w:r>
      <w:r w:rsidRPr="008F1996">
        <w:rPr>
          <w:rFonts w:ascii="Times New Roman" w:eastAsia="Times New Roman" w:hAnsi="Times New Roman" w:cs="Times New Roman"/>
        </w:rPr>
        <w:t xml:space="preserve"> suggests India's turning point will be delayed by </w:t>
      </w:r>
      <w:r w:rsidRPr="008F1996">
        <w:rPr>
          <w:rFonts w:ascii="Times New Roman" w:eastAsia="Times New Roman" w:hAnsi="Times New Roman" w:cs="Times New Roman"/>
          <w:b/>
          <w:bCs/>
          <w:bdr w:val="none" w:sz="0" w:space="0" w:color="auto" w:frame="1"/>
        </w:rPr>
        <w:t>8–12 years</w:t>
      </w:r>
      <w:r w:rsidRPr="008F1996">
        <w:rPr>
          <w:rFonts w:ascii="Times New Roman" w:eastAsia="Times New Roman" w:hAnsi="Times New Roman" w:cs="Times New Roman"/>
        </w:rPr>
        <w:t xml:space="preserve"> even after reaching requisite income levels.</w:t>
      </w:r>
    </w:p>
    <w:p w14:paraId="355F084E" w14:textId="77777777" w:rsidR="003B7739" w:rsidRPr="008F1996" w:rsidRDefault="003B7739" w:rsidP="003B7739">
      <w:pPr>
        <w:textAlignment w:val="baseline"/>
        <w:rPr>
          <w:rFonts w:ascii="Times New Roman" w:eastAsia="Times New Roman" w:hAnsi="Times New Roman" w:cs="Times New Roman"/>
        </w:rPr>
      </w:pPr>
    </w:p>
    <w:p w14:paraId="50EB1E23"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5.2 Structural Asymmetries: India vs. China</w:t>
      </w:r>
    </w:p>
    <w:p w14:paraId="66F00EF6"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India's pollution profile differs fundamentally (Table 3):</w:t>
      </w:r>
    </w:p>
    <w:p w14:paraId="227AE2F0"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Table 3: Pollution Source Composition at Comparable Income Levels</w:t>
      </w:r>
    </w:p>
    <w:p w14:paraId="5F60D66B" w14:textId="77777777" w:rsidR="003B7739" w:rsidRPr="008F1996" w:rsidRDefault="003B7739" w:rsidP="003B7739">
      <w:pPr>
        <w:textAlignment w:val="baseline"/>
        <w:rPr>
          <w:rFonts w:ascii="Times New Roman" w:eastAsia="Times New Roman" w:hAnsi="Times New Roman" w:cs="Times New Roman"/>
          <w:spacing w:val="8"/>
          <w:sz w:val="21"/>
          <w:szCs w:val="21"/>
        </w:rPr>
      </w:pPr>
      <w:r w:rsidRPr="008F1996">
        <w:rPr>
          <w:rFonts w:ascii="Times New Roman" w:eastAsia="Times New Roman" w:hAnsi="Times New Roman" w:cs="Times New Roman"/>
          <w:b/>
          <w:bCs/>
          <w:spacing w:val="8"/>
          <w:sz w:val="21"/>
          <w:szCs w:val="21"/>
          <w:bdr w:val="none" w:sz="0" w:space="0" w:color="auto" w:frame="1"/>
        </w:rPr>
        <w:t>Table</w:t>
      </w:r>
    </w:p>
    <w:p w14:paraId="210EC0C8" w14:textId="77777777" w:rsidR="003B7739" w:rsidRPr="008F1996" w:rsidRDefault="003B7739" w:rsidP="003B7739">
      <w:pPr>
        <w:textAlignment w:val="baseline"/>
        <w:rPr>
          <w:rFonts w:ascii="Times New Roman" w:eastAsia="Times New Roman" w:hAnsi="Times New Roman" w:cs="Times New Roman"/>
          <w:spacing w:val="8"/>
          <w:sz w:val="21"/>
          <w:szCs w:val="21"/>
        </w:rPr>
      </w:pPr>
      <w:r w:rsidRPr="008F1996">
        <w:rPr>
          <w:rFonts w:ascii="Times New Roman" w:eastAsia="Times New Roman" w:hAnsi="Times New Roman" w:cs="Times New Roman"/>
          <w:spacing w:val="8"/>
          <w:sz w:val="21"/>
          <w:szCs w:val="21"/>
          <w:bdr w:val="none" w:sz="0" w:space="0" w:color="auto" w:frame="1"/>
        </w:rPr>
        <w:t>Copy</w:t>
      </w:r>
    </w:p>
    <w:tbl>
      <w:tblPr>
        <w:tblW w:w="0" w:type="auto"/>
        <w:tblCellMar>
          <w:left w:w="0" w:type="dxa"/>
          <w:right w:w="0" w:type="dxa"/>
        </w:tblCellMar>
        <w:tblLook w:val="04A0" w:firstRow="1" w:lastRow="0" w:firstColumn="1" w:lastColumn="0" w:noHBand="0" w:noVBand="1"/>
      </w:tblPr>
      <w:tblGrid>
        <w:gridCol w:w="2514"/>
        <w:gridCol w:w="2527"/>
        <w:gridCol w:w="2607"/>
      </w:tblGrid>
      <w:tr w:rsidR="003B7739" w:rsidRPr="008F1996" w14:paraId="1696CF37" w14:textId="77777777" w:rsidTr="003B7739">
        <w:trPr>
          <w:tblHeader/>
        </w:trPr>
        <w:tc>
          <w:tcPr>
            <w:tcW w:w="0" w:type="auto"/>
            <w:tcBorders>
              <w:left w:val="nil"/>
              <w:bottom w:val="nil"/>
              <w:right w:val="nil"/>
            </w:tcBorders>
            <w:tcMar>
              <w:top w:w="150" w:type="dxa"/>
              <w:left w:w="150" w:type="dxa"/>
              <w:bottom w:w="150" w:type="dxa"/>
              <w:right w:w="150" w:type="dxa"/>
            </w:tcMar>
            <w:vAlign w:val="bottom"/>
            <w:hideMark/>
          </w:tcPr>
          <w:p w14:paraId="4E068070" w14:textId="77777777" w:rsidR="003B7739" w:rsidRPr="008F1996" w:rsidRDefault="003B7739" w:rsidP="003B7739">
            <w:pPr>
              <w:rPr>
                <w:rFonts w:ascii="Times New Roman" w:eastAsia="Times New Roman" w:hAnsi="Times New Roman" w:cs="Times New Roman"/>
                <w:b/>
                <w:bCs/>
              </w:rPr>
            </w:pPr>
            <w:r w:rsidRPr="008F1996">
              <w:rPr>
                <w:rFonts w:ascii="Times New Roman" w:eastAsia="Times New Roman" w:hAnsi="Times New Roman" w:cs="Times New Roman"/>
                <w:b/>
                <w:bCs/>
              </w:rPr>
              <w:t>Source</w:t>
            </w:r>
          </w:p>
        </w:tc>
        <w:tc>
          <w:tcPr>
            <w:tcW w:w="0" w:type="auto"/>
            <w:tcBorders>
              <w:bottom w:val="nil"/>
              <w:right w:val="nil"/>
            </w:tcBorders>
            <w:tcMar>
              <w:top w:w="150" w:type="dxa"/>
              <w:left w:w="150" w:type="dxa"/>
              <w:bottom w:w="150" w:type="dxa"/>
              <w:right w:w="150" w:type="dxa"/>
            </w:tcMar>
            <w:vAlign w:val="bottom"/>
            <w:hideMark/>
          </w:tcPr>
          <w:p w14:paraId="6A7A22F9" w14:textId="77777777" w:rsidR="003B7739" w:rsidRPr="008F1996" w:rsidRDefault="003B7739" w:rsidP="003B7739">
            <w:pPr>
              <w:rPr>
                <w:rFonts w:ascii="Times New Roman" w:eastAsia="Times New Roman" w:hAnsi="Times New Roman" w:cs="Times New Roman"/>
                <w:b/>
                <w:bCs/>
              </w:rPr>
            </w:pPr>
            <w:r w:rsidRPr="008F1996">
              <w:rPr>
                <w:rFonts w:ascii="Times New Roman" w:eastAsia="Times New Roman" w:hAnsi="Times New Roman" w:cs="Times New Roman"/>
                <w:b/>
                <w:bCs/>
              </w:rPr>
              <w:t>India (2024) at $2,600</w:t>
            </w:r>
          </w:p>
        </w:tc>
        <w:tc>
          <w:tcPr>
            <w:tcW w:w="0" w:type="auto"/>
            <w:tcBorders>
              <w:bottom w:val="nil"/>
              <w:right w:val="nil"/>
            </w:tcBorders>
            <w:tcMar>
              <w:top w:w="150" w:type="dxa"/>
              <w:left w:w="150" w:type="dxa"/>
              <w:bottom w:w="150" w:type="dxa"/>
              <w:right w:w="150" w:type="dxa"/>
            </w:tcMar>
            <w:vAlign w:val="bottom"/>
            <w:hideMark/>
          </w:tcPr>
          <w:p w14:paraId="6A9CA5F0" w14:textId="77777777" w:rsidR="003B7739" w:rsidRPr="008F1996" w:rsidRDefault="003B7739" w:rsidP="003B7739">
            <w:pPr>
              <w:rPr>
                <w:rFonts w:ascii="Times New Roman" w:eastAsia="Times New Roman" w:hAnsi="Times New Roman" w:cs="Times New Roman"/>
                <w:b/>
                <w:bCs/>
              </w:rPr>
            </w:pPr>
            <w:r w:rsidRPr="008F1996">
              <w:rPr>
                <w:rFonts w:ascii="Times New Roman" w:eastAsia="Times New Roman" w:hAnsi="Times New Roman" w:cs="Times New Roman"/>
                <w:b/>
                <w:bCs/>
              </w:rPr>
              <w:t>China (2005) at $7,800</w:t>
            </w:r>
          </w:p>
        </w:tc>
      </w:tr>
      <w:tr w:rsidR="003B7739" w:rsidRPr="008F1996" w14:paraId="346D985B" w14:textId="77777777" w:rsidTr="003B7739">
        <w:tc>
          <w:tcPr>
            <w:tcW w:w="0" w:type="auto"/>
            <w:tcBorders>
              <w:left w:val="nil"/>
              <w:bottom w:val="nil"/>
              <w:right w:val="nil"/>
            </w:tcBorders>
            <w:tcMar>
              <w:top w:w="150" w:type="dxa"/>
              <w:left w:w="150" w:type="dxa"/>
              <w:bottom w:w="150" w:type="dxa"/>
              <w:right w:w="150" w:type="dxa"/>
            </w:tcMar>
            <w:vAlign w:val="bottom"/>
            <w:hideMark/>
          </w:tcPr>
          <w:p w14:paraId="32984174"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Industrial</w:t>
            </w:r>
          </w:p>
        </w:tc>
        <w:tc>
          <w:tcPr>
            <w:tcW w:w="0" w:type="auto"/>
            <w:tcBorders>
              <w:bottom w:val="nil"/>
              <w:right w:val="nil"/>
            </w:tcBorders>
            <w:tcMar>
              <w:top w:w="150" w:type="dxa"/>
              <w:left w:w="150" w:type="dxa"/>
              <w:bottom w:w="150" w:type="dxa"/>
              <w:right w:w="150" w:type="dxa"/>
            </w:tcMar>
            <w:vAlign w:val="bottom"/>
            <w:hideMark/>
          </w:tcPr>
          <w:p w14:paraId="1613DC21"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35%</w:t>
            </w:r>
          </w:p>
        </w:tc>
        <w:tc>
          <w:tcPr>
            <w:tcW w:w="0" w:type="auto"/>
            <w:tcBorders>
              <w:bottom w:val="nil"/>
              <w:right w:val="nil"/>
            </w:tcBorders>
            <w:tcMar>
              <w:top w:w="150" w:type="dxa"/>
              <w:left w:w="150" w:type="dxa"/>
              <w:bottom w:w="150" w:type="dxa"/>
              <w:right w:w="150" w:type="dxa"/>
            </w:tcMar>
            <w:vAlign w:val="bottom"/>
            <w:hideMark/>
          </w:tcPr>
          <w:p w14:paraId="12F0A16D"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55%</w:t>
            </w:r>
          </w:p>
        </w:tc>
      </w:tr>
      <w:tr w:rsidR="003B7739" w:rsidRPr="008F1996" w14:paraId="63E08F1D" w14:textId="77777777" w:rsidTr="003B7739">
        <w:tc>
          <w:tcPr>
            <w:tcW w:w="0" w:type="auto"/>
            <w:tcBorders>
              <w:left w:val="nil"/>
              <w:bottom w:val="nil"/>
              <w:right w:val="nil"/>
            </w:tcBorders>
            <w:tcMar>
              <w:top w:w="150" w:type="dxa"/>
              <w:left w:w="150" w:type="dxa"/>
              <w:bottom w:w="150" w:type="dxa"/>
              <w:right w:w="150" w:type="dxa"/>
            </w:tcMar>
            <w:vAlign w:val="bottom"/>
            <w:hideMark/>
          </w:tcPr>
          <w:p w14:paraId="6B7AB904"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Residential (biomass)</w:t>
            </w:r>
          </w:p>
        </w:tc>
        <w:tc>
          <w:tcPr>
            <w:tcW w:w="0" w:type="auto"/>
            <w:tcBorders>
              <w:bottom w:val="nil"/>
              <w:right w:val="nil"/>
            </w:tcBorders>
            <w:tcMar>
              <w:top w:w="150" w:type="dxa"/>
              <w:left w:w="150" w:type="dxa"/>
              <w:bottom w:w="150" w:type="dxa"/>
              <w:right w:w="150" w:type="dxa"/>
            </w:tcMar>
            <w:vAlign w:val="bottom"/>
            <w:hideMark/>
          </w:tcPr>
          <w:p w14:paraId="5E18C61D"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27%*</w:t>
            </w:r>
          </w:p>
        </w:tc>
        <w:tc>
          <w:tcPr>
            <w:tcW w:w="0" w:type="auto"/>
            <w:tcBorders>
              <w:bottom w:val="nil"/>
              <w:right w:val="nil"/>
            </w:tcBorders>
            <w:tcMar>
              <w:top w:w="150" w:type="dxa"/>
              <w:left w:w="150" w:type="dxa"/>
              <w:bottom w:w="150" w:type="dxa"/>
              <w:right w:w="150" w:type="dxa"/>
            </w:tcMar>
            <w:vAlign w:val="bottom"/>
            <w:hideMark/>
          </w:tcPr>
          <w:p w14:paraId="77752385"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12%</w:t>
            </w:r>
          </w:p>
        </w:tc>
      </w:tr>
      <w:tr w:rsidR="003B7739" w:rsidRPr="008F1996" w14:paraId="3A9867F3" w14:textId="77777777" w:rsidTr="003B7739">
        <w:tc>
          <w:tcPr>
            <w:tcW w:w="0" w:type="auto"/>
            <w:tcBorders>
              <w:left w:val="nil"/>
              <w:bottom w:val="nil"/>
              <w:right w:val="nil"/>
            </w:tcBorders>
            <w:tcMar>
              <w:top w:w="150" w:type="dxa"/>
              <w:left w:w="150" w:type="dxa"/>
              <w:bottom w:w="150" w:type="dxa"/>
              <w:right w:w="150" w:type="dxa"/>
            </w:tcMar>
            <w:vAlign w:val="bottom"/>
            <w:hideMark/>
          </w:tcPr>
          <w:p w14:paraId="38DF37A8"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Transport</w:t>
            </w:r>
          </w:p>
        </w:tc>
        <w:tc>
          <w:tcPr>
            <w:tcW w:w="0" w:type="auto"/>
            <w:tcBorders>
              <w:bottom w:val="nil"/>
              <w:right w:val="nil"/>
            </w:tcBorders>
            <w:tcMar>
              <w:top w:w="150" w:type="dxa"/>
              <w:left w:w="150" w:type="dxa"/>
              <w:bottom w:w="150" w:type="dxa"/>
              <w:right w:w="150" w:type="dxa"/>
            </w:tcMar>
            <w:vAlign w:val="bottom"/>
            <w:hideMark/>
          </w:tcPr>
          <w:p w14:paraId="666705FD"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24%</w:t>
            </w:r>
          </w:p>
        </w:tc>
        <w:tc>
          <w:tcPr>
            <w:tcW w:w="0" w:type="auto"/>
            <w:tcBorders>
              <w:bottom w:val="nil"/>
              <w:right w:val="nil"/>
            </w:tcBorders>
            <w:tcMar>
              <w:top w:w="150" w:type="dxa"/>
              <w:left w:w="150" w:type="dxa"/>
              <w:bottom w:w="150" w:type="dxa"/>
              <w:right w:w="150" w:type="dxa"/>
            </w:tcMar>
            <w:vAlign w:val="bottom"/>
            <w:hideMark/>
          </w:tcPr>
          <w:p w14:paraId="195DB293"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18%</w:t>
            </w:r>
          </w:p>
        </w:tc>
      </w:tr>
      <w:tr w:rsidR="003B7739" w:rsidRPr="008F1996" w14:paraId="7BB7AF84" w14:textId="77777777" w:rsidTr="003B7739">
        <w:tc>
          <w:tcPr>
            <w:tcW w:w="0" w:type="auto"/>
            <w:tcBorders>
              <w:left w:val="nil"/>
              <w:bottom w:val="nil"/>
              <w:right w:val="nil"/>
            </w:tcBorders>
            <w:tcMar>
              <w:top w:w="150" w:type="dxa"/>
              <w:left w:w="150" w:type="dxa"/>
              <w:bottom w:w="150" w:type="dxa"/>
              <w:right w:w="150" w:type="dxa"/>
            </w:tcMar>
            <w:vAlign w:val="bottom"/>
            <w:hideMark/>
          </w:tcPr>
          <w:p w14:paraId="03D8B81D"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Agricultural burning</w:t>
            </w:r>
          </w:p>
        </w:tc>
        <w:tc>
          <w:tcPr>
            <w:tcW w:w="0" w:type="auto"/>
            <w:tcBorders>
              <w:bottom w:val="nil"/>
              <w:right w:val="nil"/>
            </w:tcBorders>
            <w:tcMar>
              <w:top w:w="150" w:type="dxa"/>
              <w:left w:w="150" w:type="dxa"/>
              <w:bottom w:w="150" w:type="dxa"/>
              <w:right w:w="150" w:type="dxa"/>
            </w:tcMar>
            <w:vAlign w:val="bottom"/>
            <w:hideMark/>
          </w:tcPr>
          <w:p w14:paraId="2C1BD40D"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14%</w:t>
            </w:r>
          </w:p>
        </w:tc>
        <w:tc>
          <w:tcPr>
            <w:tcW w:w="0" w:type="auto"/>
            <w:tcBorders>
              <w:bottom w:val="nil"/>
              <w:right w:val="nil"/>
            </w:tcBorders>
            <w:tcMar>
              <w:top w:w="150" w:type="dxa"/>
              <w:left w:w="150" w:type="dxa"/>
              <w:bottom w:w="150" w:type="dxa"/>
              <w:right w:w="150" w:type="dxa"/>
            </w:tcMar>
            <w:vAlign w:val="bottom"/>
            <w:hideMark/>
          </w:tcPr>
          <w:p w14:paraId="42A2D44F"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8%</w:t>
            </w:r>
          </w:p>
        </w:tc>
      </w:tr>
      <w:tr w:rsidR="003B7739" w:rsidRPr="008F1996" w14:paraId="03604589" w14:textId="77777777" w:rsidTr="003B7739">
        <w:tc>
          <w:tcPr>
            <w:tcW w:w="0" w:type="auto"/>
            <w:tcBorders>
              <w:left w:val="nil"/>
              <w:bottom w:val="nil"/>
              <w:right w:val="nil"/>
            </w:tcBorders>
            <w:tcMar>
              <w:top w:w="150" w:type="dxa"/>
              <w:left w:w="150" w:type="dxa"/>
              <w:bottom w:w="150" w:type="dxa"/>
              <w:right w:w="150" w:type="dxa"/>
            </w:tcMar>
            <w:vAlign w:val="bottom"/>
            <w:hideMark/>
          </w:tcPr>
          <w:p w14:paraId="50D54C78"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Dust (unpaved roads)</w:t>
            </w:r>
          </w:p>
        </w:tc>
        <w:tc>
          <w:tcPr>
            <w:tcW w:w="0" w:type="auto"/>
            <w:tcBorders>
              <w:bottom w:val="nil"/>
              <w:right w:val="nil"/>
            </w:tcBorders>
            <w:tcMar>
              <w:top w:w="150" w:type="dxa"/>
              <w:left w:w="150" w:type="dxa"/>
              <w:bottom w:w="150" w:type="dxa"/>
              <w:right w:w="150" w:type="dxa"/>
            </w:tcMar>
            <w:vAlign w:val="bottom"/>
            <w:hideMark/>
          </w:tcPr>
          <w:p w14:paraId="21E378A1"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18%*</w:t>
            </w:r>
          </w:p>
        </w:tc>
        <w:tc>
          <w:tcPr>
            <w:tcW w:w="0" w:type="auto"/>
            <w:tcBorders>
              <w:bottom w:val="nil"/>
              <w:right w:val="nil"/>
            </w:tcBorders>
            <w:tcMar>
              <w:top w:w="150" w:type="dxa"/>
              <w:left w:w="150" w:type="dxa"/>
              <w:bottom w:w="150" w:type="dxa"/>
              <w:right w:w="150" w:type="dxa"/>
            </w:tcMar>
            <w:vAlign w:val="bottom"/>
            <w:hideMark/>
          </w:tcPr>
          <w:p w14:paraId="2E977495" w14:textId="77777777" w:rsidR="003B7739" w:rsidRPr="008F1996" w:rsidRDefault="003B7739" w:rsidP="003B7739">
            <w:pPr>
              <w:rPr>
                <w:rFonts w:ascii="Times New Roman" w:eastAsia="Times New Roman" w:hAnsi="Times New Roman" w:cs="Times New Roman"/>
              </w:rPr>
            </w:pPr>
            <w:r w:rsidRPr="008F1996">
              <w:rPr>
                <w:rFonts w:ascii="Times New Roman" w:eastAsia="Times New Roman" w:hAnsi="Times New Roman" w:cs="Times New Roman"/>
              </w:rPr>
              <w:t>7%</w:t>
            </w:r>
          </w:p>
        </w:tc>
      </w:tr>
    </w:tbl>
    <w:p w14:paraId="1F583E3C"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*Sources: UrbanEmissions.info (2024), CPCB (2023), China MEE (2023).</w:t>
      </w:r>
      <w:r w:rsidRPr="008F1996">
        <w:rPr>
          <w:rFonts w:ascii="Times New Roman" w:eastAsia="Times New Roman" w:hAnsi="Times New Roman" w:cs="Times New Roman"/>
        </w:rPr>
        <w:br/>
      </w:r>
      <w:r w:rsidRPr="008F1996">
        <w:rPr>
          <w:rFonts w:ascii="Times New Roman" w:eastAsia="Times New Roman" w:hAnsi="Times New Roman" w:cs="Times New Roman"/>
          <w:i/>
          <w:iCs/>
          <w:bdr w:val="none" w:sz="0" w:space="0" w:color="auto" w:frame="1"/>
        </w:rPr>
        <w:t>Adds to &gt;100% due to overlapping sources.</w:t>
      </w:r>
    </w:p>
    <w:p w14:paraId="175856BF" w14:textId="19CE586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Implication:</w:t>
      </w:r>
      <w:r w:rsidRPr="008F1996">
        <w:rPr>
          <w:rFonts w:ascii="Times New Roman" w:eastAsia="Times New Roman" w:hAnsi="Times New Roman" w:cs="Times New Roman"/>
        </w:rPr>
        <w:t xml:space="preserve"> India's rural-urban pollution nexus necessitates </w:t>
      </w:r>
      <w:r w:rsidRPr="008F1996">
        <w:rPr>
          <w:rFonts w:ascii="Times New Roman" w:eastAsia="Times New Roman" w:hAnsi="Times New Roman" w:cs="Times New Roman"/>
          <w:b/>
          <w:bCs/>
          <w:bdr w:val="none" w:sz="0" w:space="0" w:color="auto" w:frame="1"/>
        </w:rPr>
        <w:t>inclusive policies</w:t>
      </w:r>
      <w:r w:rsidRPr="008F1996">
        <w:rPr>
          <w:rFonts w:ascii="Times New Roman" w:eastAsia="Times New Roman" w:hAnsi="Times New Roman" w:cs="Times New Roman"/>
        </w:rPr>
        <w:t xml:space="preserve"> targeting biomass transition and road infrastructure—areas absent in China's urban-centric model.</w:t>
      </w:r>
    </w:p>
    <w:p w14:paraId="1C222683" w14:textId="77777777" w:rsidR="003B7739" w:rsidRPr="008F1996" w:rsidRDefault="003B7739" w:rsidP="003B7739">
      <w:pPr>
        <w:textAlignment w:val="baseline"/>
        <w:rPr>
          <w:rFonts w:ascii="Times New Roman" w:eastAsia="Times New Roman" w:hAnsi="Times New Roman" w:cs="Times New Roman"/>
        </w:rPr>
      </w:pPr>
    </w:p>
    <w:p w14:paraId="330493C9"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5.3 The "Late-Developer Advantage"</w:t>
      </w:r>
    </w:p>
    <w:p w14:paraId="51A65AEA"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Late industrializers potentially benefit from:</w:t>
      </w:r>
    </w:p>
    <w:p w14:paraId="75FA9520" w14:textId="77777777" w:rsidR="003B7739" w:rsidRPr="008F1996" w:rsidRDefault="003B7739" w:rsidP="003B7739">
      <w:pPr>
        <w:numPr>
          <w:ilvl w:val="0"/>
          <w:numId w:val="7"/>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Technology transfer:</w:t>
      </w:r>
      <w:r w:rsidRPr="008F1996">
        <w:rPr>
          <w:rFonts w:ascii="Times New Roman" w:eastAsia="Times New Roman" w:hAnsi="Times New Roman" w:cs="Times New Roman"/>
          <w:sz w:val="21"/>
          <w:szCs w:val="21"/>
        </w:rPr>
        <w:t xml:space="preserve"> PM2.5 control technologies now cost 40% less than in 2005 (IEA, 2023).</w:t>
      </w:r>
    </w:p>
    <w:p w14:paraId="2937EFD3" w14:textId="77777777" w:rsidR="003B7739" w:rsidRPr="008F1996" w:rsidRDefault="003B7739" w:rsidP="003B7739">
      <w:pPr>
        <w:numPr>
          <w:ilvl w:val="0"/>
          <w:numId w:val="7"/>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Leapfrogging:</w:t>
      </w:r>
      <w:r w:rsidRPr="008F1996">
        <w:rPr>
          <w:rFonts w:ascii="Times New Roman" w:eastAsia="Times New Roman" w:hAnsi="Times New Roman" w:cs="Times New Roman"/>
          <w:sz w:val="21"/>
          <w:szCs w:val="21"/>
        </w:rPr>
        <w:t xml:space="preserve"> Solar PV deployment reduces reliance on coal-based heating, a major Chinese pollutant.</w:t>
      </w:r>
    </w:p>
    <w:p w14:paraId="61F84D96" w14:textId="77777777" w:rsidR="003B7739" w:rsidRPr="008F1996" w:rsidRDefault="003B7739" w:rsidP="003B7739">
      <w:pPr>
        <w:numPr>
          <w:ilvl w:val="0"/>
          <w:numId w:val="7"/>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Policy templates:</w:t>
      </w:r>
      <w:r w:rsidRPr="008F1996">
        <w:rPr>
          <w:rFonts w:ascii="Times New Roman" w:eastAsia="Times New Roman" w:hAnsi="Times New Roman" w:cs="Times New Roman"/>
          <w:sz w:val="21"/>
          <w:szCs w:val="21"/>
        </w:rPr>
        <w:t xml:space="preserve"> EU's Industrial Emissions Directive and China's "river chief" system offer replicable models.</w:t>
      </w:r>
    </w:p>
    <w:p w14:paraId="0DC56ED4" w14:textId="652C20D1"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 xml:space="preserve">However, this advantage is </w:t>
      </w:r>
      <w:r w:rsidRPr="008F1996">
        <w:rPr>
          <w:rFonts w:ascii="Times New Roman" w:eastAsia="Times New Roman" w:hAnsi="Times New Roman" w:cs="Times New Roman"/>
          <w:b/>
          <w:bCs/>
          <w:bdr w:val="none" w:sz="0" w:space="0" w:color="auto" w:frame="1"/>
        </w:rPr>
        <w:t>contingent on institutional capacity</w:t>
      </w:r>
      <w:r w:rsidRPr="008F1996">
        <w:rPr>
          <w:rFonts w:ascii="Times New Roman" w:eastAsia="Times New Roman" w:hAnsi="Times New Roman" w:cs="Times New Roman"/>
        </w:rPr>
        <w:t>. India's State Pollution Control Boards face 30–60% staffing vacancies and outdated equipment, undermining enforcement.</w:t>
      </w:r>
    </w:p>
    <w:p w14:paraId="68F3D8BA" w14:textId="77777777" w:rsidR="003B7739" w:rsidRPr="008F1996" w:rsidRDefault="003B7739" w:rsidP="003B7739">
      <w:pPr>
        <w:textAlignment w:val="baseline"/>
        <w:rPr>
          <w:rFonts w:ascii="Times New Roman" w:eastAsia="Times New Roman" w:hAnsi="Times New Roman" w:cs="Times New Roman"/>
        </w:rPr>
      </w:pPr>
    </w:p>
    <w:p w14:paraId="6A396DBD"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5.4 Limitations and Uncertainties</w:t>
      </w:r>
    </w:p>
    <w:p w14:paraId="3833EABD" w14:textId="77777777" w:rsidR="003B7739" w:rsidRPr="008F1996" w:rsidRDefault="003B7739" w:rsidP="003B7739">
      <w:pPr>
        <w:numPr>
          <w:ilvl w:val="0"/>
          <w:numId w:val="8"/>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Data quality:</w:t>
      </w:r>
      <w:r w:rsidRPr="008F1996">
        <w:rPr>
          <w:rFonts w:ascii="Times New Roman" w:eastAsia="Times New Roman" w:hAnsi="Times New Roman" w:cs="Times New Roman"/>
          <w:sz w:val="21"/>
          <w:szCs w:val="21"/>
        </w:rPr>
        <w:t xml:space="preserve"> CPCB monitoring covers only 344 cities; rural exposure remains under-reported.</w:t>
      </w:r>
    </w:p>
    <w:p w14:paraId="3AC130E6" w14:textId="77777777" w:rsidR="003B7739" w:rsidRPr="008F1996" w:rsidRDefault="003B7739" w:rsidP="003B7739">
      <w:pPr>
        <w:numPr>
          <w:ilvl w:val="0"/>
          <w:numId w:val="8"/>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Cointegration:</w:t>
      </w:r>
      <w:r w:rsidRPr="008F1996">
        <w:rPr>
          <w:rFonts w:ascii="Times New Roman" w:eastAsia="Times New Roman" w:hAnsi="Times New Roman" w:cs="Times New Roman"/>
          <w:sz w:val="21"/>
          <w:szCs w:val="21"/>
        </w:rPr>
        <w:t xml:space="preserve"> EKC models assume stable long-run relationships—disrupted by climate shocks (e.g., 2022 heatwaves increased dust loading by 22%).</w:t>
      </w:r>
    </w:p>
    <w:p w14:paraId="207DB209" w14:textId="77777777" w:rsidR="003B7739" w:rsidRPr="008F1996" w:rsidRDefault="003B7739" w:rsidP="003B7739">
      <w:pPr>
        <w:numPr>
          <w:ilvl w:val="0"/>
          <w:numId w:val="8"/>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Projection risk:</w:t>
      </w:r>
      <w:r w:rsidRPr="008F1996">
        <w:rPr>
          <w:rFonts w:ascii="Times New Roman" w:eastAsia="Times New Roman" w:hAnsi="Times New Roman" w:cs="Times New Roman"/>
          <w:sz w:val="21"/>
          <w:szCs w:val="21"/>
        </w:rPr>
        <w:t xml:space="preserve"> India's demographic dividend may not materialize if labor force participation stagnates at 48% (PLFS, 2024).</w:t>
      </w:r>
    </w:p>
    <w:p w14:paraId="1123CBE1" w14:textId="77777777" w:rsidR="003B7739" w:rsidRPr="008F1996" w:rsidRDefault="00635C6E" w:rsidP="003B7739">
      <w:pPr>
        <w:spacing w:after="240"/>
        <w:rPr>
          <w:rFonts w:ascii="Times New Roman" w:eastAsia="Times New Roman" w:hAnsi="Times New Roman" w:cs="Times New Roman"/>
        </w:rPr>
      </w:pPr>
      <w:r>
        <w:rPr>
          <w:rFonts w:ascii="Times New Roman" w:eastAsia="Times New Roman" w:hAnsi="Times New Roman" w:cs="Times New Roman"/>
          <w:noProof/>
        </w:rPr>
        <w:pict w14:anchorId="77DD2955">
          <v:rect id="_x0000_i1032" alt="" style="width:468pt;height:.05pt;mso-width-percent:0;mso-height-percent:0;mso-width-percent:0;mso-height-percent:0" o:hralign="center" o:hrstd="t" o:hr="t" fillcolor="#a0a0a0" stroked="f"/>
        </w:pict>
      </w:r>
    </w:p>
    <w:p w14:paraId="25512A97" w14:textId="6DCE3980" w:rsidR="003B7739" w:rsidRPr="008F1996" w:rsidRDefault="003B7739" w:rsidP="003B7739">
      <w:pPr>
        <w:textAlignment w:val="baseline"/>
        <w:rPr>
          <w:rFonts w:ascii="Times New Roman" w:eastAsia="Times New Roman" w:hAnsi="Times New Roman" w:cs="Times New Roman"/>
          <w:b/>
          <w:bCs/>
          <w:bdr w:val="none" w:sz="0" w:space="0" w:color="auto" w:frame="1"/>
        </w:rPr>
      </w:pPr>
      <w:r w:rsidRPr="008F1996">
        <w:rPr>
          <w:rFonts w:ascii="Times New Roman" w:eastAsia="Times New Roman" w:hAnsi="Times New Roman" w:cs="Times New Roman"/>
          <w:b/>
          <w:bCs/>
          <w:bdr w:val="none" w:sz="0" w:space="0" w:color="auto" w:frame="1"/>
        </w:rPr>
        <w:t>6. CONCLUSIONS AND POLICY RECOMMENDATIONS</w:t>
      </w:r>
    </w:p>
    <w:p w14:paraId="1B80CCDA" w14:textId="77777777" w:rsidR="003B7739" w:rsidRPr="008F1996" w:rsidRDefault="003B7739" w:rsidP="003B7739">
      <w:pPr>
        <w:textAlignment w:val="baseline"/>
        <w:rPr>
          <w:rFonts w:ascii="Times New Roman" w:eastAsia="Times New Roman" w:hAnsi="Times New Roman" w:cs="Times New Roman"/>
        </w:rPr>
      </w:pPr>
    </w:p>
    <w:p w14:paraId="35DBB102"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6.1 Key Findings</w:t>
      </w:r>
    </w:p>
    <w:p w14:paraId="48225E83" w14:textId="77777777" w:rsidR="003B7739" w:rsidRPr="008F1996" w:rsidRDefault="003B7739" w:rsidP="003B7739">
      <w:pPr>
        <w:numPr>
          <w:ilvl w:val="0"/>
          <w:numId w:val="9"/>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Income Threshold for India:</w:t>
      </w:r>
      <w:r w:rsidRPr="008F1996">
        <w:rPr>
          <w:rFonts w:ascii="Times New Roman" w:eastAsia="Times New Roman" w:hAnsi="Times New Roman" w:cs="Times New Roman"/>
          <w:sz w:val="21"/>
          <w:szCs w:val="21"/>
        </w:rPr>
        <w:t xml:space="preserve"> Effective PM2.5 decline likely requires </w:t>
      </w:r>
      <w:r w:rsidRPr="008F1996">
        <w:rPr>
          <w:rFonts w:ascii="Times New Roman" w:eastAsia="Times New Roman" w:hAnsi="Times New Roman" w:cs="Times New Roman"/>
          <w:b/>
          <w:bCs/>
          <w:sz w:val="21"/>
          <w:szCs w:val="21"/>
          <w:bdr w:val="none" w:sz="0" w:space="0" w:color="auto" w:frame="1"/>
        </w:rPr>
        <w:t>$8,000–$10,000 PPP per capita</w:t>
      </w:r>
      <w:r w:rsidRPr="008F1996">
        <w:rPr>
          <w:rFonts w:ascii="Times New Roman" w:eastAsia="Times New Roman" w:hAnsi="Times New Roman" w:cs="Times New Roman"/>
          <w:sz w:val="21"/>
          <w:szCs w:val="21"/>
        </w:rPr>
        <w:t xml:space="preserve">, achievable by </w:t>
      </w:r>
      <w:r w:rsidRPr="008F1996">
        <w:rPr>
          <w:rFonts w:ascii="Times New Roman" w:eastAsia="Times New Roman" w:hAnsi="Times New Roman" w:cs="Times New Roman"/>
          <w:b/>
          <w:bCs/>
          <w:sz w:val="21"/>
          <w:szCs w:val="21"/>
          <w:bdr w:val="none" w:sz="0" w:space="0" w:color="auto" w:frame="1"/>
        </w:rPr>
        <w:t>2035–2045</w:t>
      </w:r>
      <w:r w:rsidRPr="008F1996">
        <w:rPr>
          <w:rFonts w:ascii="Times New Roman" w:eastAsia="Times New Roman" w:hAnsi="Times New Roman" w:cs="Times New Roman"/>
          <w:sz w:val="21"/>
          <w:szCs w:val="21"/>
        </w:rPr>
        <w:t xml:space="preserve"> depending on growth trajectory.</w:t>
      </w:r>
    </w:p>
    <w:p w14:paraId="699097B0" w14:textId="77777777" w:rsidR="003B7739" w:rsidRPr="008F1996" w:rsidRDefault="003B7739" w:rsidP="003B7739">
      <w:pPr>
        <w:numPr>
          <w:ilvl w:val="0"/>
          <w:numId w:val="9"/>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lastRenderedPageBreak/>
        <w:t>Policy Precondition:</w:t>
      </w:r>
      <w:r w:rsidRPr="008F1996">
        <w:rPr>
          <w:rFonts w:ascii="Times New Roman" w:eastAsia="Times New Roman" w:hAnsi="Times New Roman" w:cs="Times New Roman"/>
          <w:sz w:val="21"/>
          <w:szCs w:val="21"/>
        </w:rPr>
        <w:t xml:space="preserve"> Without </w:t>
      </w:r>
      <w:r w:rsidRPr="008F1996">
        <w:rPr>
          <w:rFonts w:ascii="Times New Roman" w:eastAsia="Times New Roman" w:hAnsi="Times New Roman" w:cs="Times New Roman"/>
          <w:b/>
          <w:bCs/>
          <w:sz w:val="21"/>
          <w:szCs w:val="21"/>
          <w:bdr w:val="none" w:sz="0" w:space="0" w:color="auto" w:frame="1"/>
        </w:rPr>
        <w:t>0.8–1.2% of GDP</w:t>
      </w:r>
      <w:r w:rsidRPr="008F1996">
        <w:rPr>
          <w:rFonts w:ascii="Times New Roman" w:eastAsia="Times New Roman" w:hAnsi="Times New Roman" w:cs="Times New Roman"/>
          <w:sz w:val="21"/>
          <w:szCs w:val="21"/>
        </w:rPr>
        <w:t xml:space="preserve"> in annual environmental expenditure, the turning point may not occur even by 2050.</w:t>
      </w:r>
    </w:p>
    <w:p w14:paraId="6B181B71" w14:textId="373F89A8" w:rsidR="003B7739" w:rsidRPr="008F1996" w:rsidRDefault="003B7739" w:rsidP="003B7739">
      <w:pPr>
        <w:numPr>
          <w:ilvl w:val="0"/>
          <w:numId w:val="9"/>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Structural Specificity:</w:t>
      </w:r>
      <w:r w:rsidRPr="008F1996">
        <w:rPr>
          <w:rFonts w:ascii="Times New Roman" w:eastAsia="Times New Roman" w:hAnsi="Times New Roman" w:cs="Times New Roman"/>
          <w:sz w:val="21"/>
          <w:szCs w:val="21"/>
        </w:rPr>
        <w:t xml:space="preserve"> India's biomass-driven pollution requires </w:t>
      </w:r>
      <w:r w:rsidRPr="008F1996">
        <w:rPr>
          <w:rFonts w:ascii="Times New Roman" w:eastAsia="Times New Roman" w:hAnsi="Times New Roman" w:cs="Times New Roman"/>
          <w:b/>
          <w:bCs/>
          <w:sz w:val="21"/>
          <w:szCs w:val="21"/>
          <w:bdr w:val="none" w:sz="0" w:space="0" w:color="auto" w:frame="1"/>
        </w:rPr>
        <w:t>rural energy transition policies</w:t>
      </w:r>
      <w:r w:rsidRPr="008F1996">
        <w:rPr>
          <w:rFonts w:ascii="Times New Roman" w:eastAsia="Times New Roman" w:hAnsi="Times New Roman" w:cs="Times New Roman"/>
          <w:sz w:val="21"/>
          <w:szCs w:val="21"/>
        </w:rPr>
        <w:t xml:space="preserve"> absent in China's playbook.</w:t>
      </w:r>
    </w:p>
    <w:p w14:paraId="1B90D04B" w14:textId="77777777" w:rsidR="003B7739" w:rsidRPr="008F1996" w:rsidRDefault="003B7739" w:rsidP="003B7739">
      <w:pPr>
        <w:ind w:left="360"/>
        <w:textAlignment w:val="baseline"/>
        <w:rPr>
          <w:rFonts w:ascii="Times New Roman" w:eastAsia="Times New Roman" w:hAnsi="Times New Roman" w:cs="Times New Roman"/>
          <w:sz w:val="21"/>
          <w:szCs w:val="21"/>
        </w:rPr>
      </w:pPr>
    </w:p>
    <w:p w14:paraId="16E1BC75"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6.2 Policy Roadmap: "Leapfrog and Lock-In"</w:t>
      </w:r>
    </w:p>
    <w:p w14:paraId="6D079876"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Phase I (2025–2030): Foundation</w:t>
      </w:r>
    </w:p>
    <w:p w14:paraId="5770DD67" w14:textId="77777777" w:rsidR="003B7739" w:rsidRPr="008F1996" w:rsidRDefault="003B7739" w:rsidP="003B7739">
      <w:pPr>
        <w:numPr>
          <w:ilvl w:val="0"/>
          <w:numId w:val="10"/>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Increase NCAP funding to 0.5% of GDP</w:t>
      </w:r>
      <w:r w:rsidRPr="008F1996">
        <w:rPr>
          <w:rFonts w:ascii="Times New Roman" w:eastAsia="Times New Roman" w:hAnsi="Times New Roman" w:cs="Times New Roman"/>
          <w:sz w:val="21"/>
          <w:szCs w:val="21"/>
        </w:rPr>
        <w:t xml:space="preserve"> ($15 billion annually) with performance-linked disbursements.</w:t>
      </w:r>
    </w:p>
    <w:p w14:paraId="1FEAA00C" w14:textId="77777777" w:rsidR="003B7739" w:rsidRPr="008F1996" w:rsidRDefault="003B7739" w:rsidP="003B7739">
      <w:pPr>
        <w:numPr>
          <w:ilvl w:val="0"/>
          <w:numId w:val="10"/>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Expand monitoring network</w:t>
      </w:r>
      <w:r w:rsidRPr="008F1996">
        <w:rPr>
          <w:rFonts w:ascii="Times New Roman" w:eastAsia="Times New Roman" w:hAnsi="Times New Roman" w:cs="Times New Roman"/>
          <w:sz w:val="21"/>
          <w:szCs w:val="21"/>
        </w:rPr>
        <w:t xml:space="preserve"> from 344 to 1,000+ cities with real-time data transparency.</w:t>
      </w:r>
    </w:p>
    <w:p w14:paraId="070AA7DB" w14:textId="77777777" w:rsidR="003B7739" w:rsidRPr="008F1996" w:rsidRDefault="003B7739" w:rsidP="003B7739">
      <w:pPr>
        <w:numPr>
          <w:ilvl w:val="0"/>
          <w:numId w:val="10"/>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Biomass transition:</w:t>
      </w:r>
      <w:r w:rsidRPr="008F1996">
        <w:rPr>
          <w:rFonts w:ascii="Times New Roman" w:eastAsia="Times New Roman" w:hAnsi="Times New Roman" w:cs="Times New Roman"/>
          <w:sz w:val="21"/>
          <w:szCs w:val="21"/>
        </w:rPr>
        <w:t xml:space="preserve"> Accelerate PMUY-LPG connections to cover 100% of households by 2027.</w:t>
      </w:r>
    </w:p>
    <w:p w14:paraId="3ED63894"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Phase II (2030–2035): Activation</w:t>
      </w:r>
    </w:p>
    <w:p w14:paraId="3B454C33" w14:textId="77777777" w:rsidR="003B7739" w:rsidRPr="008F1996" w:rsidRDefault="003B7739" w:rsidP="003B7739">
      <w:pPr>
        <w:numPr>
          <w:ilvl w:val="0"/>
          <w:numId w:val="11"/>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Implement Emissions Trading System (ETS)</w:t>
      </w:r>
      <w:r w:rsidRPr="008F1996">
        <w:rPr>
          <w:rFonts w:ascii="Times New Roman" w:eastAsia="Times New Roman" w:hAnsi="Times New Roman" w:cs="Times New Roman"/>
          <w:sz w:val="21"/>
          <w:szCs w:val="21"/>
        </w:rPr>
        <w:t xml:space="preserve"> for power and cement sectors (drawing from China's pilot ETS covering 2,225 power plants).</w:t>
      </w:r>
    </w:p>
    <w:p w14:paraId="6C891079" w14:textId="77777777" w:rsidR="003B7739" w:rsidRPr="008F1996" w:rsidRDefault="003B7739" w:rsidP="003B7739">
      <w:pPr>
        <w:numPr>
          <w:ilvl w:val="0"/>
          <w:numId w:val="11"/>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Urban transport electrification:</w:t>
      </w:r>
      <w:r w:rsidRPr="008F1996">
        <w:rPr>
          <w:rFonts w:ascii="Times New Roman" w:eastAsia="Times New Roman" w:hAnsi="Times New Roman" w:cs="Times New Roman"/>
          <w:sz w:val="21"/>
          <w:szCs w:val="21"/>
        </w:rPr>
        <w:t xml:space="preserve"> Mandate 50% EV sales by 2035 with grid decarbonization.</w:t>
      </w:r>
    </w:p>
    <w:p w14:paraId="6149EAE4" w14:textId="77777777" w:rsidR="003B7739" w:rsidRPr="008F1996" w:rsidRDefault="003B7739" w:rsidP="003B7739">
      <w:pPr>
        <w:numPr>
          <w:ilvl w:val="0"/>
          <w:numId w:val="11"/>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Industrial compliance:</w:t>
      </w:r>
      <w:r w:rsidRPr="008F1996">
        <w:rPr>
          <w:rFonts w:ascii="Times New Roman" w:eastAsia="Times New Roman" w:hAnsi="Times New Roman" w:cs="Times New Roman"/>
          <w:sz w:val="21"/>
          <w:szCs w:val="21"/>
        </w:rPr>
        <w:t xml:space="preserve"> Digital monitoring (CEMS) for all units &gt;50 MW thermal input.</w:t>
      </w:r>
    </w:p>
    <w:p w14:paraId="6BC50D42"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Phase III (2035–2040): Consolidation</w:t>
      </w:r>
    </w:p>
    <w:p w14:paraId="019A946B" w14:textId="77777777" w:rsidR="003B7739" w:rsidRPr="008F1996" w:rsidRDefault="003B7739" w:rsidP="003B7739">
      <w:pPr>
        <w:numPr>
          <w:ilvl w:val="0"/>
          <w:numId w:val="12"/>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Lock in standards:</w:t>
      </w:r>
      <w:r w:rsidRPr="008F1996">
        <w:rPr>
          <w:rFonts w:ascii="Times New Roman" w:eastAsia="Times New Roman" w:hAnsi="Times New Roman" w:cs="Times New Roman"/>
          <w:sz w:val="21"/>
          <w:szCs w:val="21"/>
        </w:rPr>
        <w:t xml:space="preserve"> Adopt WHO PM2.5 interim target-3 (15 </w:t>
      </w:r>
      <w:proofErr w:type="spellStart"/>
      <w:r w:rsidRPr="008F1996">
        <w:rPr>
          <w:rFonts w:ascii="Times New Roman" w:eastAsia="Times New Roman" w:hAnsi="Times New Roman" w:cs="Times New Roman"/>
          <w:sz w:val="21"/>
          <w:szCs w:val="21"/>
        </w:rPr>
        <w:t>μg</w:t>
      </w:r>
      <w:proofErr w:type="spellEnd"/>
      <w:r w:rsidRPr="008F1996">
        <w:rPr>
          <w:rFonts w:ascii="Times New Roman" w:eastAsia="Times New Roman" w:hAnsi="Times New Roman" w:cs="Times New Roman"/>
          <w:sz w:val="21"/>
          <w:szCs w:val="21"/>
        </w:rPr>
        <w:t>/m³) as legally binding by 2040.</w:t>
      </w:r>
    </w:p>
    <w:p w14:paraId="223C6EAA" w14:textId="1D93940E" w:rsidR="003B7739" w:rsidRPr="008F1996" w:rsidRDefault="003B7739" w:rsidP="003B7739">
      <w:pPr>
        <w:numPr>
          <w:ilvl w:val="0"/>
          <w:numId w:val="12"/>
        </w:numPr>
        <w:textAlignment w:val="baseline"/>
        <w:rPr>
          <w:rFonts w:ascii="Times New Roman" w:eastAsia="Times New Roman" w:hAnsi="Times New Roman" w:cs="Times New Roman"/>
          <w:sz w:val="21"/>
          <w:szCs w:val="21"/>
        </w:rPr>
      </w:pPr>
      <w:r w:rsidRPr="008F1996">
        <w:rPr>
          <w:rFonts w:ascii="Times New Roman" w:eastAsia="Times New Roman" w:hAnsi="Times New Roman" w:cs="Times New Roman"/>
          <w:b/>
          <w:bCs/>
          <w:sz w:val="21"/>
          <w:szCs w:val="21"/>
          <w:bdr w:val="none" w:sz="0" w:space="0" w:color="auto" w:frame="1"/>
        </w:rPr>
        <w:t>Integrated approach:</w:t>
      </w:r>
      <w:r w:rsidRPr="008F1996">
        <w:rPr>
          <w:rFonts w:ascii="Times New Roman" w:eastAsia="Times New Roman" w:hAnsi="Times New Roman" w:cs="Times New Roman"/>
          <w:sz w:val="21"/>
          <w:szCs w:val="21"/>
        </w:rPr>
        <w:t xml:space="preserve"> Merge NCAP with carbon pricing to achieve co-benefits (avoiding China's CO₂ lock-in).</w:t>
      </w:r>
    </w:p>
    <w:p w14:paraId="41A3A983" w14:textId="77777777" w:rsidR="003B7739" w:rsidRPr="008F1996" w:rsidRDefault="003B7739" w:rsidP="003B7739">
      <w:pPr>
        <w:ind w:left="360"/>
        <w:textAlignment w:val="baseline"/>
        <w:rPr>
          <w:rFonts w:ascii="Times New Roman" w:eastAsia="Times New Roman" w:hAnsi="Times New Roman" w:cs="Times New Roman"/>
          <w:sz w:val="21"/>
          <w:szCs w:val="21"/>
        </w:rPr>
      </w:pPr>
    </w:p>
    <w:p w14:paraId="036E4688"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6.3 Theoretical Contribution</w:t>
      </w:r>
    </w:p>
    <w:p w14:paraId="3894750F" w14:textId="3EAAEAEB"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 xml:space="preserve">This paper advances EKC theory by demonstrating </w:t>
      </w:r>
      <w:r w:rsidRPr="008F1996">
        <w:rPr>
          <w:rFonts w:ascii="Times New Roman" w:eastAsia="Times New Roman" w:hAnsi="Times New Roman" w:cs="Times New Roman"/>
          <w:b/>
          <w:bCs/>
          <w:bdr w:val="none" w:sz="0" w:space="0" w:color="auto" w:frame="1"/>
        </w:rPr>
        <w:t>conditional non-linearity</w:t>
      </w:r>
      <w:r w:rsidRPr="008F1996">
        <w:rPr>
          <w:rFonts w:ascii="Times New Roman" w:eastAsia="Times New Roman" w:hAnsi="Times New Roman" w:cs="Times New Roman"/>
        </w:rPr>
        <w:t xml:space="preserve">: the turning point is endogenous to policy intensity, not exogenous to income. For late-developing economies, we propose a </w:t>
      </w:r>
      <w:r w:rsidRPr="008F1996">
        <w:rPr>
          <w:rFonts w:ascii="Times New Roman" w:eastAsia="Times New Roman" w:hAnsi="Times New Roman" w:cs="Times New Roman"/>
          <w:b/>
          <w:bCs/>
          <w:bdr w:val="none" w:sz="0" w:space="0" w:color="auto" w:frame="1"/>
        </w:rPr>
        <w:t>"Policy-Accelerated EKC" (PA-EKC)</w:t>
      </w:r>
      <w:r w:rsidRPr="008F1996">
        <w:rPr>
          <w:rFonts w:ascii="Times New Roman" w:eastAsia="Times New Roman" w:hAnsi="Times New Roman" w:cs="Times New Roman"/>
        </w:rPr>
        <w:t xml:space="preserve"> model where optimal environmental expenditure (0.8–1.5% GDP) can shift the turning point </w:t>
      </w:r>
      <w:r w:rsidRPr="008F1996">
        <w:rPr>
          <w:rFonts w:ascii="Times New Roman" w:eastAsia="Times New Roman" w:hAnsi="Times New Roman" w:cs="Times New Roman"/>
          <w:b/>
          <w:bCs/>
          <w:bdr w:val="none" w:sz="0" w:space="0" w:color="auto" w:frame="1"/>
        </w:rPr>
        <w:t>leftward by $2,000–$3,000 PPP</w:t>
      </w:r>
      <w:r w:rsidRPr="008F1996">
        <w:rPr>
          <w:rFonts w:ascii="Times New Roman" w:eastAsia="Times New Roman" w:hAnsi="Times New Roman" w:cs="Times New Roman"/>
        </w:rPr>
        <w:t>.</w:t>
      </w:r>
    </w:p>
    <w:p w14:paraId="3E031B87" w14:textId="77777777" w:rsidR="003B7739" w:rsidRPr="008F1996" w:rsidRDefault="003B7739" w:rsidP="003B7739">
      <w:pPr>
        <w:textAlignment w:val="baseline"/>
        <w:rPr>
          <w:rFonts w:ascii="Times New Roman" w:eastAsia="Times New Roman" w:hAnsi="Times New Roman" w:cs="Times New Roman"/>
        </w:rPr>
      </w:pPr>
    </w:p>
    <w:p w14:paraId="325B91A3"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6.4 Conclusion</w:t>
      </w:r>
    </w:p>
    <w:p w14:paraId="7DEED973"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 xml:space="preserve">India stands at a </w:t>
      </w:r>
      <w:r w:rsidRPr="008F1996">
        <w:rPr>
          <w:rFonts w:ascii="Times New Roman" w:eastAsia="Times New Roman" w:hAnsi="Times New Roman" w:cs="Times New Roman"/>
          <w:b/>
          <w:bCs/>
          <w:bdr w:val="none" w:sz="0" w:space="0" w:color="auto" w:frame="1"/>
        </w:rPr>
        <w:t>critical juncture</w:t>
      </w:r>
      <w:r w:rsidRPr="008F1996">
        <w:rPr>
          <w:rFonts w:ascii="Times New Roman" w:eastAsia="Times New Roman" w:hAnsi="Times New Roman" w:cs="Times New Roman"/>
        </w:rPr>
        <w:t xml:space="preserve">. The historical narrative—"grow first, clean up later"—is environmentally untenable and economically inefficient, costing 4.8% of GDP annually in health damages. By reaching China's income threshold </w:t>
      </w:r>
      <w:r w:rsidRPr="008F1996">
        <w:rPr>
          <w:rFonts w:ascii="Times New Roman" w:eastAsia="Times New Roman" w:hAnsi="Times New Roman" w:cs="Times New Roman"/>
          <w:b/>
          <w:bCs/>
          <w:bdr w:val="none" w:sz="0" w:space="0" w:color="auto" w:frame="1"/>
        </w:rPr>
        <w:t>with concurrent policy activation</w:t>
      </w:r>
      <w:r w:rsidRPr="008F1996">
        <w:rPr>
          <w:rFonts w:ascii="Times New Roman" w:eastAsia="Times New Roman" w:hAnsi="Times New Roman" w:cs="Times New Roman"/>
        </w:rPr>
        <w:t xml:space="preserve">, India can achieve air quality improvement by </w:t>
      </w:r>
      <w:r w:rsidRPr="008F1996">
        <w:rPr>
          <w:rFonts w:ascii="Times New Roman" w:eastAsia="Times New Roman" w:hAnsi="Times New Roman" w:cs="Times New Roman"/>
          <w:b/>
          <w:bCs/>
          <w:bdr w:val="none" w:sz="0" w:space="0" w:color="auto" w:frame="1"/>
        </w:rPr>
        <w:t>2040–2045</w:t>
      </w:r>
      <w:r w:rsidRPr="008F1996">
        <w:rPr>
          <w:rFonts w:ascii="Times New Roman" w:eastAsia="Times New Roman" w:hAnsi="Times New Roman" w:cs="Times New Roman"/>
        </w:rPr>
        <w:t xml:space="preserve">. However, </w:t>
      </w:r>
      <w:r w:rsidRPr="008F1996">
        <w:rPr>
          <w:rFonts w:ascii="Times New Roman" w:eastAsia="Times New Roman" w:hAnsi="Times New Roman" w:cs="Times New Roman"/>
          <w:b/>
          <w:bCs/>
          <w:bdr w:val="none" w:sz="0" w:space="0" w:color="auto" w:frame="1"/>
        </w:rPr>
        <w:t>delayed action until income thresholds are met</w:t>
      </w:r>
      <w:r w:rsidRPr="008F1996">
        <w:rPr>
          <w:rFonts w:ascii="Times New Roman" w:eastAsia="Times New Roman" w:hAnsi="Times New Roman" w:cs="Times New Roman"/>
        </w:rPr>
        <w:t xml:space="preserve"> could extend the crisis to 2050+, resulting in </w:t>
      </w:r>
      <w:r w:rsidRPr="008F1996">
        <w:rPr>
          <w:rFonts w:ascii="Times New Roman" w:eastAsia="Times New Roman" w:hAnsi="Times New Roman" w:cs="Times New Roman"/>
          <w:b/>
          <w:bCs/>
          <w:bdr w:val="none" w:sz="0" w:space="0" w:color="auto" w:frame="1"/>
        </w:rPr>
        <w:t>25 million cumulative excess deaths</w:t>
      </w:r>
      <w:r w:rsidRPr="008F1996">
        <w:rPr>
          <w:rFonts w:ascii="Times New Roman" w:eastAsia="Times New Roman" w:hAnsi="Times New Roman" w:cs="Times New Roman"/>
        </w:rPr>
        <w:t xml:space="preserve"> and irreversible ecosystem damage. The path forward demands </w:t>
      </w:r>
      <w:r w:rsidRPr="008F1996">
        <w:rPr>
          <w:rFonts w:ascii="Times New Roman" w:eastAsia="Times New Roman" w:hAnsi="Times New Roman" w:cs="Times New Roman"/>
          <w:b/>
          <w:bCs/>
          <w:bdr w:val="none" w:sz="0" w:space="0" w:color="auto" w:frame="1"/>
        </w:rPr>
        <w:t>policy parity with economic ambition</w:t>
      </w:r>
      <w:r w:rsidRPr="008F1996">
        <w:rPr>
          <w:rFonts w:ascii="Times New Roman" w:eastAsia="Times New Roman" w:hAnsi="Times New Roman" w:cs="Times New Roman"/>
        </w:rPr>
        <w:t>.</w:t>
      </w:r>
    </w:p>
    <w:p w14:paraId="4F191CAB" w14:textId="77777777" w:rsidR="003B7739" w:rsidRPr="008F1996" w:rsidRDefault="00635C6E" w:rsidP="003B7739">
      <w:pPr>
        <w:spacing w:after="240"/>
        <w:rPr>
          <w:rFonts w:ascii="Times New Roman" w:eastAsia="Times New Roman" w:hAnsi="Times New Roman" w:cs="Times New Roman"/>
        </w:rPr>
      </w:pPr>
      <w:r>
        <w:rPr>
          <w:rFonts w:ascii="Times New Roman" w:eastAsia="Times New Roman" w:hAnsi="Times New Roman" w:cs="Times New Roman"/>
          <w:noProof/>
        </w:rPr>
        <w:pict w14:anchorId="7A87A261">
          <v:rect id="_x0000_i1031" alt="" style="width:468pt;height:.05pt;mso-width-percent:0;mso-height-percent:0;mso-width-percent:0;mso-height-percent:0" o:hralign="center" o:hrstd="t" o:hr="t" fillcolor="#a0a0a0" stroked="f"/>
        </w:pict>
      </w:r>
    </w:p>
    <w:p w14:paraId="116DAAC2"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7. ACKNOWLEDGMENTS</w:t>
      </w:r>
    </w:p>
    <w:p w14:paraId="373C97C3"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 xml:space="preserve">This collaborative research was supported by the Massive Earth Foundation's Clean Air Initiative and </w:t>
      </w:r>
      <w:proofErr w:type="spellStart"/>
      <w:r w:rsidRPr="008F1996">
        <w:rPr>
          <w:rFonts w:ascii="Times New Roman" w:eastAsia="Times New Roman" w:hAnsi="Times New Roman" w:cs="Times New Roman"/>
        </w:rPr>
        <w:t>Plaksha</w:t>
      </w:r>
      <w:proofErr w:type="spellEnd"/>
      <w:r w:rsidRPr="008F1996">
        <w:rPr>
          <w:rFonts w:ascii="Times New Roman" w:eastAsia="Times New Roman" w:hAnsi="Times New Roman" w:cs="Times New Roman"/>
        </w:rPr>
        <w:t xml:space="preserve"> University's Research Excellence Fund (Grant No. PUREF-ENV-2024-07). The authors acknowledge computational support from the Center for Data Science and Artificial Intelligence at </w:t>
      </w:r>
      <w:proofErr w:type="spellStart"/>
      <w:r w:rsidRPr="008F1996">
        <w:rPr>
          <w:rFonts w:ascii="Times New Roman" w:eastAsia="Times New Roman" w:hAnsi="Times New Roman" w:cs="Times New Roman"/>
        </w:rPr>
        <w:t>Plaksha</w:t>
      </w:r>
      <w:proofErr w:type="spellEnd"/>
      <w:r w:rsidRPr="008F1996">
        <w:rPr>
          <w:rFonts w:ascii="Times New Roman" w:eastAsia="Times New Roman" w:hAnsi="Times New Roman" w:cs="Times New Roman"/>
        </w:rPr>
        <w:t xml:space="preserve"> University and policy guidance from MEF's Network for Clean Air.</w:t>
      </w:r>
    </w:p>
    <w:p w14:paraId="2A96F207" w14:textId="77777777" w:rsidR="003B7739" w:rsidRPr="008F1996" w:rsidRDefault="00635C6E" w:rsidP="003B7739">
      <w:pPr>
        <w:spacing w:after="240"/>
        <w:rPr>
          <w:rFonts w:ascii="Times New Roman" w:eastAsia="Times New Roman" w:hAnsi="Times New Roman" w:cs="Times New Roman"/>
        </w:rPr>
      </w:pPr>
      <w:r>
        <w:rPr>
          <w:rFonts w:ascii="Times New Roman" w:eastAsia="Times New Roman" w:hAnsi="Times New Roman" w:cs="Times New Roman"/>
          <w:noProof/>
        </w:rPr>
        <w:pict w14:anchorId="406D50DC">
          <v:rect id="_x0000_i1030" alt="" style="width:468pt;height:.05pt;mso-width-percent:0;mso-height-percent:0;mso-width-percent:0;mso-height-percent:0" o:hralign="center" o:hrstd="t" o:hr="t" fillcolor="#a0a0a0" stroked="f"/>
        </w:pict>
      </w:r>
    </w:p>
    <w:p w14:paraId="7BCFB661"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8. CONFLICT OF INTEREST STATEMENT</w:t>
      </w:r>
    </w:p>
    <w:p w14:paraId="6A949E26"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 xml:space="preserve">The authors declare no competing financial interests. Massive Earth Foundation is a non-profit organization focused on environmental sustainability; </w:t>
      </w:r>
      <w:proofErr w:type="spellStart"/>
      <w:r w:rsidRPr="008F1996">
        <w:rPr>
          <w:rFonts w:ascii="Times New Roman" w:eastAsia="Times New Roman" w:hAnsi="Times New Roman" w:cs="Times New Roman"/>
        </w:rPr>
        <w:t>Plaksha</w:t>
      </w:r>
      <w:proofErr w:type="spellEnd"/>
      <w:r w:rsidRPr="008F1996">
        <w:rPr>
          <w:rFonts w:ascii="Times New Roman" w:eastAsia="Times New Roman" w:hAnsi="Times New Roman" w:cs="Times New Roman"/>
        </w:rPr>
        <w:t xml:space="preserve"> University is a research-intensive academic institution.</w:t>
      </w:r>
    </w:p>
    <w:p w14:paraId="6283FBD5" w14:textId="77777777" w:rsidR="003B7739" w:rsidRPr="008F1996" w:rsidRDefault="00635C6E" w:rsidP="003B7739">
      <w:pPr>
        <w:spacing w:after="240"/>
        <w:rPr>
          <w:rFonts w:ascii="Times New Roman" w:eastAsia="Times New Roman" w:hAnsi="Times New Roman" w:cs="Times New Roman"/>
        </w:rPr>
      </w:pPr>
      <w:r>
        <w:rPr>
          <w:rFonts w:ascii="Times New Roman" w:eastAsia="Times New Roman" w:hAnsi="Times New Roman" w:cs="Times New Roman"/>
          <w:noProof/>
        </w:rPr>
        <w:pict w14:anchorId="3CC3D7DF">
          <v:rect id="_x0000_i1029" alt="" style="width:468pt;height:.05pt;mso-width-percent:0;mso-height-percent:0;mso-width-percent:0;mso-height-percent:0" o:hralign="center" o:hrstd="t" o:hr="t" fillcolor="#a0a0a0" stroked="f"/>
        </w:pict>
      </w:r>
    </w:p>
    <w:p w14:paraId="7C610706"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lastRenderedPageBreak/>
        <w:t>9. AUTHOR CONTRIBUTIONS</w:t>
      </w:r>
    </w:p>
    <w:p w14:paraId="3157598E"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Conceptualization:</w:t>
      </w:r>
      <w:r w:rsidRPr="008F1996">
        <w:rPr>
          <w:rFonts w:ascii="Times New Roman" w:eastAsia="Times New Roman" w:hAnsi="Times New Roman" w:cs="Times New Roman"/>
        </w:rPr>
        <w:t xml:space="preserve"> Singh, Tomar</w:t>
      </w:r>
      <w:r w:rsidRPr="008F1996">
        <w:rPr>
          <w:rFonts w:ascii="Times New Roman" w:eastAsia="Times New Roman" w:hAnsi="Times New Roman" w:cs="Times New Roman"/>
        </w:rPr>
        <w:br/>
      </w:r>
      <w:r w:rsidRPr="008F1996">
        <w:rPr>
          <w:rFonts w:ascii="Times New Roman" w:eastAsia="Times New Roman" w:hAnsi="Times New Roman" w:cs="Times New Roman"/>
          <w:b/>
          <w:bCs/>
          <w:bdr w:val="none" w:sz="0" w:space="0" w:color="auto" w:frame="1"/>
        </w:rPr>
        <w:t>Data curation:</w:t>
      </w:r>
      <w:r w:rsidRPr="008F1996">
        <w:rPr>
          <w:rFonts w:ascii="Times New Roman" w:eastAsia="Times New Roman" w:hAnsi="Times New Roman" w:cs="Times New Roman"/>
        </w:rPr>
        <w:t xml:space="preserve"> Natarajan, Malhotra</w:t>
      </w:r>
      <w:r w:rsidRPr="008F1996">
        <w:rPr>
          <w:rFonts w:ascii="Times New Roman" w:eastAsia="Times New Roman" w:hAnsi="Times New Roman" w:cs="Times New Roman"/>
        </w:rPr>
        <w:br/>
      </w:r>
      <w:r w:rsidRPr="008F1996">
        <w:rPr>
          <w:rFonts w:ascii="Times New Roman" w:eastAsia="Times New Roman" w:hAnsi="Times New Roman" w:cs="Times New Roman"/>
          <w:b/>
          <w:bCs/>
          <w:bdr w:val="none" w:sz="0" w:space="0" w:color="auto" w:frame="1"/>
        </w:rPr>
        <w:t>Formal analysis:</w:t>
      </w:r>
      <w:r w:rsidRPr="008F1996">
        <w:rPr>
          <w:rFonts w:ascii="Times New Roman" w:eastAsia="Times New Roman" w:hAnsi="Times New Roman" w:cs="Times New Roman"/>
        </w:rPr>
        <w:t xml:space="preserve"> Tomar, Natarajan</w:t>
      </w:r>
      <w:r w:rsidRPr="008F1996">
        <w:rPr>
          <w:rFonts w:ascii="Times New Roman" w:eastAsia="Times New Roman" w:hAnsi="Times New Roman" w:cs="Times New Roman"/>
        </w:rPr>
        <w:br/>
      </w:r>
      <w:r w:rsidRPr="008F1996">
        <w:rPr>
          <w:rFonts w:ascii="Times New Roman" w:eastAsia="Times New Roman" w:hAnsi="Times New Roman" w:cs="Times New Roman"/>
          <w:b/>
          <w:bCs/>
          <w:bdr w:val="none" w:sz="0" w:space="0" w:color="auto" w:frame="1"/>
        </w:rPr>
        <w:t>Funding acquisition:</w:t>
      </w:r>
      <w:r w:rsidRPr="008F1996">
        <w:rPr>
          <w:rFonts w:ascii="Times New Roman" w:eastAsia="Times New Roman" w:hAnsi="Times New Roman" w:cs="Times New Roman"/>
        </w:rPr>
        <w:t xml:space="preserve"> Singh</w:t>
      </w:r>
      <w:r w:rsidRPr="008F1996">
        <w:rPr>
          <w:rFonts w:ascii="Times New Roman" w:eastAsia="Times New Roman" w:hAnsi="Times New Roman" w:cs="Times New Roman"/>
        </w:rPr>
        <w:br/>
      </w:r>
      <w:r w:rsidRPr="008F1996">
        <w:rPr>
          <w:rFonts w:ascii="Times New Roman" w:eastAsia="Times New Roman" w:hAnsi="Times New Roman" w:cs="Times New Roman"/>
          <w:b/>
          <w:bCs/>
          <w:bdr w:val="none" w:sz="0" w:space="0" w:color="auto" w:frame="1"/>
        </w:rPr>
        <w:t>Methodology:</w:t>
      </w:r>
      <w:r w:rsidRPr="008F1996">
        <w:rPr>
          <w:rFonts w:ascii="Times New Roman" w:eastAsia="Times New Roman" w:hAnsi="Times New Roman" w:cs="Times New Roman"/>
        </w:rPr>
        <w:t xml:space="preserve"> Singh, Tomar</w:t>
      </w:r>
      <w:r w:rsidRPr="008F1996">
        <w:rPr>
          <w:rFonts w:ascii="Times New Roman" w:eastAsia="Times New Roman" w:hAnsi="Times New Roman" w:cs="Times New Roman"/>
        </w:rPr>
        <w:br/>
      </w:r>
      <w:r w:rsidRPr="008F1996">
        <w:rPr>
          <w:rFonts w:ascii="Times New Roman" w:eastAsia="Times New Roman" w:hAnsi="Times New Roman" w:cs="Times New Roman"/>
          <w:b/>
          <w:bCs/>
          <w:bdr w:val="none" w:sz="0" w:space="0" w:color="auto" w:frame="1"/>
        </w:rPr>
        <w:t>Writing – original draft:</w:t>
      </w:r>
      <w:r w:rsidRPr="008F1996">
        <w:rPr>
          <w:rFonts w:ascii="Times New Roman" w:eastAsia="Times New Roman" w:hAnsi="Times New Roman" w:cs="Times New Roman"/>
        </w:rPr>
        <w:t xml:space="preserve"> Singh</w:t>
      </w:r>
      <w:r w:rsidRPr="008F1996">
        <w:rPr>
          <w:rFonts w:ascii="Times New Roman" w:eastAsia="Times New Roman" w:hAnsi="Times New Roman" w:cs="Times New Roman"/>
        </w:rPr>
        <w:br/>
      </w:r>
      <w:r w:rsidRPr="008F1996">
        <w:rPr>
          <w:rFonts w:ascii="Times New Roman" w:eastAsia="Times New Roman" w:hAnsi="Times New Roman" w:cs="Times New Roman"/>
          <w:b/>
          <w:bCs/>
          <w:bdr w:val="none" w:sz="0" w:space="0" w:color="auto" w:frame="1"/>
        </w:rPr>
        <w:t>Writing – review &amp; editing:</w:t>
      </w:r>
      <w:r w:rsidRPr="008F1996">
        <w:rPr>
          <w:rFonts w:ascii="Times New Roman" w:eastAsia="Times New Roman" w:hAnsi="Times New Roman" w:cs="Times New Roman"/>
        </w:rPr>
        <w:t xml:space="preserve"> Tomar, Natarajan, Malhotra</w:t>
      </w:r>
      <w:r w:rsidRPr="008F1996">
        <w:rPr>
          <w:rFonts w:ascii="Times New Roman" w:eastAsia="Times New Roman" w:hAnsi="Times New Roman" w:cs="Times New Roman"/>
        </w:rPr>
        <w:br/>
      </w:r>
      <w:r w:rsidRPr="008F1996">
        <w:rPr>
          <w:rFonts w:ascii="Times New Roman" w:eastAsia="Times New Roman" w:hAnsi="Times New Roman" w:cs="Times New Roman"/>
          <w:b/>
          <w:bCs/>
          <w:bdr w:val="none" w:sz="0" w:space="0" w:color="auto" w:frame="1"/>
        </w:rPr>
        <w:t>Supervision:</w:t>
      </w:r>
      <w:r w:rsidRPr="008F1996">
        <w:rPr>
          <w:rFonts w:ascii="Times New Roman" w:eastAsia="Times New Roman" w:hAnsi="Times New Roman" w:cs="Times New Roman"/>
        </w:rPr>
        <w:t xml:space="preserve"> Singh</w:t>
      </w:r>
    </w:p>
    <w:p w14:paraId="7F137778" w14:textId="77777777" w:rsidR="003B7739" w:rsidRPr="008F1996" w:rsidRDefault="00635C6E" w:rsidP="003B7739">
      <w:pPr>
        <w:spacing w:after="240"/>
        <w:rPr>
          <w:rFonts w:ascii="Times New Roman" w:eastAsia="Times New Roman" w:hAnsi="Times New Roman" w:cs="Times New Roman"/>
        </w:rPr>
      </w:pPr>
      <w:r>
        <w:rPr>
          <w:rFonts w:ascii="Times New Roman" w:eastAsia="Times New Roman" w:hAnsi="Times New Roman" w:cs="Times New Roman"/>
          <w:noProof/>
        </w:rPr>
        <w:pict w14:anchorId="403D5895">
          <v:rect id="_x0000_i1028" alt="" style="width:468pt;height:.05pt;mso-width-percent:0;mso-height-percent:0;mso-width-percent:0;mso-height-percent:0" o:hralign="center" o:hrstd="t" o:hr="t" fillcolor="#a0a0a0" stroked="f"/>
        </w:pict>
      </w:r>
    </w:p>
    <w:p w14:paraId="28DB4376"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10. INSTITUTIONAL DISCLAIMERS</w:t>
      </w:r>
    </w:p>
    <w:p w14:paraId="7EB7CBEC"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rPr>
        <w:t xml:space="preserve">The views expressed are those of the authors and do not necessarily reflect the official position of Massive Earth Foundation or </w:t>
      </w:r>
      <w:proofErr w:type="spellStart"/>
      <w:r w:rsidRPr="008F1996">
        <w:rPr>
          <w:rFonts w:ascii="Times New Roman" w:eastAsia="Times New Roman" w:hAnsi="Times New Roman" w:cs="Times New Roman"/>
        </w:rPr>
        <w:t>Plaksha</w:t>
      </w:r>
      <w:proofErr w:type="spellEnd"/>
      <w:r w:rsidRPr="008F1996">
        <w:rPr>
          <w:rFonts w:ascii="Times New Roman" w:eastAsia="Times New Roman" w:hAnsi="Times New Roman" w:cs="Times New Roman"/>
        </w:rPr>
        <w:t xml:space="preserve"> University. All data and code for replication are available at: </w:t>
      </w:r>
      <w:hyperlink r:id="rId6" w:tgtFrame="_blank" w:history="1">
        <w:r w:rsidRPr="008F1996">
          <w:rPr>
            <w:rFonts w:ascii="Times New Roman" w:eastAsia="Times New Roman" w:hAnsi="Times New Roman" w:cs="Times New Roman"/>
            <w:color w:val="0000FF"/>
            <w:u w:val="single"/>
            <w:bdr w:val="none" w:sz="0" w:space="0" w:color="auto" w:frame="1"/>
          </w:rPr>
          <w:t>https://github.com/massive-earth-foundation/India-EKC-2024</w:t>
        </w:r>
      </w:hyperlink>
    </w:p>
    <w:p w14:paraId="6C171691" w14:textId="77777777" w:rsidR="003B7739" w:rsidRPr="008F1996" w:rsidRDefault="00635C6E" w:rsidP="003B7739">
      <w:pPr>
        <w:spacing w:after="240"/>
        <w:rPr>
          <w:rFonts w:ascii="Times New Roman" w:eastAsia="Times New Roman" w:hAnsi="Times New Roman" w:cs="Times New Roman"/>
        </w:rPr>
      </w:pPr>
      <w:r>
        <w:rPr>
          <w:rFonts w:ascii="Times New Roman" w:eastAsia="Times New Roman" w:hAnsi="Times New Roman" w:cs="Times New Roman"/>
          <w:noProof/>
        </w:rPr>
        <w:pict w14:anchorId="0C7C2C6A">
          <v:rect id="_x0000_i1027" alt="" style="width:468pt;height:.05pt;mso-width-percent:0;mso-height-percent:0;mso-width-percent:0;mso-height-percent:0" o:hralign="center" o:hrstd="t" o:hr="t" fillcolor="#a0a0a0" stroked="f"/>
        </w:pict>
      </w:r>
    </w:p>
    <w:p w14:paraId="4CC9A000"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JOURNAL SUBMISSION RECOMMENDATION:</w:t>
      </w:r>
      <w:r w:rsidRPr="008F1996">
        <w:rPr>
          <w:rFonts w:ascii="Times New Roman" w:eastAsia="Times New Roman" w:hAnsi="Times New Roman" w:cs="Times New Roman"/>
        </w:rPr>
        <w:t xml:space="preserve"> </w:t>
      </w:r>
      <w:r w:rsidRPr="008F1996">
        <w:rPr>
          <w:rFonts w:ascii="Times New Roman" w:eastAsia="Times New Roman" w:hAnsi="Times New Roman" w:cs="Times New Roman"/>
          <w:i/>
          <w:iCs/>
          <w:bdr w:val="none" w:sz="0" w:space="0" w:color="auto" w:frame="1"/>
        </w:rPr>
        <w:t>Environmental Economics and Policy Studies</w:t>
      </w:r>
      <w:r w:rsidRPr="008F1996">
        <w:rPr>
          <w:rFonts w:ascii="Times New Roman" w:eastAsia="Times New Roman" w:hAnsi="Times New Roman" w:cs="Times New Roman"/>
        </w:rPr>
        <w:t xml:space="preserve"> (Springer) or </w:t>
      </w:r>
      <w:r w:rsidRPr="008F1996">
        <w:rPr>
          <w:rFonts w:ascii="Times New Roman" w:eastAsia="Times New Roman" w:hAnsi="Times New Roman" w:cs="Times New Roman"/>
          <w:i/>
          <w:iCs/>
          <w:bdr w:val="none" w:sz="0" w:space="0" w:color="auto" w:frame="1"/>
        </w:rPr>
        <w:t>Ecological Economics</w:t>
      </w:r>
      <w:r w:rsidRPr="008F1996">
        <w:rPr>
          <w:rFonts w:ascii="Times New Roman" w:eastAsia="Times New Roman" w:hAnsi="Times New Roman" w:cs="Times New Roman"/>
        </w:rPr>
        <w:t xml:space="preserve"> (Elsevier)</w:t>
      </w:r>
    </w:p>
    <w:p w14:paraId="6E0C0C6B" w14:textId="77777777" w:rsidR="003B7739" w:rsidRPr="008F1996" w:rsidRDefault="00635C6E" w:rsidP="003B7739">
      <w:pPr>
        <w:spacing w:after="240"/>
        <w:rPr>
          <w:rFonts w:ascii="Times New Roman" w:eastAsia="Times New Roman" w:hAnsi="Times New Roman" w:cs="Times New Roman"/>
        </w:rPr>
      </w:pPr>
      <w:r>
        <w:rPr>
          <w:rFonts w:ascii="Times New Roman" w:eastAsia="Times New Roman" w:hAnsi="Times New Roman" w:cs="Times New Roman"/>
          <w:noProof/>
        </w:rPr>
        <w:pict w14:anchorId="12C0A1A6">
          <v:rect id="_x0000_i1026" alt="" style="width:468pt;height:.05pt;mso-width-percent:0;mso-height-percent:0;mso-width-percent:0;mso-height-percent:0" o:hralign="center" o:hrstd="t" o:hr="t" fillcolor="#a0a0a0" stroked="f"/>
        </w:pict>
      </w:r>
    </w:p>
    <w:p w14:paraId="5F455EB4" w14:textId="2CA62FFA"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WORD COUNT:</w:t>
      </w:r>
      <w:r w:rsidRPr="008F1996">
        <w:rPr>
          <w:rFonts w:ascii="Times New Roman" w:eastAsia="Times New Roman" w:hAnsi="Times New Roman" w:cs="Times New Roman"/>
        </w:rPr>
        <w:t xml:space="preserve"> </w:t>
      </w:r>
      <w:r w:rsidR="006F6661">
        <w:rPr>
          <w:rFonts w:ascii="Times New Roman" w:eastAsia="Times New Roman" w:hAnsi="Times New Roman" w:cs="Times New Roman"/>
        </w:rPr>
        <w:t>2,164</w:t>
      </w:r>
      <w:r w:rsidRPr="008F1996">
        <w:rPr>
          <w:rFonts w:ascii="Times New Roman" w:eastAsia="Times New Roman" w:hAnsi="Times New Roman" w:cs="Times New Roman"/>
        </w:rPr>
        <w:t xml:space="preserve"> words (excluding tables, figures, and references)</w:t>
      </w:r>
      <w:r w:rsidRPr="008F1996">
        <w:rPr>
          <w:rFonts w:ascii="Times New Roman" w:eastAsia="Times New Roman" w:hAnsi="Times New Roman" w:cs="Times New Roman"/>
        </w:rPr>
        <w:br/>
      </w:r>
      <w:r w:rsidRPr="008F1996">
        <w:rPr>
          <w:rFonts w:ascii="Times New Roman" w:eastAsia="Times New Roman" w:hAnsi="Times New Roman" w:cs="Times New Roman"/>
          <w:b/>
          <w:bCs/>
          <w:bdr w:val="none" w:sz="0" w:space="0" w:color="auto" w:frame="1"/>
        </w:rPr>
        <w:t>TABLES:</w:t>
      </w:r>
      <w:r w:rsidRPr="008F1996">
        <w:rPr>
          <w:rFonts w:ascii="Times New Roman" w:eastAsia="Times New Roman" w:hAnsi="Times New Roman" w:cs="Times New Roman"/>
        </w:rPr>
        <w:t xml:space="preserve"> 3</w:t>
      </w:r>
      <w:r w:rsidRPr="008F1996">
        <w:rPr>
          <w:rFonts w:ascii="Times New Roman" w:eastAsia="Times New Roman" w:hAnsi="Times New Roman" w:cs="Times New Roman"/>
        </w:rPr>
        <w:br/>
      </w:r>
      <w:r w:rsidRPr="008F1996">
        <w:rPr>
          <w:rFonts w:ascii="Times New Roman" w:eastAsia="Times New Roman" w:hAnsi="Times New Roman" w:cs="Times New Roman"/>
          <w:b/>
          <w:bCs/>
          <w:bdr w:val="none" w:sz="0" w:space="0" w:color="auto" w:frame="1"/>
        </w:rPr>
        <w:t>FIGURES:</w:t>
      </w:r>
      <w:r w:rsidRPr="008F1996">
        <w:rPr>
          <w:rFonts w:ascii="Times New Roman" w:eastAsia="Times New Roman" w:hAnsi="Times New Roman" w:cs="Times New Roman"/>
        </w:rPr>
        <w:t xml:space="preserve"> 1</w:t>
      </w:r>
    </w:p>
    <w:p w14:paraId="034F06B9" w14:textId="77777777" w:rsidR="003B7739" w:rsidRPr="008F1996" w:rsidRDefault="00635C6E" w:rsidP="003B7739">
      <w:pPr>
        <w:spacing w:after="240"/>
        <w:rPr>
          <w:rFonts w:ascii="Times New Roman" w:eastAsia="Times New Roman" w:hAnsi="Times New Roman" w:cs="Times New Roman"/>
        </w:rPr>
      </w:pPr>
      <w:r>
        <w:rPr>
          <w:rFonts w:ascii="Times New Roman" w:eastAsia="Times New Roman" w:hAnsi="Times New Roman" w:cs="Times New Roman"/>
          <w:noProof/>
        </w:rPr>
        <w:pict w14:anchorId="03060732">
          <v:rect id="_x0000_i1025" alt="" style="width:468pt;height:.05pt;mso-width-percent:0;mso-height-percent:0;mso-width-percent:0;mso-height-percent:0" o:hralign="center" o:hrstd="t" o:hr="t" fillcolor="#a0a0a0" stroked="f"/>
        </w:pict>
      </w:r>
    </w:p>
    <w:p w14:paraId="09C186D5" w14:textId="77777777" w:rsidR="003B7739" w:rsidRPr="008F1996" w:rsidRDefault="003B7739" w:rsidP="003B7739">
      <w:pPr>
        <w:textAlignment w:val="baseline"/>
        <w:rPr>
          <w:rFonts w:ascii="Times New Roman" w:eastAsia="Times New Roman" w:hAnsi="Times New Roman" w:cs="Times New Roman"/>
        </w:rPr>
      </w:pPr>
      <w:r w:rsidRPr="008F1996">
        <w:rPr>
          <w:rFonts w:ascii="Times New Roman" w:eastAsia="Times New Roman" w:hAnsi="Times New Roman" w:cs="Times New Roman"/>
          <w:b/>
          <w:bCs/>
          <w:bdr w:val="none" w:sz="0" w:space="0" w:color="auto" w:frame="1"/>
        </w:rPr>
        <w:t>MASSIVE EARTH FOUNDATION</w:t>
      </w:r>
      <w:r w:rsidRPr="008F1996">
        <w:rPr>
          <w:rFonts w:ascii="Times New Roman" w:eastAsia="Times New Roman" w:hAnsi="Times New Roman" w:cs="Times New Roman"/>
        </w:rPr>
        <w:t xml:space="preserve"> | </w:t>
      </w:r>
      <w:r w:rsidRPr="008F1996">
        <w:rPr>
          <w:rFonts w:ascii="Times New Roman" w:eastAsia="Times New Roman" w:hAnsi="Times New Roman" w:cs="Times New Roman"/>
          <w:b/>
          <w:bCs/>
          <w:bdr w:val="none" w:sz="0" w:space="0" w:color="auto" w:frame="1"/>
        </w:rPr>
        <w:t>PLAKSHA UNIVERSITY</w:t>
      </w:r>
      <w:r w:rsidRPr="008F1996">
        <w:rPr>
          <w:rFonts w:ascii="Times New Roman" w:eastAsia="Times New Roman" w:hAnsi="Times New Roman" w:cs="Times New Roman"/>
        </w:rPr>
        <w:br/>
        <w:t>New Delhi, India | Mohali, Punjab, India</w:t>
      </w:r>
      <w:r w:rsidRPr="008F1996">
        <w:rPr>
          <w:rFonts w:ascii="Times New Roman" w:eastAsia="Times New Roman" w:hAnsi="Times New Roman" w:cs="Times New Roman"/>
        </w:rPr>
        <w:br/>
      </w:r>
      <w:hyperlink r:id="rId7" w:tgtFrame="_blank" w:history="1">
        <w:r w:rsidRPr="008F1996">
          <w:rPr>
            <w:rFonts w:ascii="Times New Roman" w:eastAsia="Times New Roman" w:hAnsi="Times New Roman" w:cs="Times New Roman"/>
            <w:color w:val="0000FF"/>
            <w:u w:val="single"/>
            <w:bdr w:val="none" w:sz="0" w:space="0" w:color="auto" w:frame="1"/>
          </w:rPr>
          <w:t>www.massivefoundation.org</w:t>
        </w:r>
      </w:hyperlink>
      <w:r w:rsidRPr="008F1996">
        <w:rPr>
          <w:rFonts w:ascii="Times New Roman" w:eastAsia="Times New Roman" w:hAnsi="Times New Roman" w:cs="Times New Roman"/>
        </w:rPr>
        <w:t xml:space="preserve"> | </w:t>
      </w:r>
      <w:hyperlink r:id="rId8" w:tgtFrame="_blank" w:history="1">
        <w:r w:rsidRPr="008F1996">
          <w:rPr>
            <w:rFonts w:ascii="Times New Roman" w:eastAsia="Times New Roman" w:hAnsi="Times New Roman" w:cs="Times New Roman"/>
            <w:color w:val="0000FF"/>
            <w:u w:val="single"/>
            <w:bdr w:val="none" w:sz="0" w:space="0" w:color="auto" w:frame="1"/>
          </w:rPr>
          <w:t>www.plaksha.edu.in</w:t>
        </w:r>
      </w:hyperlink>
    </w:p>
    <w:p w14:paraId="0970029A" w14:textId="77777777" w:rsidR="003B7739" w:rsidRPr="008F1996" w:rsidRDefault="003B7739">
      <w:pPr>
        <w:rPr>
          <w:rFonts w:ascii="Times New Roman" w:hAnsi="Times New Roman" w:cs="Times New Roman"/>
        </w:rPr>
      </w:pPr>
    </w:p>
    <w:sectPr w:rsidR="003B7739" w:rsidRPr="008F1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13425"/>
    <w:multiLevelType w:val="multilevel"/>
    <w:tmpl w:val="443E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724DC"/>
    <w:multiLevelType w:val="multilevel"/>
    <w:tmpl w:val="99605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2750E2"/>
    <w:multiLevelType w:val="multilevel"/>
    <w:tmpl w:val="469E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C36CB"/>
    <w:multiLevelType w:val="multilevel"/>
    <w:tmpl w:val="851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7457D"/>
    <w:multiLevelType w:val="multilevel"/>
    <w:tmpl w:val="3314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65353"/>
    <w:multiLevelType w:val="multilevel"/>
    <w:tmpl w:val="CB784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986ABA"/>
    <w:multiLevelType w:val="multilevel"/>
    <w:tmpl w:val="439C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16ED6"/>
    <w:multiLevelType w:val="multilevel"/>
    <w:tmpl w:val="BE50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413DE4"/>
    <w:multiLevelType w:val="multilevel"/>
    <w:tmpl w:val="44AA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861391"/>
    <w:multiLevelType w:val="multilevel"/>
    <w:tmpl w:val="9D10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0844E3"/>
    <w:multiLevelType w:val="multilevel"/>
    <w:tmpl w:val="FDBA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EF6385"/>
    <w:multiLevelType w:val="multilevel"/>
    <w:tmpl w:val="59C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858732">
    <w:abstractNumId w:val="8"/>
  </w:num>
  <w:num w:numId="2" w16cid:durableId="2052457221">
    <w:abstractNumId w:val="4"/>
  </w:num>
  <w:num w:numId="3" w16cid:durableId="73628974">
    <w:abstractNumId w:val="7"/>
  </w:num>
  <w:num w:numId="4" w16cid:durableId="306326939">
    <w:abstractNumId w:val="2"/>
  </w:num>
  <w:num w:numId="5" w16cid:durableId="1572502937">
    <w:abstractNumId w:val="3"/>
  </w:num>
  <w:num w:numId="6" w16cid:durableId="698627333">
    <w:abstractNumId w:val="0"/>
  </w:num>
  <w:num w:numId="7" w16cid:durableId="734814904">
    <w:abstractNumId w:val="6"/>
  </w:num>
  <w:num w:numId="8" w16cid:durableId="1923025754">
    <w:abstractNumId w:val="1"/>
  </w:num>
  <w:num w:numId="9" w16cid:durableId="560025497">
    <w:abstractNumId w:val="5"/>
  </w:num>
  <w:num w:numId="10" w16cid:durableId="1560364627">
    <w:abstractNumId w:val="10"/>
  </w:num>
  <w:num w:numId="11" w16cid:durableId="522675167">
    <w:abstractNumId w:val="11"/>
  </w:num>
  <w:num w:numId="12" w16cid:durableId="9252646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739"/>
    <w:rsid w:val="003B7739"/>
    <w:rsid w:val="00635C6E"/>
    <w:rsid w:val="006F6661"/>
    <w:rsid w:val="0080341E"/>
    <w:rsid w:val="008F1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1BCCC"/>
  <w15:chartTrackingRefBased/>
  <w15:docId w15:val="{61089E3A-6F9B-4A4A-AC27-DDF55C6D0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B7739"/>
    <w:rPr>
      <w:b/>
      <w:bCs/>
    </w:rPr>
  </w:style>
  <w:style w:type="character" w:styleId="Hyperlink">
    <w:name w:val="Hyperlink"/>
    <w:basedOn w:val="DefaultParagraphFont"/>
    <w:uiPriority w:val="99"/>
    <w:semiHidden/>
    <w:unhideWhenUsed/>
    <w:rsid w:val="003B7739"/>
    <w:rPr>
      <w:color w:val="0000FF"/>
      <w:u w:val="single"/>
    </w:rPr>
  </w:style>
  <w:style w:type="character" w:styleId="Emphasis">
    <w:name w:val="Emphasis"/>
    <w:basedOn w:val="DefaultParagraphFont"/>
    <w:uiPriority w:val="20"/>
    <w:qFormat/>
    <w:rsid w:val="003B7739"/>
    <w:rPr>
      <w:i/>
      <w:iCs/>
    </w:rPr>
  </w:style>
  <w:style w:type="character" w:customStyle="1" w:styleId="katex-wrapper">
    <w:name w:val="katex-wrapper"/>
    <w:basedOn w:val="DefaultParagraphFont"/>
    <w:rsid w:val="003B7739"/>
  </w:style>
  <w:style w:type="character" w:customStyle="1" w:styleId="mop">
    <w:name w:val="mop"/>
    <w:basedOn w:val="DefaultParagraphFont"/>
    <w:rsid w:val="003B7739"/>
  </w:style>
  <w:style w:type="character" w:customStyle="1" w:styleId="mopen">
    <w:name w:val="mopen"/>
    <w:basedOn w:val="DefaultParagraphFont"/>
    <w:rsid w:val="003B7739"/>
  </w:style>
  <w:style w:type="character" w:customStyle="1" w:styleId="mord">
    <w:name w:val="mord"/>
    <w:basedOn w:val="DefaultParagraphFont"/>
    <w:rsid w:val="003B7739"/>
  </w:style>
  <w:style w:type="character" w:customStyle="1" w:styleId="vlist-s">
    <w:name w:val="vlist-s"/>
    <w:basedOn w:val="DefaultParagraphFont"/>
    <w:rsid w:val="003B7739"/>
  </w:style>
  <w:style w:type="character" w:customStyle="1" w:styleId="mclose">
    <w:name w:val="mclose"/>
    <w:basedOn w:val="DefaultParagraphFont"/>
    <w:rsid w:val="003B7739"/>
  </w:style>
  <w:style w:type="character" w:customStyle="1" w:styleId="mrel">
    <w:name w:val="mrel"/>
    <w:basedOn w:val="DefaultParagraphFont"/>
    <w:rsid w:val="003B7739"/>
  </w:style>
  <w:style w:type="character" w:customStyle="1" w:styleId="mbin">
    <w:name w:val="mbin"/>
    <w:basedOn w:val="DefaultParagraphFont"/>
    <w:rsid w:val="003B7739"/>
  </w:style>
  <w:style w:type="character" w:customStyle="1" w:styleId="table-title">
    <w:name w:val="table-title"/>
    <w:basedOn w:val="DefaultParagraphFont"/>
    <w:rsid w:val="003B7739"/>
  </w:style>
  <w:style w:type="paragraph" w:styleId="ListParagraph">
    <w:name w:val="List Paragraph"/>
    <w:basedOn w:val="Normal"/>
    <w:uiPriority w:val="34"/>
    <w:qFormat/>
    <w:rsid w:val="003B77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021549">
      <w:bodyDiv w:val="1"/>
      <w:marLeft w:val="0"/>
      <w:marRight w:val="0"/>
      <w:marTop w:val="0"/>
      <w:marBottom w:val="0"/>
      <w:divBdr>
        <w:top w:val="none" w:sz="0" w:space="0" w:color="auto"/>
        <w:left w:val="none" w:sz="0" w:space="0" w:color="auto"/>
        <w:bottom w:val="none" w:sz="0" w:space="0" w:color="auto"/>
        <w:right w:val="none" w:sz="0" w:space="0" w:color="auto"/>
      </w:divBdr>
      <w:divsChild>
        <w:div w:id="2063749950">
          <w:marLeft w:val="0"/>
          <w:marRight w:val="0"/>
          <w:marTop w:val="0"/>
          <w:marBottom w:val="240"/>
          <w:divBdr>
            <w:top w:val="none" w:sz="0" w:space="0" w:color="auto"/>
            <w:left w:val="none" w:sz="0" w:space="0" w:color="auto"/>
            <w:bottom w:val="none" w:sz="0" w:space="0" w:color="auto"/>
            <w:right w:val="none" w:sz="0" w:space="0" w:color="auto"/>
          </w:divBdr>
        </w:div>
        <w:div w:id="78454501">
          <w:marLeft w:val="0"/>
          <w:marRight w:val="0"/>
          <w:marTop w:val="0"/>
          <w:marBottom w:val="240"/>
          <w:divBdr>
            <w:top w:val="none" w:sz="0" w:space="0" w:color="auto"/>
            <w:left w:val="none" w:sz="0" w:space="0" w:color="auto"/>
            <w:bottom w:val="none" w:sz="0" w:space="0" w:color="auto"/>
            <w:right w:val="none" w:sz="0" w:space="0" w:color="auto"/>
          </w:divBdr>
        </w:div>
        <w:div w:id="1058557120">
          <w:marLeft w:val="0"/>
          <w:marRight w:val="0"/>
          <w:marTop w:val="0"/>
          <w:marBottom w:val="240"/>
          <w:divBdr>
            <w:top w:val="none" w:sz="0" w:space="0" w:color="auto"/>
            <w:left w:val="none" w:sz="0" w:space="0" w:color="auto"/>
            <w:bottom w:val="none" w:sz="0" w:space="0" w:color="auto"/>
            <w:right w:val="none" w:sz="0" w:space="0" w:color="auto"/>
          </w:divBdr>
        </w:div>
        <w:div w:id="115758067">
          <w:marLeft w:val="0"/>
          <w:marRight w:val="0"/>
          <w:marTop w:val="0"/>
          <w:marBottom w:val="240"/>
          <w:divBdr>
            <w:top w:val="none" w:sz="0" w:space="0" w:color="auto"/>
            <w:left w:val="none" w:sz="0" w:space="0" w:color="auto"/>
            <w:bottom w:val="none" w:sz="0" w:space="0" w:color="auto"/>
            <w:right w:val="none" w:sz="0" w:space="0" w:color="auto"/>
          </w:divBdr>
        </w:div>
        <w:div w:id="772438085">
          <w:marLeft w:val="0"/>
          <w:marRight w:val="0"/>
          <w:marTop w:val="0"/>
          <w:marBottom w:val="240"/>
          <w:divBdr>
            <w:top w:val="none" w:sz="0" w:space="0" w:color="auto"/>
            <w:left w:val="none" w:sz="0" w:space="0" w:color="auto"/>
            <w:bottom w:val="none" w:sz="0" w:space="0" w:color="auto"/>
            <w:right w:val="none" w:sz="0" w:space="0" w:color="auto"/>
          </w:divBdr>
        </w:div>
        <w:div w:id="553199422">
          <w:marLeft w:val="0"/>
          <w:marRight w:val="0"/>
          <w:marTop w:val="0"/>
          <w:marBottom w:val="240"/>
          <w:divBdr>
            <w:top w:val="none" w:sz="0" w:space="0" w:color="auto"/>
            <w:left w:val="none" w:sz="0" w:space="0" w:color="auto"/>
            <w:bottom w:val="none" w:sz="0" w:space="0" w:color="auto"/>
            <w:right w:val="none" w:sz="0" w:space="0" w:color="auto"/>
          </w:divBdr>
        </w:div>
        <w:div w:id="321011229">
          <w:marLeft w:val="0"/>
          <w:marRight w:val="0"/>
          <w:marTop w:val="0"/>
          <w:marBottom w:val="240"/>
          <w:divBdr>
            <w:top w:val="none" w:sz="0" w:space="0" w:color="auto"/>
            <w:left w:val="none" w:sz="0" w:space="0" w:color="auto"/>
            <w:bottom w:val="none" w:sz="0" w:space="0" w:color="auto"/>
            <w:right w:val="none" w:sz="0" w:space="0" w:color="auto"/>
          </w:divBdr>
        </w:div>
        <w:div w:id="2106917805">
          <w:marLeft w:val="0"/>
          <w:marRight w:val="0"/>
          <w:marTop w:val="0"/>
          <w:marBottom w:val="240"/>
          <w:divBdr>
            <w:top w:val="none" w:sz="0" w:space="0" w:color="auto"/>
            <w:left w:val="none" w:sz="0" w:space="0" w:color="auto"/>
            <w:bottom w:val="none" w:sz="0" w:space="0" w:color="auto"/>
            <w:right w:val="none" w:sz="0" w:space="0" w:color="auto"/>
          </w:divBdr>
        </w:div>
        <w:div w:id="92241824">
          <w:marLeft w:val="0"/>
          <w:marRight w:val="0"/>
          <w:marTop w:val="0"/>
          <w:marBottom w:val="240"/>
          <w:divBdr>
            <w:top w:val="none" w:sz="0" w:space="0" w:color="auto"/>
            <w:left w:val="none" w:sz="0" w:space="0" w:color="auto"/>
            <w:bottom w:val="none" w:sz="0" w:space="0" w:color="auto"/>
            <w:right w:val="none" w:sz="0" w:space="0" w:color="auto"/>
          </w:divBdr>
        </w:div>
        <w:div w:id="1100641835">
          <w:marLeft w:val="0"/>
          <w:marRight w:val="0"/>
          <w:marTop w:val="0"/>
          <w:marBottom w:val="240"/>
          <w:divBdr>
            <w:top w:val="none" w:sz="0" w:space="0" w:color="auto"/>
            <w:left w:val="none" w:sz="0" w:space="0" w:color="auto"/>
            <w:bottom w:val="none" w:sz="0" w:space="0" w:color="auto"/>
            <w:right w:val="none" w:sz="0" w:space="0" w:color="auto"/>
          </w:divBdr>
        </w:div>
        <w:div w:id="53436469">
          <w:marLeft w:val="0"/>
          <w:marRight w:val="0"/>
          <w:marTop w:val="0"/>
          <w:marBottom w:val="240"/>
          <w:divBdr>
            <w:top w:val="none" w:sz="0" w:space="0" w:color="auto"/>
            <w:left w:val="none" w:sz="0" w:space="0" w:color="auto"/>
            <w:bottom w:val="none" w:sz="0" w:space="0" w:color="auto"/>
            <w:right w:val="none" w:sz="0" w:space="0" w:color="auto"/>
          </w:divBdr>
        </w:div>
        <w:div w:id="2002922013">
          <w:marLeft w:val="0"/>
          <w:marRight w:val="0"/>
          <w:marTop w:val="0"/>
          <w:marBottom w:val="240"/>
          <w:divBdr>
            <w:top w:val="none" w:sz="0" w:space="0" w:color="auto"/>
            <w:left w:val="none" w:sz="0" w:space="0" w:color="auto"/>
            <w:bottom w:val="none" w:sz="0" w:space="0" w:color="auto"/>
            <w:right w:val="none" w:sz="0" w:space="0" w:color="auto"/>
          </w:divBdr>
        </w:div>
        <w:div w:id="747504442">
          <w:marLeft w:val="0"/>
          <w:marRight w:val="0"/>
          <w:marTop w:val="0"/>
          <w:marBottom w:val="240"/>
          <w:divBdr>
            <w:top w:val="none" w:sz="0" w:space="0" w:color="auto"/>
            <w:left w:val="none" w:sz="0" w:space="0" w:color="auto"/>
            <w:bottom w:val="none" w:sz="0" w:space="0" w:color="auto"/>
            <w:right w:val="none" w:sz="0" w:space="0" w:color="auto"/>
          </w:divBdr>
        </w:div>
        <w:div w:id="1642228653">
          <w:marLeft w:val="0"/>
          <w:marRight w:val="0"/>
          <w:marTop w:val="0"/>
          <w:marBottom w:val="240"/>
          <w:divBdr>
            <w:top w:val="none" w:sz="0" w:space="0" w:color="auto"/>
            <w:left w:val="none" w:sz="0" w:space="0" w:color="auto"/>
            <w:bottom w:val="none" w:sz="0" w:space="0" w:color="auto"/>
            <w:right w:val="none" w:sz="0" w:space="0" w:color="auto"/>
          </w:divBdr>
        </w:div>
        <w:div w:id="2109353705">
          <w:marLeft w:val="0"/>
          <w:marRight w:val="0"/>
          <w:marTop w:val="0"/>
          <w:marBottom w:val="240"/>
          <w:divBdr>
            <w:top w:val="none" w:sz="0" w:space="0" w:color="auto"/>
            <w:left w:val="none" w:sz="0" w:space="0" w:color="auto"/>
            <w:bottom w:val="none" w:sz="0" w:space="0" w:color="auto"/>
            <w:right w:val="none" w:sz="0" w:space="0" w:color="auto"/>
          </w:divBdr>
        </w:div>
        <w:div w:id="1088040557">
          <w:marLeft w:val="0"/>
          <w:marRight w:val="0"/>
          <w:marTop w:val="0"/>
          <w:marBottom w:val="240"/>
          <w:divBdr>
            <w:top w:val="none" w:sz="0" w:space="0" w:color="auto"/>
            <w:left w:val="none" w:sz="0" w:space="0" w:color="auto"/>
            <w:bottom w:val="none" w:sz="0" w:space="0" w:color="auto"/>
            <w:right w:val="none" w:sz="0" w:space="0" w:color="auto"/>
          </w:divBdr>
        </w:div>
        <w:div w:id="321082628">
          <w:marLeft w:val="0"/>
          <w:marRight w:val="0"/>
          <w:marTop w:val="0"/>
          <w:marBottom w:val="240"/>
          <w:divBdr>
            <w:top w:val="none" w:sz="0" w:space="0" w:color="auto"/>
            <w:left w:val="none" w:sz="0" w:space="0" w:color="auto"/>
            <w:bottom w:val="none" w:sz="0" w:space="0" w:color="auto"/>
            <w:right w:val="none" w:sz="0" w:space="0" w:color="auto"/>
          </w:divBdr>
        </w:div>
        <w:div w:id="231044963">
          <w:marLeft w:val="0"/>
          <w:marRight w:val="0"/>
          <w:marTop w:val="0"/>
          <w:marBottom w:val="240"/>
          <w:divBdr>
            <w:top w:val="none" w:sz="0" w:space="0" w:color="auto"/>
            <w:left w:val="none" w:sz="0" w:space="0" w:color="auto"/>
            <w:bottom w:val="none" w:sz="0" w:space="0" w:color="auto"/>
            <w:right w:val="none" w:sz="0" w:space="0" w:color="auto"/>
          </w:divBdr>
        </w:div>
        <w:div w:id="895622929">
          <w:marLeft w:val="0"/>
          <w:marRight w:val="0"/>
          <w:marTop w:val="0"/>
          <w:marBottom w:val="240"/>
          <w:divBdr>
            <w:top w:val="none" w:sz="0" w:space="0" w:color="auto"/>
            <w:left w:val="none" w:sz="0" w:space="0" w:color="auto"/>
            <w:bottom w:val="none" w:sz="0" w:space="0" w:color="auto"/>
            <w:right w:val="none" w:sz="0" w:space="0" w:color="auto"/>
          </w:divBdr>
        </w:div>
        <w:div w:id="290944767">
          <w:marLeft w:val="0"/>
          <w:marRight w:val="0"/>
          <w:marTop w:val="0"/>
          <w:marBottom w:val="0"/>
          <w:divBdr>
            <w:top w:val="none" w:sz="0" w:space="0" w:color="auto"/>
            <w:left w:val="none" w:sz="0" w:space="0" w:color="auto"/>
            <w:bottom w:val="none" w:sz="0" w:space="0" w:color="auto"/>
            <w:right w:val="none" w:sz="0" w:space="0" w:color="auto"/>
          </w:divBdr>
        </w:div>
        <w:div w:id="1013805417">
          <w:marLeft w:val="0"/>
          <w:marRight w:val="0"/>
          <w:marTop w:val="0"/>
          <w:marBottom w:val="0"/>
          <w:divBdr>
            <w:top w:val="none" w:sz="0" w:space="0" w:color="auto"/>
            <w:left w:val="none" w:sz="0" w:space="0" w:color="auto"/>
            <w:bottom w:val="none" w:sz="0" w:space="0" w:color="auto"/>
            <w:right w:val="none" w:sz="0" w:space="0" w:color="auto"/>
          </w:divBdr>
        </w:div>
        <w:div w:id="1692951977">
          <w:marLeft w:val="0"/>
          <w:marRight w:val="0"/>
          <w:marTop w:val="0"/>
          <w:marBottom w:val="0"/>
          <w:divBdr>
            <w:top w:val="none" w:sz="0" w:space="0" w:color="auto"/>
            <w:left w:val="none" w:sz="0" w:space="0" w:color="auto"/>
            <w:bottom w:val="none" w:sz="0" w:space="0" w:color="auto"/>
            <w:right w:val="none" w:sz="0" w:space="0" w:color="auto"/>
          </w:divBdr>
        </w:div>
        <w:div w:id="908736703">
          <w:marLeft w:val="0"/>
          <w:marRight w:val="0"/>
          <w:marTop w:val="0"/>
          <w:marBottom w:val="240"/>
          <w:divBdr>
            <w:top w:val="none" w:sz="0" w:space="0" w:color="auto"/>
            <w:left w:val="none" w:sz="0" w:space="0" w:color="auto"/>
            <w:bottom w:val="none" w:sz="0" w:space="0" w:color="auto"/>
            <w:right w:val="none" w:sz="0" w:space="0" w:color="auto"/>
          </w:divBdr>
        </w:div>
        <w:div w:id="302783576">
          <w:marLeft w:val="0"/>
          <w:marRight w:val="0"/>
          <w:marTop w:val="0"/>
          <w:marBottom w:val="240"/>
          <w:divBdr>
            <w:top w:val="none" w:sz="0" w:space="0" w:color="auto"/>
            <w:left w:val="none" w:sz="0" w:space="0" w:color="auto"/>
            <w:bottom w:val="none" w:sz="0" w:space="0" w:color="auto"/>
            <w:right w:val="none" w:sz="0" w:space="0" w:color="auto"/>
          </w:divBdr>
        </w:div>
        <w:div w:id="2096978683">
          <w:marLeft w:val="0"/>
          <w:marRight w:val="0"/>
          <w:marTop w:val="0"/>
          <w:marBottom w:val="240"/>
          <w:divBdr>
            <w:top w:val="none" w:sz="0" w:space="0" w:color="auto"/>
            <w:left w:val="none" w:sz="0" w:space="0" w:color="auto"/>
            <w:bottom w:val="none" w:sz="0" w:space="0" w:color="auto"/>
            <w:right w:val="none" w:sz="0" w:space="0" w:color="auto"/>
          </w:divBdr>
        </w:div>
        <w:div w:id="12461548">
          <w:marLeft w:val="0"/>
          <w:marRight w:val="0"/>
          <w:marTop w:val="0"/>
          <w:marBottom w:val="240"/>
          <w:divBdr>
            <w:top w:val="none" w:sz="0" w:space="0" w:color="auto"/>
            <w:left w:val="none" w:sz="0" w:space="0" w:color="auto"/>
            <w:bottom w:val="none" w:sz="0" w:space="0" w:color="auto"/>
            <w:right w:val="none" w:sz="0" w:space="0" w:color="auto"/>
          </w:divBdr>
        </w:div>
        <w:div w:id="1694190288">
          <w:marLeft w:val="0"/>
          <w:marRight w:val="0"/>
          <w:marTop w:val="0"/>
          <w:marBottom w:val="240"/>
          <w:divBdr>
            <w:top w:val="none" w:sz="0" w:space="0" w:color="auto"/>
            <w:left w:val="none" w:sz="0" w:space="0" w:color="auto"/>
            <w:bottom w:val="none" w:sz="0" w:space="0" w:color="auto"/>
            <w:right w:val="none" w:sz="0" w:space="0" w:color="auto"/>
          </w:divBdr>
        </w:div>
        <w:div w:id="563369471">
          <w:marLeft w:val="0"/>
          <w:marRight w:val="0"/>
          <w:marTop w:val="0"/>
          <w:marBottom w:val="240"/>
          <w:divBdr>
            <w:top w:val="none" w:sz="0" w:space="0" w:color="auto"/>
            <w:left w:val="none" w:sz="0" w:space="0" w:color="auto"/>
            <w:bottom w:val="none" w:sz="0" w:space="0" w:color="auto"/>
            <w:right w:val="none" w:sz="0" w:space="0" w:color="auto"/>
          </w:divBdr>
        </w:div>
        <w:div w:id="1000234615">
          <w:marLeft w:val="0"/>
          <w:marRight w:val="0"/>
          <w:marTop w:val="0"/>
          <w:marBottom w:val="0"/>
          <w:divBdr>
            <w:top w:val="none" w:sz="0" w:space="0" w:color="auto"/>
            <w:left w:val="none" w:sz="0" w:space="0" w:color="auto"/>
            <w:bottom w:val="none" w:sz="0" w:space="0" w:color="auto"/>
            <w:right w:val="none" w:sz="0" w:space="0" w:color="auto"/>
          </w:divBdr>
        </w:div>
        <w:div w:id="403259684">
          <w:marLeft w:val="0"/>
          <w:marRight w:val="0"/>
          <w:marTop w:val="0"/>
          <w:marBottom w:val="0"/>
          <w:divBdr>
            <w:top w:val="none" w:sz="0" w:space="0" w:color="auto"/>
            <w:left w:val="none" w:sz="0" w:space="0" w:color="auto"/>
            <w:bottom w:val="none" w:sz="0" w:space="0" w:color="auto"/>
            <w:right w:val="none" w:sz="0" w:space="0" w:color="auto"/>
          </w:divBdr>
        </w:div>
        <w:div w:id="217939720">
          <w:marLeft w:val="0"/>
          <w:marRight w:val="0"/>
          <w:marTop w:val="0"/>
          <w:marBottom w:val="0"/>
          <w:divBdr>
            <w:top w:val="none" w:sz="0" w:space="0" w:color="auto"/>
            <w:left w:val="none" w:sz="0" w:space="0" w:color="auto"/>
            <w:bottom w:val="none" w:sz="0" w:space="0" w:color="auto"/>
            <w:right w:val="none" w:sz="0" w:space="0" w:color="auto"/>
          </w:divBdr>
        </w:div>
        <w:div w:id="196548526">
          <w:marLeft w:val="0"/>
          <w:marRight w:val="0"/>
          <w:marTop w:val="0"/>
          <w:marBottom w:val="0"/>
          <w:divBdr>
            <w:top w:val="none" w:sz="0" w:space="0" w:color="auto"/>
            <w:left w:val="none" w:sz="0" w:space="0" w:color="auto"/>
            <w:bottom w:val="none" w:sz="0" w:space="0" w:color="auto"/>
            <w:right w:val="none" w:sz="0" w:space="0" w:color="auto"/>
          </w:divBdr>
        </w:div>
        <w:div w:id="250895865">
          <w:marLeft w:val="0"/>
          <w:marRight w:val="0"/>
          <w:marTop w:val="0"/>
          <w:marBottom w:val="240"/>
          <w:divBdr>
            <w:top w:val="none" w:sz="0" w:space="0" w:color="auto"/>
            <w:left w:val="none" w:sz="0" w:space="0" w:color="auto"/>
            <w:bottom w:val="none" w:sz="0" w:space="0" w:color="auto"/>
            <w:right w:val="none" w:sz="0" w:space="0" w:color="auto"/>
          </w:divBdr>
        </w:div>
        <w:div w:id="1325090421">
          <w:marLeft w:val="0"/>
          <w:marRight w:val="0"/>
          <w:marTop w:val="0"/>
          <w:marBottom w:val="240"/>
          <w:divBdr>
            <w:top w:val="none" w:sz="0" w:space="0" w:color="auto"/>
            <w:left w:val="none" w:sz="0" w:space="0" w:color="auto"/>
            <w:bottom w:val="none" w:sz="0" w:space="0" w:color="auto"/>
            <w:right w:val="none" w:sz="0" w:space="0" w:color="auto"/>
          </w:divBdr>
        </w:div>
        <w:div w:id="222524338">
          <w:marLeft w:val="0"/>
          <w:marRight w:val="0"/>
          <w:marTop w:val="0"/>
          <w:marBottom w:val="240"/>
          <w:divBdr>
            <w:top w:val="none" w:sz="0" w:space="0" w:color="auto"/>
            <w:left w:val="none" w:sz="0" w:space="0" w:color="auto"/>
            <w:bottom w:val="none" w:sz="0" w:space="0" w:color="auto"/>
            <w:right w:val="none" w:sz="0" w:space="0" w:color="auto"/>
          </w:divBdr>
        </w:div>
        <w:div w:id="342244451">
          <w:marLeft w:val="0"/>
          <w:marRight w:val="0"/>
          <w:marTop w:val="0"/>
          <w:marBottom w:val="240"/>
          <w:divBdr>
            <w:top w:val="none" w:sz="0" w:space="0" w:color="auto"/>
            <w:left w:val="none" w:sz="0" w:space="0" w:color="auto"/>
            <w:bottom w:val="none" w:sz="0" w:space="0" w:color="auto"/>
            <w:right w:val="none" w:sz="0" w:space="0" w:color="auto"/>
          </w:divBdr>
        </w:div>
        <w:div w:id="864176709">
          <w:marLeft w:val="0"/>
          <w:marRight w:val="0"/>
          <w:marTop w:val="0"/>
          <w:marBottom w:val="240"/>
          <w:divBdr>
            <w:top w:val="none" w:sz="0" w:space="0" w:color="auto"/>
            <w:left w:val="none" w:sz="0" w:space="0" w:color="auto"/>
            <w:bottom w:val="none" w:sz="0" w:space="0" w:color="auto"/>
            <w:right w:val="none" w:sz="0" w:space="0" w:color="auto"/>
          </w:divBdr>
        </w:div>
        <w:div w:id="1273633222">
          <w:marLeft w:val="0"/>
          <w:marRight w:val="0"/>
          <w:marTop w:val="0"/>
          <w:marBottom w:val="240"/>
          <w:divBdr>
            <w:top w:val="none" w:sz="0" w:space="0" w:color="auto"/>
            <w:left w:val="none" w:sz="0" w:space="0" w:color="auto"/>
            <w:bottom w:val="none" w:sz="0" w:space="0" w:color="auto"/>
            <w:right w:val="none" w:sz="0" w:space="0" w:color="auto"/>
          </w:divBdr>
        </w:div>
        <w:div w:id="405222364">
          <w:marLeft w:val="0"/>
          <w:marRight w:val="0"/>
          <w:marTop w:val="0"/>
          <w:marBottom w:val="0"/>
          <w:divBdr>
            <w:top w:val="none" w:sz="0" w:space="0" w:color="auto"/>
            <w:left w:val="none" w:sz="0" w:space="0" w:color="auto"/>
            <w:bottom w:val="none" w:sz="0" w:space="0" w:color="auto"/>
            <w:right w:val="none" w:sz="0" w:space="0" w:color="auto"/>
          </w:divBdr>
        </w:div>
        <w:div w:id="332226676">
          <w:marLeft w:val="0"/>
          <w:marRight w:val="0"/>
          <w:marTop w:val="0"/>
          <w:marBottom w:val="0"/>
          <w:divBdr>
            <w:top w:val="none" w:sz="0" w:space="0" w:color="auto"/>
            <w:left w:val="none" w:sz="0" w:space="0" w:color="auto"/>
            <w:bottom w:val="none" w:sz="0" w:space="0" w:color="auto"/>
            <w:right w:val="none" w:sz="0" w:space="0" w:color="auto"/>
          </w:divBdr>
        </w:div>
        <w:div w:id="1952056543">
          <w:marLeft w:val="0"/>
          <w:marRight w:val="0"/>
          <w:marTop w:val="0"/>
          <w:marBottom w:val="0"/>
          <w:divBdr>
            <w:top w:val="none" w:sz="0" w:space="0" w:color="auto"/>
            <w:left w:val="none" w:sz="0" w:space="0" w:color="auto"/>
            <w:bottom w:val="none" w:sz="0" w:space="0" w:color="auto"/>
            <w:right w:val="none" w:sz="0" w:space="0" w:color="auto"/>
          </w:divBdr>
        </w:div>
        <w:div w:id="1579165946">
          <w:marLeft w:val="0"/>
          <w:marRight w:val="0"/>
          <w:marTop w:val="0"/>
          <w:marBottom w:val="240"/>
          <w:divBdr>
            <w:top w:val="none" w:sz="0" w:space="0" w:color="auto"/>
            <w:left w:val="none" w:sz="0" w:space="0" w:color="auto"/>
            <w:bottom w:val="none" w:sz="0" w:space="0" w:color="auto"/>
            <w:right w:val="none" w:sz="0" w:space="0" w:color="auto"/>
          </w:divBdr>
        </w:div>
        <w:div w:id="213977399">
          <w:marLeft w:val="0"/>
          <w:marRight w:val="0"/>
          <w:marTop w:val="0"/>
          <w:marBottom w:val="240"/>
          <w:divBdr>
            <w:top w:val="none" w:sz="0" w:space="0" w:color="auto"/>
            <w:left w:val="none" w:sz="0" w:space="0" w:color="auto"/>
            <w:bottom w:val="none" w:sz="0" w:space="0" w:color="auto"/>
            <w:right w:val="none" w:sz="0" w:space="0" w:color="auto"/>
          </w:divBdr>
        </w:div>
        <w:div w:id="209851164">
          <w:marLeft w:val="0"/>
          <w:marRight w:val="0"/>
          <w:marTop w:val="0"/>
          <w:marBottom w:val="240"/>
          <w:divBdr>
            <w:top w:val="none" w:sz="0" w:space="0" w:color="auto"/>
            <w:left w:val="none" w:sz="0" w:space="0" w:color="auto"/>
            <w:bottom w:val="none" w:sz="0" w:space="0" w:color="auto"/>
            <w:right w:val="none" w:sz="0" w:space="0" w:color="auto"/>
          </w:divBdr>
        </w:div>
        <w:div w:id="118384460">
          <w:marLeft w:val="0"/>
          <w:marRight w:val="0"/>
          <w:marTop w:val="0"/>
          <w:marBottom w:val="0"/>
          <w:divBdr>
            <w:top w:val="none" w:sz="0" w:space="0" w:color="auto"/>
            <w:left w:val="none" w:sz="0" w:space="0" w:color="auto"/>
            <w:bottom w:val="none" w:sz="0" w:space="0" w:color="auto"/>
            <w:right w:val="none" w:sz="0" w:space="0" w:color="auto"/>
          </w:divBdr>
        </w:div>
        <w:div w:id="2136831165">
          <w:marLeft w:val="0"/>
          <w:marRight w:val="0"/>
          <w:marTop w:val="0"/>
          <w:marBottom w:val="0"/>
          <w:divBdr>
            <w:top w:val="none" w:sz="0" w:space="0" w:color="auto"/>
            <w:left w:val="none" w:sz="0" w:space="0" w:color="auto"/>
            <w:bottom w:val="none" w:sz="0" w:space="0" w:color="auto"/>
            <w:right w:val="none" w:sz="0" w:space="0" w:color="auto"/>
          </w:divBdr>
        </w:div>
        <w:div w:id="525947993">
          <w:marLeft w:val="0"/>
          <w:marRight w:val="0"/>
          <w:marTop w:val="0"/>
          <w:marBottom w:val="0"/>
          <w:divBdr>
            <w:top w:val="none" w:sz="0" w:space="0" w:color="auto"/>
            <w:left w:val="none" w:sz="0" w:space="0" w:color="auto"/>
            <w:bottom w:val="none" w:sz="0" w:space="0" w:color="auto"/>
            <w:right w:val="none" w:sz="0" w:space="0" w:color="auto"/>
          </w:divBdr>
        </w:div>
        <w:div w:id="2114354457">
          <w:marLeft w:val="0"/>
          <w:marRight w:val="0"/>
          <w:marTop w:val="0"/>
          <w:marBottom w:val="240"/>
          <w:divBdr>
            <w:top w:val="none" w:sz="0" w:space="0" w:color="auto"/>
            <w:left w:val="none" w:sz="0" w:space="0" w:color="auto"/>
            <w:bottom w:val="none" w:sz="0" w:space="0" w:color="auto"/>
            <w:right w:val="none" w:sz="0" w:space="0" w:color="auto"/>
          </w:divBdr>
        </w:div>
        <w:div w:id="1713576480">
          <w:marLeft w:val="0"/>
          <w:marRight w:val="0"/>
          <w:marTop w:val="0"/>
          <w:marBottom w:val="240"/>
          <w:divBdr>
            <w:top w:val="none" w:sz="0" w:space="0" w:color="auto"/>
            <w:left w:val="none" w:sz="0" w:space="0" w:color="auto"/>
            <w:bottom w:val="none" w:sz="0" w:space="0" w:color="auto"/>
            <w:right w:val="none" w:sz="0" w:space="0" w:color="auto"/>
          </w:divBdr>
        </w:div>
        <w:div w:id="1457717373">
          <w:marLeft w:val="0"/>
          <w:marRight w:val="0"/>
          <w:marTop w:val="0"/>
          <w:marBottom w:val="240"/>
          <w:divBdr>
            <w:top w:val="none" w:sz="0" w:space="0" w:color="auto"/>
            <w:left w:val="none" w:sz="0" w:space="0" w:color="auto"/>
            <w:bottom w:val="none" w:sz="0" w:space="0" w:color="auto"/>
            <w:right w:val="none" w:sz="0" w:space="0" w:color="auto"/>
          </w:divBdr>
        </w:div>
        <w:div w:id="1399210333">
          <w:marLeft w:val="0"/>
          <w:marRight w:val="0"/>
          <w:marTop w:val="0"/>
          <w:marBottom w:val="240"/>
          <w:divBdr>
            <w:top w:val="none" w:sz="0" w:space="0" w:color="auto"/>
            <w:left w:val="none" w:sz="0" w:space="0" w:color="auto"/>
            <w:bottom w:val="none" w:sz="0" w:space="0" w:color="auto"/>
            <w:right w:val="none" w:sz="0" w:space="0" w:color="auto"/>
          </w:divBdr>
        </w:div>
        <w:div w:id="975334432">
          <w:marLeft w:val="0"/>
          <w:marRight w:val="0"/>
          <w:marTop w:val="0"/>
          <w:marBottom w:val="240"/>
          <w:divBdr>
            <w:top w:val="none" w:sz="0" w:space="0" w:color="auto"/>
            <w:left w:val="none" w:sz="0" w:space="0" w:color="auto"/>
            <w:bottom w:val="none" w:sz="0" w:space="0" w:color="auto"/>
            <w:right w:val="none" w:sz="0" w:space="0" w:color="auto"/>
          </w:divBdr>
        </w:div>
        <w:div w:id="496270572">
          <w:marLeft w:val="0"/>
          <w:marRight w:val="0"/>
          <w:marTop w:val="0"/>
          <w:marBottom w:val="0"/>
          <w:divBdr>
            <w:top w:val="none" w:sz="0" w:space="0" w:color="auto"/>
            <w:left w:val="none" w:sz="0" w:space="0" w:color="auto"/>
            <w:bottom w:val="none" w:sz="0" w:space="0" w:color="auto"/>
            <w:right w:val="none" w:sz="0" w:space="0" w:color="auto"/>
          </w:divBdr>
        </w:div>
        <w:div w:id="199317735">
          <w:marLeft w:val="0"/>
          <w:marRight w:val="0"/>
          <w:marTop w:val="0"/>
          <w:marBottom w:val="0"/>
          <w:divBdr>
            <w:top w:val="none" w:sz="0" w:space="0" w:color="auto"/>
            <w:left w:val="none" w:sz="0" w:space="0" w:color="auto"/>
            <w:bottom w:val="none" w:sz="0" w:space="0" w:color="auto"/>
            <w:right w:val="none" w:sz="0" w:space="0" w:color="auto"/>
          </w:divBdr>
        </w:div>
        <w:div w:id="667293676">
          <w:marLeft w:val="0"/>
          <w:marRight w:val="0"/>
          <w:marTop w:val="0"/>
          <w:marBottom w:val="0"/>
          <w:divBdr>
            <w:top w:val="none" w:sz="0" w:space="0" w:color="auto"/>
            <w:left w:val="none" w:sz="0" w:space="0" w:color="auto"/>
            <w:bottom w:val="none" w:sz="0" w:space="0" w:color="auto"/>
            <w:right w:val="none" w:sz="0" w:space="0" w:color="auto"/>
          </w:divBdr>
        </w:div>
        <w:div w:id="1099250965">
          <w:marLeft w:val="0"/>
          <w:marRight w:val="0"/>
          <w:marTop w:val="0"/>
          <w:marBottom w:val="0"/>
          <w:divBdr>
            <w:top w:val="none" w:sz="0" w:space="0" w:color="auto"/>
            <w:left w:val="none" w:sz="0" w:space="0" w:color="auto"/>
            <w:bottom w:val="none" w:sz="0" w:space="0" w:color="auto"/>
            <w:right w:val="none" w:sz="0" w:space="0" w:color="auto"/>
          </w:divBdr>
        </w:div>
        <w:div w:id="1592810506">
          <w:marLeft w:val="0"/>
          <w:marRight w:val="0"/>
          <w:marTop w:val="0"/>
          <w:marBottom w:val="240"/>
          <w:divBdr>
            <w:top w:val="none" w:sz="0" w:space="0" w:color="auto"/>
            <w:left w:val="none" w:sz="0" w:space="0" w:color="auto"/>
            <w:bottom w:val="none" w:sz="0" w:space="0" w:color="auto"/>
            <w:right w:val="none" w:sz="0" w:space="0" w:color="auto"/>
          </w:divBdr>
        </w:div>
        <w:div w:id="507409427">
          <w:marLeft w:val="0"/>
          <w:marRight w:val="0"/>
          <w:marTop w:val="0"/>
          <w:marBottom w:val="240"/>
          <w:divBdr>
            <w:top w:val="none" w:sz="0" w:space="0" w:color="auto"/>
            <w:left w:val="none" w:sz="0" w:space="0" w:color="auto"/>
            <w:bottom w:val="none" w:sz="0" w:space="0" w:color="auto"/>
            <w:right w:val="none" w:sz="0" w:space="0" w:color="auto"/>
          </w:divBdr>
        </w:div>
        <w:div w:id="522792907">
          <w:marLeft w:val="0"/>
          <w:marRight w:val="0"/>
          <w:marTop w:val="0"/>
          <w:marBottom w:val="240"/>
          <w:divBdr>
            <w:top w:val="none" w:sz="0" w:space="0" w:color="auto"/>
            <w:left w:val="none" w:sz="0" w:space="0" w:color="auto"/>
            <w:bottom w:val="none" w:sz="0" w:space="0" w:color="auto"/>
            <w:right w:val="none" w:sz="0" w:space="0" w:color="auto"/>
          </w:divBdr>
        </w:div>
        <w:div w:id="817191513">
          <w:marLeft w:val="0"/>
          <w:marRight w:val="0"/>
          <w:marTop w:val="0"/>
          <w:marBottom w:val="0"/>
          <w:divBdr>
            <w:top w:val="none" w:sz="0" w:space="0" w:color="auto"/>
            <w:left w:val="none" w:sz="0" w:space="0" w:color="auto"/>
            <w:bottom w:val="none" w:sz="0" w:space="0" w:color="auto"/>
            <w:right w:val="none" w:sz="0" w:space="0" w:color="auto"/>
          </w:divBdr>
        </w:div>
        <w:div w:id="1040397265">
          <w:marLeft w:val="0"/>
          <w:marRight w:val="0"/>
          <w:marTop w:val="0"/>
          <w:marBottom w:val="0"/>
          <w:divBdr>
            <w:top w:val="none" w:sz="0" w:space="0" w:color="auto"/>
            <w:left w:val="none" w:sz="0" w:space="0" w:color="auto"/>
            <w:bottom w:val="none" w:sz="0" w:space="0" w:color="auto"/>
            <w:right w:val="none" w:sz="0" w:space="0" w:color="auto"/>
          </w:divBdr>
        </w:div>
        <w:div w:id="2076123085">
          <w:marLeft w:val="0"/>
          <w:marRight w:val="0"/>
          <w:marTop w:val="0"/>
          <w:marBottom w:val="240"/>
          <w:divBdr>
            <w:top w:val="none" w:sz="0" w:space="0" w:color="auto"/>
            <w:left w:val="none" w:sz="0" w:space="0" w:color="auto"/>
            <w:bottom w:val="none" w:sz="0" w:space="0" w:color="auto"/>
            <w:right w:val="none" w:sz="0" w:space="0" w:color="auto"/>
          </w:divBdr>
        </w:div>
        <w:div w:id="401877028">
          <w:marLeft w:val="0"/>
          <w:marRight w:val="0"/>
          <w:marTop w:val="0"/>
          <w:marBottom w:val="240"/>
          <w:divBdr>
            <w:top w:val="none" w:sz="0" w:space="0" w:color="auto"/>
            <w:left w:val="none" w:sz="0" w:space="0" w:color="auto"/>
            <w:bottom w:val="none" w:sz="0" w:space="0" w:color="auto"/>
            <w:right w:val="none" w:sz="0" w:space="0" w:color="auto"/>
          </w:divBdr>
        </w:div>
        <w:div w:id="67963481">
          <w:marLeft w:val="0"/>
          <w:marRight w:val="0"/>
          <w:marTop w:val="0"/>
          <w:marBottom w:val="240"/>
          <w:divBdr>
            <w:top w:val="none" w:sz="0" w:space="0" w:color="auto"/>
            <w:left w:val="none" w:sz="0" w:space="0" w:color="auto"/>
            <w:bottom w:val="none" w:sz="0" w:space="0" w:color="auto"/>
            <w:right w:val="none" w:sz="0" w:space="0" w:color="auto"/>
          </w:divBdr>
        </w:div>
        <w:div w:id="2096903386">
          <w:marLeft w:val="0"/>
          <w:marRight w:val="0"/>
          <w:marTop w:val="0"/>
          <w:marBottom w:val="240"/>
          <w:divBdr>
            <w:top w:val="none" w:sz="0" w:space="0" w:color="auto"/>
            <w:left w:val="none" w:sz="0" w:space="0" w:color="auto"/>
            <w:bottom w:val="none" w:sz="0" w:space="0" w:color="auto"/>
            <w:right w:val="none" w:sz="0" w:space="0" w:color="auto"/>
          </w:divBdr>
        </w:div>
        <w:div w:id="791940819">
          <w:marLeft w:val="0"/>
          <w:marRight w:val="0"/>
          <w:marTop w:val="0"/>
          <w:marBottom w:val="240"/>
          <w:divBdr>
            <w:top w:val="none" w:sz="0" w:space="0" w:color="auto"/>
            <w:left w:val="none" w:sz="0" w:space="0" w:color="auto"/>
            <w:bottom w:val="none" w:sz="0" w:space="0" w:color="auto"/>
            <w:right w:val="none" w:sz="0" w:space="0" w:color="auto"/>
          </w:divBdr>
        </w:div>
        <w:div w:id="34428711">
          <w:marLeft w:val="0"/>
          <w:marRight w:val="0"/>
          <w:marTop w:val="0"/>
          <w:marBottom w:val="240"/>
          <w:divBdr>
            <w:top w:val="none" w:sz="0" w:space="0" w:color="auto"/>
            <w:left w:val="none" w:sz="0" w:space="0" w:color="auto"/>
            <w:bottom w:val="none" w:sz="0" w:space="0" w:color="auto"/>
            <w:right w:val="none" w:sz="0" w:space="0" w:color="auto"/>
          </w:divBdr>
          <w:divsChild>
            <w:div w:id="1234390360">
              <w:marLeft w:val="0"/>
              <w:marRight w:val="0"/>
              <w:marTop w:val="0"/>
              <w:marBottom w:val="0"/>
              <w:divBdr>
                <w:top w:val="none" w:sz="0" w:space="0" w:color="auto"/>
                <w:left w:val="none" w:sz="0" w:space="0" w:color="auto"/>
                <w:bottom w:val="none" w:sz="0" w:space="0" w:color="auto"/>
                <w:right w:val="none" w:sz="0" w:space="0" w:color="auto"/>
              </w:divBdr>
            </w:div>
            <w:div w:id="1194463373">
              <w:marLeft w:val="0"/>
              <w:marRight w:val="0"/>
              <w:marTop w:val="0"/>
              <w:marBottom w:val="0"/>
              <w:divBdr>
                <w:top w:val="none" w:sz="0" w:space="0" w:color="auto"/>
                <w:left w:val="none" w:sz="0" w:space="0" w:color="auto"/>
                <w:bottom w:val="none" w:sz="0" w:space="0" w:color="auto"/>
                <w:right w:val="none" w:sz="0" w:space="0" w:color="auto"/>
              </w:divBdr>
            </w:div>
          </w:divsChild>
        </w:div>
        <w:div w:id="464202824">
          <w:marLeft w:val="0"/>
          <w:marRight w:val="0"/>
          <w:marTop w:val="0"/>
          <w:marBottom w:val="240"/>
          <w:divBdr>
            <w:top w:val="none" w:sz="0" w:space="0" w:color="auto"/>
            <w:left w:val="none" w:sz="0" w:space="0" w:color="auto"/>
            <w:bottom w:val="none" w:sz="0" w:space="0" w:color="auto"/>
            <w:right w:val="none" w:sz="0" w:space="0" w:color="auto"/>
          </w:divBdr>
        </w:div>
        <w:div w:id="1512600431">
          <w:marLeft w:val="0"/>
          <w:marRight w:val="0"/>
          <w:marTop w:val="0"/>
          <w:marBottom w:val="240"/>
          <w:divBdr>
            <w:top w:val="none" w:sz="0" w:space="0" w:color="auto"/>
            <w:left w:val="none" w:sz="0" w:space="0" w:color="auto"/>
            <w:bottom w:val="none" w:sz="0" w:space="0" w:color="auto"/>
            <w:right w:val="none" w:sz="0" w:space="0" w:color="auto"/>
          </w:divBdr>
        </w:div>
        <w:div w:id="309213449">
          <w:marLeft w:val="0"/>
          <w:marRight w:val="0"/>
          <w:marTop w:val="0"/>
          <w:marBottom w:val="240"/>
          <w:divBdr>
            <w:top w:val="none" w:sz="0" w:space="0" w:color="auto"/>
            <w:left w:val="none" w:sz="0" w:space="0" w:color="auto"/>
            <w:bottom w:val="none" w:sz="0" w:space="0" w:color="auto"/>
            <w:right w:val="none" w:sz="0" w:space="0" w:color="auto"/>
          </w:divBdr>
        </w:div>
        <w:div w:id="109976186">
          <w:marLeft w:val="0"/>
          <w:marRight w:val="0"/>
          <w:marTop w:val="0"/>
          <w:marBottom w:val="240"/>
          <w:divBdr>
            <w:top w:val="none" w:sz="0" w:space="0" w:color="auto"/>
            <w:left w:val="none" w:sz="0" w:space="0" w:color="auto"/>
            <w:bottom w:val="none" w:sz="0" w:space="0" w:color="auto"/>
            <w:right w:val="none" w:sz="0" w:space="0" w:color="auto"/>
          </w:divBdr>
          <w:divsChild>
            <w:div w:id="870730280">
              <w:marLeft w:val="0"/>
              <w:marRight w:val="0"/>
              <w:marTop w:val="0"/>
              <w:marBottom w:val="0"/>
              <w:divBdr>
                <w:top w:val="none" w:sz="0" w:space="0" w:color="auto"/>
                <w:left w:val="none" w:sz="0" w:space="0" w:color="auto"/>
                <w:bottom w:val="none" w:sz="0" w:space="0" w:color="auto"/>
                <w:right w:val="none" w:sz="0" w:space="0" w:color="auto"/>
              </w:divBdr>
            </w:div>
            <w:div w:id="577905133">
              <w:marLeft w:val="0"/>
              <w:marRight w:val="0"/>
              <w:marTop w:val="0"/>
              <w:marBottom w:val="0"/>
              <w:divBdr>
                <w:top w:val="none" w:sz="0" w:space="0" w:color="auto"/>
                <w:left w:val="none" w:sz="0" w:space="0" w:color="auto"/>
                <w:bottom w:val="none" w:sz="0" w:space="0" w:color="auto"/>
                <w:right w:val="none" w:sz="0" w:space="0" w:color="auto"/>
              </w:divBdr>
            </w:div>
          </w:divsChild>
        </w:div>
        <w:div w:id="1494836565">
          <w:marLeft w:val="0"/>
          <w:marRight w:val="0"/>
          <w:marTop w:val="0"/>
          <w:marBottom w:val="240"/>
          <w:divBdr>
            <w:top w:val="none" w:sz="0" w:space="0" w:color="auto"/>
            <w:left w:val="none" w:sz="0" w:space="0" w:color="auto"/>
            <w:bottom w:val="none" w:sz="0" w:space="0" w:color="auto"/>
            <w:right w:val="none" w:sz="0" w:space="0" w:color="auto"/>
          </w:divBdr>
        </w:div>
        <w:div w:id="117535572">
          <w:marLeft w:val="0"/>
          <w:marRight w:val="0"/>
          <w:marTop w:val="0"/>
          <w:marBottom w:val="240"/>
          <w:divBdr>
            <w:top w:val="none" w:sz="0" w:space="0" w:color="auto"/>
            <w:left w:val="none" w:sz="0" w:space="0" w:color="auto"/>
            <w:bottom w:val="none" w:sz="0" w:space="0" w:color="auto"/>
            <w:right w:val="none" w:sz="0" w:space="0" w:color="auto"/>
          </w:divBdr>
        </w:div>
        <w:div w:id="1960143440">
          <w:marLeft w:val="0"/>
          <w:marRight w:val="0"/>
          <w:marTop w:val="0"/>
          <w:marBottom w:val="240"/>
          <w:divBdr>
            <w:top w:val="none" w:sz="0" w:space="0" w:color="auto"/>
            <w:left w:val="none" w:sz="0" w:space="0" w:color="auto"/>
            <w:bottom w:val="none" w:sz="0" w:space="0" w:color="auto"/>
            <w:right w:val="none" w:sz="0" w:space="0" w:color="auto"/>
          </w:divBdr>
        </w:div>
        <w:div w:id="866211627">
          <w:marLeft w:val="0"/>
          <w:marRight w:val="0"/>
          <w:marTop w:val="0"/>
          <w:marBottom w:val="240"/>
          <w:divBdr>
            <w:top w:val="none" w:sz="0" w:space="0" w:color="auto"/>
            <w:left w:val="none" w:sz="0" w:space="0" w:color="auto"/>
            <w:bottom w:val="none" w:sz="0" w:space="0" w:color="auto"/>
            <w:right w:val="none" w:sz="0" w:space="0" w:color="auto"/>
          </w:divBdr>
        </w:div>
        <w:div w:id="654841622">
          <w:marLeft w:val="0"/>
          <w:marRight w:val="0"/>
          <w:marTop w:val="0"/>
          <w:marBottom w:val="240"/>
          <w:divBdr>
            <w:top w:val="none" w:sz="0" w:space="0" w:color="auto"/>
            <w:left w:val="none" w:sz="0" w:space="0" w:color="auto"/>
            <w:bottom w:val="none" w:sz="0" w:space="0" w:color="auto"/>
            <w:right w:val="none" w:sz="0" w:space="0" w:color="auto"/>
          </w:divBdr>
        </w:div>
        <w:div w:id="831676709">
          <w:marLeft w:val="0"/>
          <w:marRight w:val="0"/>
          <w:marTop w:val="0"/>
          <w:marBottom w:val="240"/>
          <w:divBdr>
            <w:top w:val="none" w:sz="0" w:space="0" w:color="auto"/>
            <w:left w:val="none" w:sz="0" w:space="0" w:color="auto"/>
            <w:bottom w:val="none" w:sz="0" w:space="0" w:color="auto"/>
            <w:right w:val="none" w:sz="0" w:space="0" w:color="auto"/>
          </w:divBdr>
        </w:div>
        <w:div w:id="1703169101">
          <w:marLeft w:val="0"/>
          <w:marRight w:val="0"/>
          <w:marTop w:val="0"/>
          <w:marBottom w:val="240"/>
          <w:divBdr>
            <w:top w:val="none" w:sz="0" w:space="0" w:color="auto"/>
            <w:left w:val="none" w:sz="0" w:space="0" w:color="auto"/>
            <w:bottom w:val="none" w:sz="0" w:space="0" w:color="auto"/>
            <w:right w:val="none" w:sz="0" w:space="0" w:color="auto"/>
          </w:divBdr>
        </w:div>
        <w:div w:id="939265378">
          <w:marLeft w:val="0"/>
          <w:marRight w:val="0"/>
          <w:marTop w:val="0"/>
          <w:marBottom w:val="240"/>
          <w:divBdr>
            <w:top w:val="none" w:sz="0" w:space="0" w:color="auto"/>
            <w:left w:val="none" w:sz="0" w:space="0" w:color="auto"/>
            <w:bottom w:val="none" w:sz="0" w:space="0" w:color="auto"/>
            <w:right w:val="none" w:sz="0" w:space="0" w:color="auto"/>
          </w:divBdr>
        </w:div>
        <w:div w:id="2038893385">
          <w:marLeft w:val="0"/>
          <w:marRight w:val="0"/>
          <w:marTop w:val="0"/>
          <w:marBottom w:val="240"/>
          <w:divBdr>
            <w:top w:val="none" w:sz="0" w:space="0" w:color="auto"/>
            <w:left w:val="none" w:sz="0" w:space="0" w:color="auto"/>
            <w:bottom w:val="none" w:sz="0" w:space="0" w:color="auto"/>
            <w:right w:val="none" w:sz="0" w:space="0" w:color="auto"/>
          </w:divBdr>
        </w:div>
        <w:div w:id="19477791">
          <w:marLeft w:val="0"/>
          <w:marRight w:val="0"/>
          <w:marTop w:val="0"/>
          <w:marBottom w:val="240"/>
          <w:divBdr>
            <w:top w:val="none" w:sz="0" w:space="0" w:color="auto"/>
            <w:left w:val="none" w:sz="0" w:space="0" w:color="auto"/>
            <w:bottom w:val="none" w:sz="0" w:space="0" w:color="auto"/>
            <w:right w:val="none" w:sz="0" w:space="0" w:color="auto"/>
          </w:divBdr>
        </w:div>
        <w:div w:id="1814173179">
          <w:marLeft w:val="0"/>
          <w:marRight w:val="0"/>
          <w:marTop w:val="0"/>
          <w:marBottom w:val="240"/>
          <w:divBdr>
            <w:top w:val="none" w:sz="0" w:space="0" w:color="auto"/>
            <w:left w:val="none" w:sz="0" w:space="0" w:color="auto"/>
            <w:bottom w:val="none" w:sz="0" w:space="0" w:color="auto"/>
            <w:right w:val="none" w:sz="0" w:space="0" w:color="auto"/>
          </w:divBdr>
        </w:div>
        <w:div w:id="1927105525">
          <w:marLeft w:val="0"/>
          <w:marRight w:val="0"/>
          <w:marTop w:val="0"/>
          <w:marBottom w:val="240"/>
          <w:divBdr>
            <w:top w:val="none" w:sz="0" w:space="0" w:color="auto"/>
            <w:left w:val="none" w:sz="0" w:space="0" w:color="auto"/>
            <w:bottom w:val="none" w:sz="0" w:space="0" w:color="auto"/>
            <w:right w:val="none" w:sz="0" w:space="0" w:color="auto"/>
          </w:divBdr>
          <w:divsChild>
            <w:div w:id="1509100973">
              <w:marLeft w:val="0"/>
              <w:marRight w:val="0"/>
              <w:marTop w:val="0"/>
              <w:marBottom w:val="0"/>
              <w:divBdr>
                <w:top w:val="none" w:sz="0" w:space="0" w:color="auto"/>
                <w:left w:val="none" w:sz="0" w:space="0" w:color="auto"/>
                <w:bottom w:val="none" w:sz="0" w:space="0" w:color="auto"/>
                <w:right w:val="none" w:sz="0" w:space="0" w:color="auto"/>
              </w:divBdr>
            </w:div>
            <w:div w:id="24604953">
              <w:marLeft w:val="0"/>
              <w:marRight w:val="0"/>
              <w:marTop w:val="0"/>
              <w:marBottom w:val="0"/>
              <w:divBdr>
                <w:top w:val="none" w:sz="0" w:space="0" w:color="auto"/>
                <w:left w:val="none" w:sz="0" w:space="0" w:color="auto"/>
                <w:bottom w:val="none" w:sz="0" w:space="0" w:color="auto"/>
                <w:right w:val="none" w:sz="0" w:space="0" w:color="auto"/>
              </w:divBdr>
            </w:div>
          </w:divsChild>
        </w:div>
        <w:div w:id="554312190">
          <w:marLeft w:val="0"/>
          <w:marRight w:val="0"/>
          <w:marTop w:val="0"/>
          <w:marBottom w:val="240"/>
          <w:divBdr>
            <w:top w:val="none" w:sz="0" w:space="0" w:color="auto"/>
            <w:left w:val="none" w:sz="0" w:space="0" w:color="auto"/>
            <w:bottom w:val="none" w:sz="0" w:space="0" w:color="auto"/>
            <w:right w:val="none" w:sz="0" w:space="0" w:color="auto"/>
          </w:divBdr>
        </w:div>
        <w:div w:id="596836794">
          <w:marLeft w:val="0"/>
          <w:marRight w:val="0"/>
          <w:marTop w:val="0"/>
          <w:marBottom w:val="240"/>
          <w:divBdr>
            <w:top w:val="none" w:sz="0" w:space="0" w:color="auto"/>
            <w:left w:val="none" w:sz="0" w:space="0" w:color="auto"/>
            <w:bottom w:val="none" w:sz="0" w:space="0" w:color="auto"/>
            <w:right w:val="none" w:sz="0" w:space="0" w:color="auto"/>
          </w:divBdr>
        </w:div>
        <w:div w:id="1380738077">
          <w:marLeft w:val="0"/>
          <w:marRight w:val="0"/>
          <w:marTop w:val="0"/>
          <w:marBottom w:val="240"/>
          <w:divBdr>
            <w:top w:val="none" w:sz="0" w:space="0" w:color="auto"/>
            <w:left w:val="none" w:sz="0" w:space="0" w:color="auto"/>
            <w:bottom w:val="none" w:sz="0" w:space="0" w:color="auto"/>
            <w:right w:val="none" w:sz="0" w:space="0" w:color="auto"/>
          </w:divBdr>
        </w:div>
        <w:div w:id="1142622330">
          <w:marLeft w:val="0"/>
          <w:marRight w:val="0"/>
          <w:marTop w:val="0"/>
          <w:marBottom w:val="240"/>
          <w:divBdr>
            <w:top w:val="none" w:sz="0" w:space="0" w:color="auto"/>
            <w:left w:val="none" w:sz="0" w:space="0" w:color="auto"/>
            <w:bottom w:val="none" w:sz="0" w:space="0" w:color="auto"/>
            <w:right w:val="none" w:sz="0" w:space="0" w:color="auto"/>
          </w:divBdr>
        </w:div>
        <w:div w:id="847599692">
          <w:marLeft w:val="0"/>
          <w:marRight w:val="0"/>
          <w:marTop w:val="0"/>
          <w:marBottom w:val="0"/>
          <w:divBdr>
            <w:top w:val="none" w:sz="0" w:space="0" w:color="auto"/>
            <w:left w:val="none" w:sz="0" w:space="0" w:color="auto"/>
            <w:bottom w:val="none" w:sz="0" w:space="0" w:color="auto"/>
            <w:right w:val="none" w:sz="0" w:space="0" w:color="auto"/>
          </w:divBdr>
        </w:div>
        <w:div w:id="2101290278">
          <w:marLeft w:val="0"/>
          <w:marRight w:val="0"/>
          <w:marTop w:val="0"/>
          <w:marBottom w:val="0"/>
          <w:divBdr>
            <w:top w:val="none" w:sz="0" w:space="0" w:color="auto"/>
            <w:left w:val="none" w:sz="0" w:space="0" w:color="auto"/>
            <w:bottom w:val="none" w:sz="0" w:space="0" w:color="auto"/>
            <w:right w:val="none" w:sz="0" w:space="0" w:color="auto"/>
          </w:divBdr>
        </w:div>
        <w:div w:id="742214498">
          <w:marLeft w:val="0"/>
          <w:marRight w:val="0"/>
          <w:marTop w:val="0"/>
          <w:marBottom w:val="0"/>
          <w:divBdr>
            <w:top w:val="none" w:sz="0" w:space="0" w:color="auto"/>
            <w:left w:val="none" w:sz="0" w:space="0" w:color="auto"/>
            <w:bottom w:val="none" w:sz="0" w:space="0" w:color="auto"/>
            <w:right w:val="none" w:sz="0" w:space="0" w:color="auto"/>
          </w:divBdr>
        </w:div>
        <w:div w:id="80954399">
          <w:marLeft w:val="0"/>
          <w:marRight w:val="0"/>
          <w:marTop w:val="0"/>
          <w:marBottom w:val="240"/>
          <w:divBdr>
            <w:top w:val="none" w:sz="0" w:space="0" w:color="auto"/>
            <w:left w:val="none" w:sz="0" w:space="0" w:color="auto"/>
            <w:bottom w:val="none" w:sz="0" w:space="0" w:color="auto"/>
            <w:right w:val="none" w:sz="0" w:space="0" w:color="auto"/>
          </w:divBdr>
        </w:div>
        <w:div w:id="83499287">
          <w:marLeft w:val="0"/>
          <w:marRight w:val="0"/>
          <w:marTop w:val="0"/>
          <w:marBottom w:val="240"/>
          <w:divBdr>
            <w:top w:val="none" w:sz="0" w:space="0" w:color="auto"/>
            <w:left w:val="none" w:sz="0" w:space="0" w:color="auto"/>
            <w:bottom w:val="none" w:sz="0" w:space="0" w:color="auto"/>
            <w:right w:val="none" w:sz="0" w:space="0" w:color="auto"/>
          </w:divBdr>
        </w:div>
        <w:div w:id="577982955">
          <w:marLeft w:val="0"/>
          <w:marRight w:val="0"/>
          <w:marTop w:val="0"/>
          <w:marBottom w:val="0"/>
          <w:divBdr>
            <w:top w:val="none" w:sz="0" w:space="0" w:color="auto"/>
            <w:left w:val="none" w:sz="0" w:space="0" w:color="auto"/>
            <w:bottom w:val="none" w:sz="0" w:space="0" w:color="auto"/>
            <w:right w:val="none" w:sz="0" w:space="0" w:color="auto"/>
          </w:divBdr>
        </w:div>
        <w:div w:id="1297763672">
          <w:marLeft w:val="0"/>
          <w:marRight w:val="0"/>
          <w:marTop w:val="0"/>
          <w:marBottom w:val="0"/>
          <w:divBdr>
            <w:top w:val="none" w:sz="0" w:space="0" w:color="auto"/>
            <w:left w:val="none" w:sz="0" w:space="0" w:color="auto"/>
            <w:bottom w:val="none" w:sz="0" w:space="0" w:color="auto"/>
            <w:right w:val="none" w:sz="0" w:space="0" w:color="auto"/>
          </w:divBdr>
        </w:div>
        <w:div w:id="1213349596">
          <w:marLeft w:val="0"/>
          <w:marRight w:val="0"/>
          <w:marTop w:val="0"/>
          <w:marBottom w:val="0"/>
          <w:divBdr>
            <w:top w:val="none" w:sz="0" w:space="0" w:color="auto"/>
            <w:left w:val="none" w:sz="0" w:space="0" w:color="auto"/>
            <w:bottom w:val="none" w:sz="0" w:space="0" w:color="auto"/>
            <w:right w:val="none" w:sz="0" w:space="0" w:color="auto"/>
          </w:divBdr>
        </w:div>
        <w:div w:id="365328081">
          <w:marLeft w:val="0"/>
          <w:marRight w:val="0"/>
          <w:marTop w:val="0"/>
          <w:marBottom w:val="240"/>
          <w:divBdr>
            <w:top w:val="none" w:sz="0" w:space="0" w:color="auto"/>
            <w:left w:val="none" w:sz="0" w:space="0" w:color="auto"/>
            <w:bottom w:val="none" w:sz="0" w:space="0" w:color="auto"/>
            <w:right w:val="none" w:sz="0" w:space="0" w:color="auto"/>
          </w:divBdr>
        </w:div>
        <w:div w:id="1361198436">
          <w:marLeft w:val="0"/>
          <w:marRight w:val="0"/>
          <w:marTop w:val="0"/>
          <w:marBottom w:val="240"/>
          <w:divBdr>
            <w:top w:val="none" w:sz="0" w:space="0" w:color="auto"/>
            <w:left w:val="none" w:sz="0" w:space="0" w:color="auto"/>
            <w:bottom w:val="none" w:sz="0" w:space="0" w:color="auto"/>
            <w:right w:val="none" w:sz="0" w:space="0" w:color="auto"/>
          </w:divBdr>
        </w:div>
        <w:div w:id="687563124">
          <w:marLeft w:val="0"/>
          <w:marRight w:val="0"/>
          <w:marTop w:val="0"/>
          <w:marBottom w:val="0"/>
          <w:divBdr>
            <w:top w:val="none" w:sz="0" w:space="0" w:color="auto"/>
            <w:left w:val="none" w:sz="0" w:space="0" w:color="auto"/>
            <w:bottom w:val="none" w:sz="0" w:space="0" w:color="auto"/>
            <w:right w:val="none" w:sz="0" w:space="0" w:color="auto"/>
          </w:divBdr>
        </w:div>
        <w:div w:id="1361514202">
          <w:marLeft w:val="0"/>
          <w:marRight w:val="0"/>
          <w:marTop w:val="0"/>
          <w:marBottom w:val="0"/>
          <w:divBdr>
            <w:top w:val="none" w:sz="0" w:space="0" w:color="auto"/>
            <w:left w:val="none" w:sz="0" w:space="0" w:color="auto"/>
            <w:bottom w:val="none" w:sz="0" w:space="0" w:color="auto"/>
            <w:right w:val="none" w:sz="0" w:space="0" w:color="auto"/>
          </w:divBdr>
        </w:div>
        <w:div w:id="1058093550">
          <w:marLeft w:val="0"/>
          <w:marRight w:val="0"/>
          <w:marTop w:val="0"/>
          <w:marBottom w:val="0"/>
          <w:divBdr>
            <w:top w:val="none" w:sz="0" w:space="0" w:color="auto"/>
            <w:left w:val="none" w:sz="0" w:space="0" w:color="auto"/>
            <w:bottom w:val="none" w:sz="0" w:space="0" w:color="auto"/>
            <w:right w:val="none" w:sz="0" w:space="0" w:color="auto"/>
          </w:divBdr>
        </w:div>
        <w:div w:id="1750735914">
          <w:marLeft w:val="0"/>
          <w:marRight w:val="0"/>
          <w:marTop w:val="0"/>
          <w:marBottom w:val="240"/>
          <w:divBdr>
            <w:top w:val="none" w:sz="0" w:space="0" w:color="auto"/>
            <w:left w:val="none" w:sz="0" w:space="0" w:color="auto"/>
            <w:bottom w:val="none" w:sz="0" w:space="0" w:color="auto"/>
            <w:right w:val="none" w:sz="0" w:space="0" w:color="auto"/>
          </w:divBdr>
        </w:div>
        <w:div w:id="95953845">
          <w:marLeft w:val="0"/>
          <w:marRight w:val="0"/>
          <w:marTop w:val="0"/>
          <w:marBottom w:val="240"/>
          <w:divBdr>
            <w:top w:val="none" w:sz="0" w:space="0" w:color="auto"/>
            <w:left w:val="none" w:sz="0" w:space="0" w:color="auto"/>
            <w:bottom w:val="none" w:sz="0" w:space="0" w:color="auto"/>
            <w:right w:val="none" w:sz="0" w:space="0" w:color="auto"/>
          </w:divBdr>
        </w:div>
        <w:div w:id="1959488346">
          <w:marLeft w:val="0"/>
          <w:marRight w:val="0"/>
          <w:marTop w:val="0"/>
          <w:marBottom w:val="0"/>
          <w:divBdr>
            <w:top w:val="none" w:sz="0" w:space="0" w:color="auto"/>
            <w:left w:val="none" w:sz="0" w:space="0" w:color="auto"/>
            <w:bottom w:val="none" w:sz="0" w:space="0" w:color="auto"/>
            <w:right w:val="none" w:sz="0" w:space="0" w:color="auto"/>
          </w:divBdr>
        </w:div>
        <w:div w:id="1900826899">
          <w:marLeft w:val="0"/>
          <w:marRight w:val="0"/>
          <w:marTop w:val="0"/>
          <w:marBottom w:val="0"/>
          <w:divBdr>
            <w:top w:val="none" w:sz="0" w:space="0" w:color="auto"/>
            <w:left w:val="none" w:sz="0" w:space="0" w:color="auto"/>
            <w:bottom w:val="none" w:sz="0" w:space="0" w:color="auto"/>
            <w:right w:val="none" w:sz="0" w:space="0" w:color="auto"/>
          </w:divBdr>
        </w:div>
        <w:div w:id="1950624639">
          <w:marLeft w:val="0"/>
          <w:marRight w:val="0"/>
          <w:marTop w:val="0"/>
          <w:marBottom w:val="0"/>
          <w:divBdr>
            <w:top w:val="none" w:sz="0" w:space="0" w:color="auto"/>
            <w:left w:val="none" w:sz="0" w:space="0" w:color="auto"/>
            <w:bottom w:val="none" w:sz="0" w:space="0" w:color="auto"/>
            <w:right w:val="none" w:sz="0" w:space="0" w:color="auto"/>
          </w:divBdr>
        </w:div>
        <w:div w:id="1016544347">
          <w:marLeft w:val="0"/>
          <w:marRight w:val="0"/>
          <w:marTop w:val="0"/>
          <w:marBottom w:val="240"/>
          <w:divBdr>
            <w:top w:val="none" w:sz="0" w:space="0" w:color="auto"/>
            <w:left w:val="none" w:sz="0" w:space="0" w:color="auto"/>
            <w:bottom w:val="none" w:sz="0" w:space="0" w:color="auto"/>
            <w:right w:val="none" w:sz="0" w:space="0" w:color="auto"/>
          </w:divBdr>
        </w:div>
        <w:div w:id="859784283">
          <w:marLeft w:val="0"/>
          <w:marRight w:val="0"/>
          <w:marTop w:val="0"/>
          <w:marBottom w:val="0"/>
          <w:divBdr>
            <w:top w:val="none" w:sz="0" w:space="0" w:color="auto"/>
            <w:left w:val="none" w:sz="0" w:space="0" w:color="auto"/>
            <w:bottom w:val="none" w:sz="0" w:space="0" w:color="auto"/>
            <w:right w:val="none" w:sz="0" w:space="0" w:color="auto"/>
          </w:divBdr>
        </w:div>
        <w:div w:id="2008286692">
          <w:marLeft w:val="0"/>
          <w:marRight w:val="0"/>
          <w:marTop w:val="0"/>
          <w:marBottom w:val="0"/>
          <w:divBdr>
            <w:top w:val="none" w:sz="0" w:space="0" w:color="auto"/>
            <w:left w:val="none" w:sz="0" w:space="0" w:color="auto"/>
            <w:bottom w:val="none" w:sz="0" w:space="0" w:color="auto"/>
            <w:right w:val="none" w:sz="0" w:space="0" w:color="auto"/>
          </w:divBdr>
        </w:div>
        <w:div w:id="2072998952">
          <w:marLeft w:val="0"/>
          <w:marRight w:val="0"/>
          <w:marTop w:val="0"/>
          <w:marBottom w:val="0"/>
          <w:divBdr>
            <w:top w:val="none" w:sz="0" w:space="0" w:color="auto"/>
            <w:left w:val="none" w:sz="0" w:space="0" w:color="auto"/>
            <w:bottom w:val="none" w:sz="0" w:space="0" w:color="auto"/>
            <w:right w:val="none" w:sz="0" w:space="0" w:color="auto"/>
          </w:divBdr>
        </w:div>
        <w:div w:id="1044452253">
          <w:marLeft w:val="0"/>
          <w:marRight w:val="0"/>
          <w:marTop w:val="0"/>
          <w:marBottom w:val="240"/>
          <w:divBdr>
            <w:top w:val="none" w:sz="0" w:space="0" w:color="auto"/>
            <w:left w:val="none" w:sz="0" w:space="0" w:color="auto"/>
            <w:bottom w:val="none" w:sz="0" w:space="0" w:color="auto"/>
            <w:right w:val="none" w:sz="0" w:space="0" w:color="auto"/>
          </w:divBdr>
        </w:div>
        <w:div w:id="1074547915">
          <w:marLeft w:val="0"/>
          <w:marRight w:val="0"/>
          <w:marTop w:val="0"/>
          <w:marBottom w:val="0"/>
          <w:divBdr>
            <w:top w:val="none" w:sz="0" w:space="0" w:color="auto"/>
            <w:left w:val="none" w:sz="0" w:space="0" w:color="auto"/>
            <w:bottom w:val="none" w:sz="0" w:space="0" w:color="auto"/>
            <w:right w:val="none" w:sz="0" w:space="0" w:color="auto"/>
          </w:divBdr>
        </w:div>
        <w:div w:id="710963135">
          <w:marLeft w:val="0"/>
          <w:marRight w:val="0"/>
          <w:marTop w:val="0"/>
          <w:marBottom w:val="0"/>
          <w:divBdr>
            <w:top w:val="none" w:sz="0" w:space="0" w:color="auto"/>
            <w:left w:val="none" w:sz="0" w:space="0" w:color="auto"/>
            <w:bottom w:val="none" w:sz="0" w:space="0" w:color="auto"/>
            <w:right w:val="none" w:sz="0" w:space="0" w:color="auto"/>
          </w:divBdr>
        </w:div>
        <w:div w:id="486362835">
          <w:marLeft w:val="0"/>
          <w:marRight w:val="0"/>
          <w:marTop w:val="0"/>
          <w:marBottom w:val="240"/>
          <w:divBdr>
            <w:top w:val="none" w:sz="0" w:space="0" w:color="auto"/>
            <w:left w:val="none" w:sz="0" w:space="0" w:color="auto"/>
            <w:bottom w:val="none" w:sz="0" w:space="0" w:color="auto"/>
            <w:right w:val="none" w:sz="0" w:space="0" w:color="auto"/>
          </w:divBdr>
        </w:div>
        <w:div w:id="396980376">
          <w:marLeft w:val="0"/>
          <w:marRight w:val="0"/>
          <w:marTop w:val="0"/>
          <w:marBottom w:val="240"/>
          <w:divBdr>
            <w:top w:val="none" w:sz="0" w:space="0" w:color="auto"/>
            <w:left w:val="none" w:sz="0" w:space="0" w:color="auto"/>
            <w:bottom w:val="none" w:sz="0" w:space="0" w:color="auto"/>
            <w:right w:val="none" w:sz="0" w:space="0" w:color="auto"/>
          </w:divBdr>
        </w:div>
        <w:div w:id="708140069">
          <w:marLeft w:val="0"/>
          <w:marRight w:val="0"/>
          <w:marTop w:val="0"/>
          <w:marBottom w:val="240"/>
          <w:divBdr>
            <w:top w:val="none" w:sz="0" w:space="0" w:color="auto"/>
            <w:left w:val="none" w:sz="0" w:space="0" w:color="auto"/>
            <w:bottom w:val="none" w:sz="0" w:space="0" w:color="auto"/>
            <w:right w:val="none" w:sz="0" w:space="0" w:color="auto"/>
          </w:divBdr>
        </w:div>
        <w:div w:id="610018037">
          <w:marLeft w:val="0"/>
          <w:marRight w:val="0"/>
          <w:marTop w:val="0"/>
          <w:marBottom w:val="240"/>
          <w:divBdr>
            <w:top w:val="none" w:sz="0" w:space="0" w:color="auto"/>
            <w:left w:val="none" w:sz="0" w:space="0" w:color="auto"/>
            <w:bottom w:val="none" w:sz="0" w:space="0" w:color="auto"/>
            <w:right w:val="none" w:sz="0" w:space="0" w:color="auto"/>
          </w:divBdr>
        </w:div>
        <w:div w:id="818808234">
          <w:marLeft w:val="0"/>
          <w:marRight w:val="0"/>
          <w:marTop w:val="0"/>
          <w:marBottom w:val="240"/>
          <w:divBdr>
            <w:top w:val="none" w:sz="0" w:space="0" w:color="auto"/>
            <w:left w:val="none" w:sz="0" w:space="0" w:color="auto"/>
            <w:bottom w:val="none" w:sz="0" w:space="0" w:color="auto"/>
            <w:right w:val="none" w:sz="0" w:space="0" w:color="auto"/>
          </w:divBdr>
        </w:div>
        <w:div w:id="1339846184">
          <w:marLeft w:val="0"/>
          <w:marRight w:val="0"/>
          <w:marTop w:val="0"/>
          <w:marBottom w:val="240"/>
          <w:divBdr>
            <w:top w:val="none" w:sz="0" w:space="0" w:color="auto"/>
            <w:left w:val="none" w:sz="0" w:space="0" w:color="auto"/>
            <w:bottom w:val="none" w:sz="0" w:space="0" w:color="auto"/>
            <w:right w:val="none" w:sz="0" w:space="0" w:color="auto"/>
          </w:divBdr>
        </w:div>
        <w:div w:id="774711603">
          <w:marLeft w:val="0"/>
          <w:marRight w:val="0"/>
          <w:marTop w:val="0"/>
          <w:marBottom w:val="240"/>
          <w:divBdr>
            <w:top w:val="none" w:sz="0" w:space="0" w:color="auto"/>
            <w:left w:val="none" w:sz="0" w:space="0" w:color="auto"/>
            <w:bottom w:val="none" w:sz="0" w:space="0" w:color="auto"/>
            <w:right w:val="none" w:sz="0" w:space="0" w:color="auto"/>
          </w:divBdr>
        </w:div>
        <w:div w:id="505369730">
          <w:marLeft w:val="0"/>
          <w:marRight w:val="0"/>
          <w:marTop w:val="0"/>
          <w:marBottom w:val="240"/>
          <w:divBdr>
            <w:top w:val="none" w:sz="0" w:space="0" w:color="auto"/>
            <w:left w:val="none" w:sz="0" w:space="0" w:color="auto"/>
            <w:bottom w:val="none" w:sz="0" w:space="0" w:color="auto"/>
            <w:right w:val="none" w:sz="0" w:space="0" w:color="auto"/>
          </w:divBdr>
        </w:div>
        <w:div w:id="266933217">
          <w:marLeft w:val="0"/>
          <w:marRight w:val="0"/>
          <w:marTop w:val="0"/>
          <w:marBottom w:val="240"/>
          <w:divBdr>
            <w:top w:val="none" w:sz="0" w:space="0" w:color="auto"/>
            <w:left w:val="none" w:sz="0" w:space="0" w:color="auto"/>
            <w:bottom w:val="none" w:sz="0" w:space="0" w:color="auto"/>
            <w:right w:val="none" w:sz="0" w:space="0" w:color="auto"/>
          </w:divBdr>
        </w:div>
        <w:div w:id="1005790910">
          <w:marLeft w:val="0"/>
          <w:marRight w:val="0"/>
          <w:marTop w:val="0"/>
          <w:marBottom w:val="240"/>
          <w:divBdr>
            <w:top w:val="none" w:sz="0" w:space="0" w:color="auto"/>
            <w:left w:val="none" w:sz="0" w:space="0" w:color="auto"/>
            <w:bottom w:val="none" w:sz="0" w:space="0" w:color="auto"/>
            <w:right w:val="none" w:sz="0" w:space="0" w:color="auto"/>
          </w:divBdr>
        </w:div>
        <w:div w:id="1319924381">
          <w:marLeft w:val="0"/>
          <w:marRight w:val="0"/>
          <w:marTop w:val="0"/>
          <w:marBottom w:val="240"/>
          <w:divBdr>
            <w:top w:val="none" w:sz="0" w:space="0" w:color="auto"/>
            <w:left w:val="none" w:sz="0" w:space="0" w:color="auto"/>
            <w:bottom w:val="none" w:sz="0" w:space="0" w:color="auto"/>
            <w:right w:val="none" w:sz="0" w:space="0" w:color="auto"/>
          </w:divBdr>
        </w:div>
        <w:div w:id="427118071">
          <w:marLeft w:val="0"/>
          <w:marRight w:val="0"/>
          <w:marTop w:val="0"/>
          <w:marBottom w:val="240"/>
          <w:divBdr>
            <w:top w:val="none" w:sz="0" w:space="0" w:color="auto"/>
            <w:left w:val="none" w:sz="0" w:space="0" w:color="auto"/>
            <w:bottom w:val="none" w:sz="0" w:space="0" w:color="auto"/>
            <w:right w:val="none" w:sz="0" w:space="0" w:color="auto"/>
          </w:divBdr>
        </w:div>
        <w:div w:id="201527051">
          <w:marLeft w:val="0"/>
          <w:marRight w:val="0"/>
          <w:marTop w:val="0"/>
          <w:marBottom w:val="240"/>
          <w:divBdr>
            <w:top w:val="none" w:sz="0" w:space="0" w:color="auto"/>
            <w:left w:val="none" w:sz="0" w:space="0" w:color="auto"/>
            <w:bottom w:val="none" w:sz="0" w:space="0" w:color="auto"/>
            <w:right w:val="none" w:sz="0" w:space="0" w:color="auto"/>
          </w:divBdr>
        </w:div>
        <w:div w:id="874120795">
          <w:marLeft w:val="0"/>
          <w:marRight w:val="0"/>
          <w:marTop w:val="0"/>
          <w:marBottom w:val="240"/>
          <w:divBdr>
            <w:top w:val="none" w:sz="0" w:space="0" w:color="auto"/>
            <w:left w:val="none" w:sz="0" w:space="0" w:color="auto"/>
            <w:bottom w:val="none" w:sz="0" w:space="0" w:color="auto"/>
            <w:right w:val="none" w:sz="0" w:space="0" w:color="auto"/>
          </w:divBdr>
        </w:div>
        <w:div w:id="13636324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ksha.edu.in" TargetMode="External"/><Relationship Id="rId3" Type="http://schemas.openxmlformats.org/officeDocument/2006/relationships/settings" Target="settings.xml"/><Relationship Id="rId7" Type="http://schemas.openxmlformats.org/officeDocument/2006/relationships/hyperlink" Target="http://www.massivefoundati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ssive-earth-foundation/India-EKC-2024" TargetMode="External"/><Relationship Id="rId5" Type="http://schemas.openxmlformats.org/officeDocument/2006/relationships/hyperlink" Target="mailto:shailesh@massivefoundation.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2451</Words>
  <Characters>13972</Characters>
  <Application>Microsoft Office Word</Application>
  <DocSecurity>0</DocSecurity>
  <Lines>116</Lines>
  <Paragraphs>32</Paragraphs>
  <ScaleCrop>false</ScaleCrop>
  <Company/>
  <LinksUpToDate>false</LinksUpToDate>
  <CharactersWithSpaces>16391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Lokendra Tomar</dc:creator>
  <cp:keywords/>
  <dc:description/>
  <cp:lastModifiedBy>Lokendra Tomar</cp:lastModifiedBy>
  <cp:revision>3</cp:revision>
  <dcterms:created xsi:type="dcterms:W3CDTF">2025-11-27T15:10:00Z</dcterms:created>
  <dcterms:modified xsi:type="dcterms:W3CDTF">2025-11-27T15:15:00Z</dcterms:modified>
</cp:coreProperties>
</file>