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Charter</w:t>
      </w:r>
    </w:p>
    <w:p>
      <w:pPr>
        <w:pStyle w:val="Heading1"/>
      </w:pPr>
      <w:r>
        <w:t>Purpose</w:t>
      </w:r>
    </w:p>
    <w:p>
      <w:r>
        <w:t>Consolidate the three regional TAMS (Travel Assistance Management System) instances into a single Salesforce-based platform that serves patients seeking subsidised medical travel, the practitioners who deliver assessments, and PTSF's regional operations teams.</w:t>
      </w:r>
    </w:p>
    <w:p>
      <w:pPr>
        <w:pStyle w:val="Heading1"/>
      </w:pPr>
      <w:r>
        <w:t>Business drivers</w:t>
      </w:r>
    </w:p>
    <w:p>
      <w:pPr>
        <w:pStyle w:val="ListBullet"/>
      </w:pPr>
      <w:r>
        <w:t>Retire legacy TAMS — three fragmented regional stacks with divergent data models and no unified reporting.</w:t>
      </w:r>
    </w:p>
    <w:p>
      <w:pPr>
        <w:pStyle w:val="ListBullet"/>
      </w:pPr>
      <w:r>
        <w:t>Patient experience — self-service application intake, real-time status, localised communication.</w:t>
      </w:r>
    </w:p>
    <w:p>
      <w:pPr>
        <w:pStyle w:val="ListBullet"/>
      </w:pPr>
      <w:r>
        <w:t>PHI compliance — enforce Private OWD on medical history, restriction rules, break-glass audit trail.</w:t>
      </w:r>
    </w:p>
    <w:p>
      <w:pPr>
        <w:pStyle w:val="ListBullet"/>
      </w:pPr>
      <w:r>
        <w:t>Operational visibility — regional dashboards for Team Managers and executives.</w:t>
      </w:r>
    </w:p>
    <w:p>
      <w:pPr>
        <w:pStyle w:val="Heading1"/>
      </w:pPr>
      <w:r>
        <w:t>Scope</w:t>
      </w:r>
    </w:p>
    <w:p>
      <w:pPr>
        <w:pStyle w:val="Heading2"/>
      </w:pPr>
      <w:r>
        <w:t>In scope (20 delivered intents)</w:t>
      </w:r>
    </w:p>
    <w:p>
      <w:pPr>
        <w:pStyle w:val="ListBullet"/>
      </w:pPr>
      <w:r>
        <w:t>Salesforce org provisioning + DevOps pipeline (INT-001)</w:t>
      </w:r>
    </w:p>
    <w:p>
      <w:pPr>
        <w:pStyle w:val="ListBullet"/>
      </w:pPr>
      <w:r>
        <w:t>Identity + regional user model (INT-002, INT-005)</w:t>
      </w:r>
    </w:p>
    <w:p>
      <w:pPr>
        <w:pStyle w:val="ListBullet"/>
      </w:pPr>
      <w:r>
        <w:t>Patient + Practitioner login surfaces (INT-003)</w:t>
      </w:r>
    </w:p>
    <w:p>
      <w:pPr>
        <w:pStyle w:val="ListBullet"/>
      </w:pPr>
      <w:r>
        <w:t>PHI security foundation + region scoping (INT-004, INT-020)</w:t>
      </w:r>
    </w:p>
    <w:p>
      <w:pPr>
        <w:pStyle w:val="ListBullet"/>
      </w:pPr>
      <w:r>
        <w:t>Patient portal onboarding wizard (INT-006)</w:t>
      </w:r>
    </w:p>
    <w:p>
      <w:pPr>
        <w:pStyle w:val="ListBullet"/>
      </w:pPr>
      <w:r>
        <w:t>Async HIC integration (INT-007)</w:t>
      </w:r>
    </w:p>
    <w:p>
      <w:pPr>
        <w:pStyle w:val="ListBullet"/>
      </w:pPr>
      <w:r>
        <w:t>Application lifecycle with auto-reject (INT-008)</w:t>
      </w:r>
    </w:p>
    <w:p>
      <w:pPr>
        <w:pStyle w:val="ListBullet"/>
      </w:pPr>
      <w:r>
        <w:t>Practitioner community + auto-assignment (INT-009)</w:t>
      </w:r>
    </w:p>
    <w:p>
      <w:pPr>
        <w:pStyle w:val="ListBullet"/>
      </w:pPr>
      <w:r>
        <w:t>SLA reassignment (INT-010)</w:t>
      </w:r>
    </w:p>
    <w:p>
      <w:pPr>
        <w:pStyle w:val="ListBullet"/>
      </w:pPr>
      <w:r>
        <w:t>Digital assessment form (INT-011)</w:t>
      </w:r>
    </w:p>
    <w:p>
      <w:pPr>
        <w:pStyle w:val="ListBullet"/>
      </w:pPr>
      <w:r>
        <w:t>15-day escalation (INT-012)</w:t>
      </w:r>
    </w:p>
    <w:p>
      <w:pPr>
        <w:pStyle w:val="ListBullet"/>
      </w:pPr>
      <w:r>
        <w:t>Assessor Service Console (INT-013)</w:t>
      </w:r>
    </w:p>
    <w:p>
      <w:pPr>
        <w:pStyle w:val="ListBullet"/>
      </w:pPr>
      <w:r>
        <w:t>Subsidy determination Flow (INT-014)</w:t>
      </w:r>
    </w:p>
    <w:p>
      <w:pPr>
        <w:pStyle w:val="ListBullet"/>
      </w:pPr>
      <w:r>
        <w:t>Chat + bot + KB (INT-015)</w:t>
      </w:r>
    </w:p>
    <w:p>
      <w:pPr>
        <w:pStyle w:val="ListBullet"/>
      </w:pPr>
      <w:r>
        <w:t>Reporting (INT-016)</w:t>
      </w:r>
    </w:p>
    <w:p>
      <w:pPr>
        <w:pStyle w:val="ListBullet"/>
      </w:pPr>
      <w:r>
        <w:t>Practitioner MHE temporary access (INT-019)</w:t>
      </w:r>
    </w:p>
    <w:p>
      <w:pPr>
        <w:pStyle w:val="ListBullet"/>
      </w:pPr>
      <w:r>
        <w:t>TAMS→Salesforce migration ETL (INT-017)</w:t>
      </w:r>
    </w:p>
    <w:p>
      <w:pPr>
        <w:pStyle w:val="ListBullet"/>
      </w:pPr>
      <w:r>
        <w:t>Per-region cutover with dual-run (INT-018)</w:t>
      </w:r>
    </w:p>
    <w:p>
      <w:pPr>
        <w:pStyle w:val="Heading2"/>
      </w:pPr>
      <w:r>
        <w:t>Out of scope</w:t>
      </w:r>
    </w:p>
    <w:p>
      <w:pPr>
        <w:pStyle w:val="ListBullet"/>
      </w:pPr>
      <w:r>
        <w:t>Real HIC vendor endpoint enablement (deferred to production)</w:t>
      </w:r>
    </w:p>
    <w:p>
      <w:pPr>
        <w:pStyle w:val="ListBullet"/>
      </w:pPr>
      <w:r>
        <w:t>Real IdP metadata configuration (deferred to PTSF IT handoff)</w:t>
      </w:r>
    </w:p>
    <w:p>
      <w:pPr>
        <w:pStyle w:val="ListBullet"/>
      </w:pPr>
      <w:r>
        <w:t>TAMS hardware decommission (PTSF IT owns)</w:t>
      </w:r>
    </w:p>
    <w:p>
      <w:pPr>
        <w:pStyle w:val="ListBullet"/>
      </w:pPr>
      <w:r>
        <w:t>Global AD federation</w:t>
      </w:r>
    </w:p>
    <w:p>
      <w:pPr>
        <w:pStyle w:val="ListBullet"/>
      </w:pPr>
      <w:r>
        <w:t>Patient-facing analytics</w:t>
      </w:r>
    </w:p>
    <w:p>
      <w:pPr>
        <w:pStyle w:val="ListBullet"/>
      </w:pPr>
      <w:r>
        <w:t>Practitioner acceptance rate roll-up</w:t>
      </w:r>
    </w:p>
    <w:p>
      <w:pPr>
        <w:pStyle w:val="Heading1"/>
      </w:pPr>
      <w:r>
        <w:t>Success criteria</w:t>
      </w:r>
    </w:p>
    <w:p>
      <w:pPr>
        <w:pStyle w:val="ListBullet"/>
      </w:pPr>
      <w:r>
        <w:t>All 20 intents ✅ Delivered (met — 2026-09-30)</w:t>
      </w:r>
    </w:p>
    <w:p>
      <w:pPr>
        <w:pStyle w:val="ListBullet"/>
      </w:pPr>
      <w:r>
        <w:t>Automated test coverage ≥ 39 Apex tests green (met)</w:t>
      </w:r>
    </w:p>
    <w:p>
      <w:pPr>
        <w:pStyle w:val="ListBullet"/>
      </w:pPr>
      <w:r>
        <w:t>Zero critical defects on merge to develop (met)</w:t>
      </w:r>
    </w:p>
    <w:p>
      <w:pPr>
        <w:pStyle w:val="ListBullet"/>
      </w:pPr>
      <w:r>
        <w:t>Structural org-probes verified for all ✅ criteria (met — verify-evidence 2026-09-30)</w:t>
      </w:r>
    </w:p>
    <w:p>
      <w:pPr>
        <w:pStyle w:val="ListBullet"/>
      </w:pPr>
      <w:r>
        <w:t>15 pending 👁 manual sign-offs completed before production cutover (pending)</w:t>
      </w:r>
    </w:p>
    <w:p>
      <w:pPr>
        <w:pStyle w:val="ListBullet"/>
      </w:pPr>
      <w:r>
        <w:t>Regional cutover with &lt; 4 hours per-region downtime (pending)</w:t>
      </w:r>
    </w:p>
    <w:p>
      <w:pPr>
        <w:pStyle w:val="Heading1"/>
      </w:pPr>
      <w:r>
        <w:t>Governance</w:t>
      </w:r>
    </w:p>
    <w:p>
      <w:pPr>
        <w:pStyle w:val="ListBullet"/>
      </w:pPr>
      <w:r>
        <w:t>Trusted Guide (Architect of record): Prashant Kumar. Owns Intent, signs off ratification, decides scope disputes.</w:t>
      </w:r>
    </w:p>
    <w:p>
      <w:pPr>
        <w:pStyle w:val="ListBullet"/>
      </w:pPr>
      <w:r>
        <w:t>Delivery method: QL AI-native (agent builds; human ratifies). Every scope change carries a decisions/ record. intents/ is canonical; scopezilla/ is a read-only mirror.</w:t>
      </w:r>
    </w:p>
    <w:p>
      <w:pPr>
        <w:pStyle w:val="ListBullet"/>
      </w:pPr>
      <w:r>
        <w:t>Pipeline: feature/ → develop → release/ → main → prod. Agent lane ends at PR into develop.</w:t>
      </w:r>
    </w:p>
    <w:p>
      <w:pPr>
        <w:pStyle w:val="ListBullet"/>
      </w:pPr>
      <w:r>
        <w:t>CI gates: validate, drift, coverage --gate — no --no-verify, no bypass.</w:t>
      </w:r>
    </w:p>
    <w:p>
      <w:pPr>
        <w:pStyle w:val="ListBullet"/>
      </w:pPr>
      <w:r>
        <w:t>Reviews: intent-only PRs skip build gauntlet but still run Intent trust chain; build PRs run the full CI.</w:t>
      </w:r>
    </w:p>
    <w:p>
      <w:pPr>
        <w:pStyle w:val="Heading1"/>
      </w:pPr>
      <w:r>
        <w:t>Assumptions</w:t>
      </w:r>
    </w:p>
    <w:p>
      <w:r>
        <w:t>See delivery/raid-log.md § Assumptions.</w:t>
      </w:r>
    </w:p>
    <w:p>
      <w:pPr>
        <w:pStyle w:val="Heading1"/>
      </w:pPr>
      <w:r>
        <w:t>Risks</w:t>
      </w:r>
    </w:p>
    <w:p>
      <w:r>
        <w:t>Top risks: HIC vendor spec still open, IdP metadata not received, 15 manual sign-offs pending, TAMS cutover dual-run drift. See delivery/raid-log.md § Risks.</w:t>
      </w:r>
    </w:p>
    <w:p>
      <w:pPr>
        <w:pStyle w:val="Heading1"/>
      </w:pPr>
      <w:r>
        <w:t>High-level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Discovery + scope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Foundation (org, identity, security)</w:t>
            </w:r>
          </w:p>
        </w:tc>
        <w:tc>
          <w:tcPr>
            <w:tcW w:type="dxa" w:w="2880"/>
          </w:tcPr>
          <w:p>
            <w:r>
              <w:t>✅ Delivered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Patient intake + HIC</w:t>
            </w:r>
          </w:p>
        </w:tc>
        <w:tc>
          <w:tcPr>
            <w:tcW w:type="dxa" w:w="2880"/>
          </w:tcPr>
          <w:p>
            <w:r>
              <w:t>✅ Delivered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Practitioner + assessment</w:t>
            </w:r>
          </w:p>
        </w:tc>
        <w:tc>
          <w:tcPr>
            <w:tcW w:type="dxa" w:w="2880"/>
          </w:tcPr>
          <w:p>
            <w:r>
              <w:t>✅ Delivered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Business logic + operational surfaces</w:t>
            </w:r>
          </w:p>
        </w:tc>
        <w:tc>
          <w:tcPr>
            <w:tcW w:type="dxa" w:w="2880"/>
          </w:tcPr>
          <w:p>
            <w:r>
              <w:t>✅ Delivered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Migration + cutover</w:t>
            </w:r>
          </w:p>
        </w:tc>
        <w:tc>
          <w:tcPr>
            <w:tcW w:type="dxa" w:w="2880"/>
          </w:tcPr>
          <w:p>
            <w:r>
              <w:t>✅ Delivered (metadata); cutover pending</w:t>
            </w:r>
          </w:p>
        </w:tc>
      </w:tr>
    </w:tbl>
    <w:p>
      <w:pPr>
        <w:pStyle w:val="Heading1"/>
      </w:pPr>
      <w:r>
        <w:t>Deliverables (top-level)</w:t>
      </w:r>
    </w:p>
    <w:p>
      <w:pPr>
        <w:pStyle w:val="ListBullet"/>
      </w:pPr>
      <w:r>
        <w:t>Working org — epic.out.e68d765f4115@orgfarm.salesforce.com (203 components deployed)</w:t>
      </w:r>
    </w:p>
    <w:p>
      <w:pPr>
        <w:pStyle w:val="ListBullet"/>
      </w:pPr>
      <w:r>
        <w:t>20 intent packages — each with intent.md, design.md, test-script.md, runbook</w:t>
      </w:r>
    </w:p>
    <w:p>
      <w:pPr>
        <w:pStyle w:val="ListBullet"/>
      </w:pPr>
      <w:r>
        <w:t>Test artifacts — 39 Apex tests, seed data script, manual test checklist</w:t>
      </w:r>
    </w:p>
    <w:p>
      <w:pPr>
        <w:pStyle w:val="ListBullet"/>
      </w:pPr>
      <w:r>
        <w:t>Governance artifacts — intent ledger, decision records, RAID log, RACI matrix, this charter</w:t>
      </w:r>
    </w:p>
    <w:p>
      <w:pPr>
        <w:pStyle w:val="ListBullet"/>
      </w:pPr>
      <w:r>
        <w:t>Capability map — delivery/capability-map.html for stakeholder walkthroughs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