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RAID Log — Risks, Assumptions, Issues, Dependencies</w:t>
      </w:r>
    </w:p>
    <w:p>
      <w:r>
        <w:t>Rolling log across all 20 intents. Source of truth: intents/INT-NNN/intent.md (Open questions, Dependencies) + decisions/ records + delivery/intent-ledger.md. This document rolls them up for stakeholder view.</w:t>
      </w:r>
    </w:p>
    <w:p>
      <w:pPr>
        <w:pStyle w:val="Heading1"/>
      </w:pPr>
      <w: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Likelihood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R-01</w:t>
            </w:r>
          </w:p>
        </w:tc>
        <w:tc>
          <w:tcPr>
            <w:tcW w:type="dxa" w:w="1234"/>
          </w:tcPr>
          <w:p>
            <w:r>
              <w:t>HIC vendor payload spec (Q-007-1) still open — mocked tests cover mechanism, not the real contract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PTSF IT / HIC vendor</w:t>
            </w:r>
          </w:p>
        </w:tc>
        <w:tc>
          <w:tcPr>
            <w:tcW w:type="dxa" w:w="1234"/>
          </w:tcPr>
          <w:p>
            <w:r>
              <w:t>Named Credential deployed with placeholder endpoint; enablement is a runbook step; retry logic already proven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R-02</w:t>
            </w:r>
          </w:p>
        </w:tc>
        <w:tc>
          <w:tcPr>
            <w:tcW w:type="dxa" w:w="1234"/>
          </w:tcPr>
          <w:p>
            <w:r>
              <w:t>Real IdP metadata + certs for EMEA/AMER/AD not yet supplied — INT-002 acceptance blocked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PTSF IT</w:t>
            </w:r>
          </w:p>
        </w:tc>
        <w:tc>
          <w:tcPr>
            <w:tcW w:type="dxa" w:w="1234"/>
          </w:tcPr>
          <w:p>
            <w:r>
              <w:t>JIT handler + SamlSsoConfig deployed; runbook intents/INT-002/ documents plug-in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R-03</w:t>
            </w:r>
          </w:p>
        </w:tc>
        <w:tc>
          <w:tcPr>
            <w:tcW w:type="dxa" w:w="1234"/>
          </w:tcPr>
          <w:p>
            <w:r>
              <w:t>Facebook Dev App credentials unavailable — INT-003 patient self-registration blocked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PTSF marketing / dev</w:t>
            </w:r>
          </w:p>
        </w:tc>
        <w:tc>
          <w:tcPr>
            <w:tcW w:type="dxa" w:w="1234"/>
          </w:tcPr>
          <w:p>
            <w:r>
              <w:t>Auth provider + Experience Cloud sites are provisioned in metadata; only external app config missing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R-04</w:t>
            </w:r>
          </w:p>
        </w:tc>
        <w:tc>
          <w:tcPr>
            <w:tcW w:type="dxa" w:w="1234"/>
          </w:tcPr>
          <w:p>
            <w:r>
              <w:t>15 delivered intents carry 👁 manual sign-offs pending — automated coverage confirms mechanism, humans must confirm experience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Trusted Guide + designated testers</w:t>
            </w:r>
          </w:p>
        </w:tc>
        <w:tc>
          <w:tcPr>
            <w:tcW w:type="dxa" w:w="1234"/>
          </w:tcPr>
          <w:p>
            <w:r>
              <w:t>Test plan (delivery/test-plan.md) + Word checklist (delivery/PTSF-Manual-Tests.docx) drafted; seed data loaded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R-05</w:t>
            </w:r>
          </w:p>
        </w:tc>
        <w:tc>
          <w:tcPr>
            <w:tcW w:type="dxa" w:w="1234"/>
          </w:tcPr>
          <w:p>
            <w:r>
              <w:t>Salesforce report/dashboard metadata deploys are fragile on greenfield orgs — INT-016 reports must be built in Report Builder against deployed CRTs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 (materialised)</w:t>
            </w:r>
          </w:p>
        </w:tc>
        <w:tc>
          <w:tcPr>
            <w:tcW w:type="dxa" w:w="1234"/>
          </w:tcPr>
          <w:p>
            <w:r>
              <w:t>Admin / Trusted Guide</w:t>
            </w:r>
          </w:p>
        </w:tc>
        <w:tc>
          <w:tcPr>
            <w:tcW w:type="dxa" w:w="1234"/>
          </w:tcPr>
          <w:p>
            <w:r>
              <w:t>Accepted-gap C5/C8, click-through runbook delivery/runbook-INT-016.md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R-06</w:t>
            </w:r>
          </w:p>
        </w:tc>
        <w:tc>
          <w:tcPr>
            <w:tcW w:type="dxa" w:w="1234"/>
          </w:tcPr>
          <w:p>
            <w:r>
              <w:t>TAMS cutover carries 4-week dual-run risk — data drift between systems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Regional Ops Managers</w:t>
            </w:r>
          </w:p>
        </w:tc>
        <w:tc>
          <w:tcPr>
            <w:tcW w:type="dxa" w:w="1234"/>
          </w:tcPr>
          <w:p>
            <w:r>
              <w:t>INT-018 runbook + rollback plan; reconciliation reports INT-017</w:t>
            </w:r>
          </w:p>
        </w:tc>
        <w:tc>
          <w:tcPr>
            <w:tcW w:type="dxa" w:w="1234"/>
          </w:tcPr>
          <w:p>
            <w:r>
              <w:t>Not started (cutover)</w:t>
            </w:r>
          </w:p>
        </w:tc>
      </w:tr>
      <w:tr>
        <w:tc>
          <w:tcPr>
            <w:tcW w:type="dxa" w:w="1234"/>
          </w:tcPr>
          <w:p>
            <w:r>
              <w:t>R-07</w:t>
            </w:r>
          </w:p>
        </w:tc>
        <w:tc>
          <w:tcPr>
            <w:tcW w:type="dxa" w:w="1234"/>
          </w:tcPr>
          <w:p>
            <w:r>
              <w:t>Selective indexes on Status + Region + Created_Date deferred to Support case (INT-008-C11)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Salesforce Support</w:t>
            </w:r>
          </w:p>
        </w:tc>
        <w:tc>
          <w:tcPr>
            <w:tcW w:type="dxa" w:w="1234"/>
          </w:tcPr>
          <w:p>
            <w:r>
              <w:t>Accepted-gap; capstone org can't file cases; production org must</w:t>
            </w:r>
          </w:p>
        </w:tc>
        <w:tc>
          <w:tcPr>
            <w:tcW w:type="dxa" w:w="1234"/>
          </w:tcPr>
          <w:p>
            <w:r>
              <w:t>Deferred</w:t>
            </w:r>
          </w:p>
        </w:tc>
      </w:tr>
      <w:tr>
        <w:tc>
          <w:tcPr>
            <w:tcW w:type="dxa" w:w="1234"/>
          </w:tcPr>
          <w:p>
            <w:r>
              <w:t>R-08</w:t>
            </w:r>
          </w:p>
        </w:tc>
        <w:tc>
          <w:tcPr>
            <w:tcW w:type="dxa" w:w="1234"/>
          </w:tcPr>
          <w:p>
            <w:r>
              <w:t>Custom Contact Duplicate Rule (INT-009) blocks re-seeding of test data with same email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Certain (observed)</w:t>
            </w:r>
          </w:p>
        </w:tc>
        <w:tc>
          <w:tcPr>
            <w:tcW w:type="dxa" w:w="1234"/>
          </w:tcPr>
          <w:p>
            <w:r>
              <w:t>Test harness</w:t>
            </w:r>
          </w:p>
        </w:tc>
        <w:tc>
          <w:tcPr>
            <w:tcW w:type="dxa" w:w="1234"/>
          </w:tcPr>
          <w:p>
            <w:r>
              <w:t>Seed script now uses timestamp-tagged emails per run</w:t>
            </w:r>
          </w:p>
        </w:tc>
        <w:tc>
          <w:tcPr>
            <w:tcW w:type="dxa" w:w="1234"/>
          </w:tcPr>
          <w:p>
            <w:r>
              <w:t>Closed</w:t>
            </w:r>
          </w:p>
        </w:tc>
      </w:tr>
    </w:tbl>
    <w:p>
      <w:pPr>
        <w:pStyle w:val="Heading1"/>
      </w:pPr>
      <w:r>
        <w:t>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Assumption</w:t>
            </w:r>
          </w:p>
        </w:tc>
        <w:tc>
          <w:tcPr>
            <w:tcW w:type="dxa" w:w="2160"/>
          </w:tcPr>
          <w:p>
            <w:r>
              <w:t>Validated?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A-01</w:t>
            </w:r>
          </w:p>
        </w:tc>
        <w:tc>
          <w:tcPr>
            <w:tcW w:type="dxa" w:w="2160"/>
          </w:tcPr>
          <w:p>
            <w:r>
              <w:t>Target org is Sales+Service+Experience Cloud with Partner Community licenses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ptsf-lab sandbox provisioned</w:t>
            </w:r>
          </w:p>
        </w:tc>
      </w:tr>
      <w:tr>
        <w:tc>
          <w:tcPr>
            <w:tcW w:type="dxa" w:w="2160"/>
          </w:tcPr>
          <w:p>
            <w:r>
              <w:t>A-02</w:t>
            </w:r>
          </w:p>
        </w:tc>
        <w:tc>
          <w:tcPr>
            <w:tcW w:type="dxa" w:w="2160"/>
          </w:tcPr>
          <w:p>
            <w:r>
              <w:t>PTSF IT owns the three regional AD IdPs and can provide metadata + certs on demand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Blocking INT-002-C6</w:t>
            </w:r>
          </w:p>
        </w:tc>
      </w:tr>
      <w:tr>
        <w:tc>
          <w:tcPr>
            <w:tcW w:type="dxa" w:w="2160"/>
          </w:tcPr>
          <w:p>
            <w:r>
              <w:t>A-03</w:t>
            </w:r>
          </w:p>
        </w:tc>
        <w:tc>
          <w:tcPr>
            <w:tcW w:type="dxa" w:w="2160"/>
          </w:tcPr>
          <w:p>
            <w:r>
              <w:t>Facebook Dev App exists or will be created for Patient Portal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Blocking INT-003-C4</w:t>
            </w:r>
          </w:p>
        </w:tc>
      </w:tr>
      <w:tr>
        <w:tc>
          <w:tcPr>
            <w:tcW w:type="dxa" w:w="2160"/>
          </w:tcPr>
          <w:p>
            <w:r>
              <w:t>A-04</w:t>
            </w:r>
          </w:p>
        </w:tc>
        <w:tc>
          <w:tcPr>
            <w:tcW w:type="dxa" w:w="2160"/>
          </w:tcPr>
          <w:p>
            <w:r>
              <w:t>System admin runs all manual sign-offs until persona users are provisioned by JIT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Confirmed by test plan approach</w:t>
            </w:r>
          </w:p>
        </w:tc>
      </w:tr>
      <w:tr>
        <w:tc>
          <w:tcPr>
            <w:tcW w:type="dxa" w:w="2160"/>
          </w:tcPr>
          <w:p>
            <w:r>
              <w:t>A-05</w:t>
            </w:r>
          </w:p>
        </w:tc>
        <w:tc>
          <w:tcPr>
            <w:tcW w:type="dxa" w:w="2160"/>
          </w:tcPr>
          <w:p>
            <w:r>
              <w:t>HIC vendor will provide a REST endpoint accepting JSON, returning a JSON body with Covered/Not_Covered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Await Q-007-1</w:t>
            </w:r>
          </w:p>
        </w:tc>
      </w:tr>
      <w:tr>
        <w:tc>
          <w:tcPr>
            <w:tcW w:type="dxa" w:w="2160"/>
          </w:tcPr>
          <w:p>
            <w:r>
              <w:t>A-06</w:t>
            </w:r>
          </w:p>
        </w:tc>
        <w:tc>
          <w:tcPr>
            <w:tcW w:type="dxa" w:w="2160"/>
          </w:tcPr>
          <w:p>
            <w:r>
              <w:t>Report/dashboard content is admin-built at deploy time — not shipped as metadata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INT-016-C5/C8 accepted-gap</w:t>
            </w:r>
          </w:p>
        </w:tc>
      </w:tr>
      <w:tr>
        <w:tc>
          <w:tcPr>
            <w:tcW w:type="dxa" w:w="2160"/>
          </w:tcPr>
          <w:p>
            <w:r>
              <w:t>A-07</w:t>
            </w:r>
          </w:p>
        </w:tc>
        <w:tc>
          <w:tcPr>
            <w:tcW w:type="dxa" w:w="2160"/>
          </w:tcPr>
          <w:p>
            <w:r>
              <w:t>20 intents cover total scope for this engagement; no phase 6 planned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Confirmed in AGENTS.md ENGAGEMENT block</w:t>
            </w:r>
          </w:p>
        </w:tc>
      </w:tr>
    </w:tbl>
    <w:p>
      <w:pPr>
        <w:pStyle w:val="Heading1"/>
      </w:pPr>
      <w:r>
        <w:t>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Issue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Discovered</w:t>
            </w:r>
          </w:p>
        </w:tc>
        <w:tc>
          <w:tcPr>
            <w:tcW w:type="dxa" w:w="1440"/>
          </w:tcPr>
          <w:p>
            <w:r>
              <w:t>Resolution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I-01</w:t>
            </w:r>
          </w:p>
        </w:tc>
        <w:tc>
          <w:tcPr>
            <w:tcW w:type="dxa" w:w="1440"/>
          </w:tcPr>
          <w:p>
            <w:r>
              <w:t>HIC_Prefill_Requested__e platform event fields Contact_Id__c + Onboarding_Id__c set required=true silently dropped events at INT-007 test time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Set required=false; documented Salesforce platform-event silent-drop behavior</w:t>
            </w:r>
          </w:p>
        </w:tc>
        <w:tc>
          <w:tcPr>
            <w:tcW w:type="dxa" w:w="1440"/>
          </w:tcPr>
          <w:p>
            <w:r>
              <w:t>Closed (641f55b, 2c892b6)</w:t>
            </w:r>
          </w:p>
        </w:tc>
      </w:tr>
      <w:tr>
        <w:tc>
          <w:tcPr>
            <w:tcW w:type="dxa" w:w="1440"/>
          </w:tcPr>
          <w:p>
            <w:r>
              <w:t>I-02</w:t>
            </w:r>
          </w:p>
        </w:tc>
        <w:tc>
          <w:tcPr>
            <w:tcW w:type="dxa" w:w="1440"/>
          </w:tcPr>
          <w:p>
            <w:r>
              <w:t>INT-008 Locked_After_Submission validation rule blocked INT-011's SLA reassignment writing to Previously_Declined_Practitioners__c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/ql-refine-intent on INT-008 narrowed guardrail 2; VR dropped that field from ISCHANGED list</w:t>
            </w:r>
          </w:p>
        </w:tc>
        <w:tc>
          <w:tcPr>
            <w:tcW w:type="dxa" w:w="1440"/>
          </w:tcPr>
          <w:p>
            <w:r>
              <w:t>Closed (ebad0ca, decisions/2026-09-30-INT-008-lock-scope-narrowed.md)</w:t>
            </w:r>
          </w:p>
        </w:tc>
      </w:tr>
      <w:tr>
        <w:tc>
          <w:tcPr>
            <w:tcW w:type="dxa" w:w="1440"/>
          </w:tcPr>
          <w:p>
            <w:r>
              <w:t>I-03</w:t>
            </w:r>
          </w:p>
        </w:tc>
        <w:tc>
          <w:tcPr>
            <w:tcW w:type="dxa" w:w="1440"/>
          </w:tcPr>
          <w:p>
            <w:r>
              <w:t>Treatment_Type__c, Transport_Type__c, Distance_Km__c on Subsidy_Application__c lack System Admin FLS — seed script had to drop them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Fields granted via other permission sets (Assessor_Base). Sysadmin FLS backfill pending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I-04</w:t>
            </w:r>
          </w:p>
        </w:tc>
        <w:tc>
          <w:tcPr>
            <w:tcW w:type="dxa" w:w="1440"/>
          </w:tcPr>
          <w:p>
            <w:r>
              <w:t>Practitioner_Contact__c on Assignment__c lacks Sysadmin FLS — same pattern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Same as I-03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I-05</w:t>
            </w:r>
          </w:p>
        </w:tc>
        <w:tc>
          <w:tcPr>
            <w:tcW w:type="dxa" w:w="1440"/>
          </w:tcPr>
          <w:p>
            <w:r>
              <w:t>Migration_Staging__c deploy failed on "Allow Sharing/Bulk/Streaming must match" error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Earlier session</w:t>
            </w:r>
          </w:p>
        </w:tc>
        <w:tc>
          <w:tcPr>
            <w:tcW w:type="dxa" w:w="1440"/>
          </w:tcPr>
          <w:p>
            <w:r>
              <w:t>Set enableStreamingApi=true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</w:tr>
    </w:tbl>
    <w:p>
      <w:pPr>
        <w:pStyle w:val="Heading1"/>
      </w:pPr>
      <w:r>
        <w:t>Dependencies</w:t>
      </w:r>
    </w:p>
    <w:p>
      <w:pPr>
        <w:pStyle w:val="Heading2"/>
      </w:pPr>
      <w:r>
        <w:t>External (cross-team / cross-system)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Dependency</w:t>
            </w:r>
          </w:p>
        </w:tc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Needed by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D-E1</w:t>
            </w:r>
          </w:p>
        </w:tc>
        <w:tc>
          <w:tcPr>
            <w:tcW w:type="dxa" w:w="1728"/>
          </w:tcPr>
          <w:p>
            <w:r>
              <w:t>EMEA/AMER/APAC AD IdP metadata + certificates</w:t>
            </w:r>
          </w:p>
        </w:tc>
        <w:tc>
          <w:tcPr>
            <w:tcW w:type="dxa" w:w="1728"/>
          </w:tcPr>
          <w:p>
            <w:r>
              <w:t>PTSF IT</w:t>
            </w:r>
          </w:p>
        </w:tc>
        <w:tc>
          <w:tcPr>
            <w:tcW w:type="dxa" w:w="1728"/>
          </w:tcPr>
          <w:p>
            <w:r>
              <w:t>INT-002 acceptance test</w:t>
            </w:r>
          </w:p>
        </w:tc>
        <w:tc>
          <w:tcPr>
            <w:tcW w:type="dxa" w:w="1728"/>
          </w:tcPr>
          <w:p>
            <w:r>
              <w:t>Not received</w:t>
            </w:r>
          </w:p>
        </w:tc>
      </w:tr>
      <w:tr>
        <w:tc>
          <w:tcPr>
            <w:tcW w:type="dxa" w:w="1728"/>
          </w:tcPr>
          <w:p>
            <w:r>
              <w:t>D-E2</w:t>
            </w:r>
          </w:p>
        </w:tc>
        <w:tc>
          <w:tcPr>
            <w:tcW w:type="dxa" w:w="1728"/>
          </w:tcPr>
          <w:p>
            <w:r>
              <w:t>Facebook Dev App + Auth Provider credentials</w:t>
            </w:r>
          </w:p>
        </w:tc>
        <w:tc>
          <w:tcPr>
            <w:tcW w:type="dxa" w:w="1728"/>
          </w:tcPr>
          <w:p>
            <w:r>
              <w:t>PTSF Marketing / Dev</w:t>
            </w:r>
          </w:p>
        </w:tc>
        <w:tc>
          <w:tcPr>
            <w:tcW w:type="dxa" w:w="1728"/>
          </w:tcPr>
          <w:p>
            <w:r>
              <w:t>INT-003 acceptance test</w:t>
            </w:r>
          </w:p>
        </w:tc>
        <w:tc>
          <w:tcPr>
            <w:tcW w:type="dxa" w:w="1728"/>
          </w:tcPr>
          <w:p>
            <w:r>
              <w:t>Not received</w:t>
            </w:r>
          </w:p>
        </w:tc>
      </w:tr>
      <w:tr>
        <w:tc>
          <w:tcPr>
            <w:tcW w:type="dxa" w:w="1728"/>
          </w:tcPr>
          <w:p>
            <w:r>
              <w:t>D-E3</w:t>
            </w:r>
          </w:p>
        </w:tc>
        <w:tc>
          <w:tcPr>
            <w:tcW w:type="dxa" w:w="1728"/>
          </w:tcPr>
          <w:p>
            <w:r>
              <w:t>HIC vendor REST endpoint + auth (production)</w:t>
            </w:r>
          </w:p>
        </w:tc>
        <w:tc>
          <w:tcPr>
            <w:tcW w:type="dxa" w:w="1728"/>
          </w:tcPr>
          <w:p>
            <w:r>
              <w:t>HIC vendor</w:t>
            </w:r>
          </w:p>
        </w:tc>
        <w:tc>
          <w:tcPr>
            <w:tcW w:type="dxa" w:w="1728"/>
          </w:tcPr>
          <w:p>
            <w:r>
              <w:t>INT-007 production go-live</w:t>
            </w:r>
          </w:p>
        </w:tc>
        <w:tc>
          <w:tcPr>
            <w:tcW w:type="dxa" w:w="1728"/>
          </w:tcPr>
          <w:p>
            <w:r>
              <w:t>Placeholder only</w:t>
            </w:r>
          </w:p>
        </w:tc>
      </w:tr>
      <w:tr>
        <w:tc>
          <w:tcPr>
            <w:tcW w:type="dxa" w:w="1728"/>
          </w:tcPr>
          <w:p>
            <w:r>
              <w:t>D-E4</w:t>
            </w:r>
          </w:p>
        </w:tc>
        <w:tc>
          <w:tcPr>
            <w:tcW w:type="dxa" w:w="1728"/>
          </w:tcPr>
          <w:p>
            <w:r>
              <w:t>TAMS export access + destination bucket</w:t>
            </w:r>
          </w:p>
        </w:tc>
        <w:tc>
          <w:tcPr>
            <w:tcW w:type="dxa" w:w="1728"/>
          </w:tcPr>
          <w:p>
            <w:r>
              <w:t>PTSF IT (source)</w:t>
            </w:r>
          </w:p>
        </w:tc>
        <w:tc>
          <w:tcPr>
            <w:tcW w:type="dxa" w:w="1728"/>
          </w:tcPr>
          <w:p>
            <w:r>
              <w:t>INT-017 migration</w:t>
            </w:r>
          </w:p>
        </w:tc>
        <w:tc>
          <w:tcPr>
            <w:tcW w:type="dxa" w:w="1728"/>
          </w:tcPr>
          <w:p>
            <w:r>
              <w:t>Runbook drafted</w:t>
            </w:r>
          </w:p>
        </w:tc>
      </w:tr>
      <w:tr>
        <w:tc>
          <w:tcPr>
            <w:tcW w:type="dxa" w:w="1728"/>
          </w:tcPr>
          <w:p>
            <w:r>
              <w:t>D-E5</w:t>
            </w:r>
          </w:p>
        </w:tc>
        <w:tc>
          <w:tcPr>
            <w:tcW w:type="dxa" w:w="1728"/>
          </w:tcPr>
          <w:p>
            <w:r>
              <w:t>Partner Community license SKU allocation</w:t>
            </w:r>
          </w:p>
        </w:tc>
        <w:tc>
          <w:tcPr>
            <w:tcW w:type="dxa" w:w="1728"/>
          </w:tcPr>
          <w:p>
            <w:r>
              <w:t>PTSF procurement</w:t>
            </w:r>
          </w:p>
        </w:tc>
        <w:tc>
          <w:tcPr>
            <w:tcW w:type="dxa" w:w="1728"/>
          </w:tcPr>
          <w:p>
            <w:r>
              <w:t>INT-003 practitioner self-registration</w:t>
            </w:r>
          </w:p>
        </w:tc>
        <w:tc>
          <w:tcPr>
            <w:tcW w:type="dxa" w:w="1728"/>
          </w:tcPr>
          <w:p>
            <w:r>
              <w:t>Not confirmed</w:t>
            </w:r>
          </w:p>
        </w:tc>
      </w:tr>
      <w:tr>
        <w:tc>
          <w:tcPr>
            <w:tcW w:type="dxa" w:w="1728"/>
          </w:tcPr>
          <w:p>
            <w:r>
              <w:t>D-E6</w:t>
            </w:r>
          </w:p>
        </w:tc>
        <w:tc>
          <w:tcPr>
            <w:tcW w:type="dxa" w:w="1728"/>
          </w:tcPr>
          <w:p>
            <w:r>
              <w:t>Regional business hours calendar setup</w:t>
            </w:r>
          </w:p>
        </w:tc>
        <w:tc>
          <w:tcPr>
            <w:tcW w:type="dxa" w:w="1728"/>
          </w:tcPr>
          <w:p>
            <w:r>
              <w:t>PTSF Regional Ops Managers</w:t>
            </w:r>
          </w:p>
        </w:tc>
        <w:tc>
          <w:tcPr>
            <w:tcW w:type="dxa" w:w="1728"/>
          </w:tcPr>
          <w:p>
            <w:r>
              <w:t>INT-010 SLA calculations</w:t>
            </w:r>
          </w:p>
        </w:tc>
        <w:tc>
          <w:tcPr>
            <w:tcW w:type="dxa" w:w="1728"/>
          </w:tcPr>
          <w:p>
            <w:r>
              <w:t>Deployed with defaults; regional override pending</w:t>
            </w:r>
          </w:p>
        </w:tc>
      </w:tr>
    </w:tbl>
    <w:p>
      <w:pPr>
        <w:pStyle w:val="Heading2"/>
      </w:pPr>
      <w:r>
        <w:t>Internal (between intents)</w:t>
      </w:r>
    </w:p>
    <w:p>
      <w:r>
        <w:t>Full dependency graph is in each intent's ## Dependencies section. Key chains:</w:t>
      </w:r>
    </w:p>
    <w:p>
      <w:pPr>
        <w:pStyle w:val="ListBullet"/>
      </w:pPr>
      <w:r>
        <w:t>Security spine: INT-001 → INT-004 → INT-020 → INT-019 (org → PHI OWD → region sharing → practitioner MHE access)</w:t>
      </w:r>
    </w:p>
    <w:p>
      <w:pPr>
        <w:pStyle w:val="ListBullet"/>
      </w:pPr>
      <w:r>
        <w:t>Identity spine: INT-002 → INT-005 → INT-003 (SAML JIT → role hierarchy → external logins)</w:t>
      </w:r>
    </w:p>
    <w:p>
      <w:pPr>
        <w:pStyle w:val="ListBullet"/>
      </w:pPr>
      <w:r>
        <w:t>Application flow: INT-006 → INT-007 → INT-008 → INT-009 → INT-010 → INT-011 → INT-012 (patient wizard → HIC → lifecycle → assignment → SLA → assessment → escalation)</w:t>
      </w:r>
    </w:p>
    <w:p>
      <w:pPr>
        <w:pStyle w:val="ListBullet"/>
      </w:pPr>
      <w:r>
        <w:t>Delivery + reporting: INT-013 → INT-014 → INT-016 (console → subsidy calc → reports)</w:t>
      </w:r>
    </w:p>
    <w:p>
      <w:pPr>
        <w:pStyle w:val="ListBullet"/>
      </w:pPr>
      <w:r>
        <w:t>Go-live: INT-017 → INT-018 (migration → cutover)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