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Status Report</w:t>
      </w:r>
    </w:p>
    <w:p>
      <w:pPr>
        <w:pStyle w:val="Heading1"/>
      </w:pPr>
      <w:r>
        <w:t>Executive summary</w:t>
      </w:r>
    </w:p>
    <w:p>
      <w:r>
        <w:t>Overall status: GREEN. All 20 planned intents delivered; metadata deployed to sandbox; automated test coverage green (39/39); 15 delivered intents carry 👁 manual sign-offs pending human validation (surfaced, not gated). Two build defects surfaced and fixed this cycle; one governed scope refinement (INT-008) recorded.</w:t>
      </w:r>
    </w:p>
    <w:p>
      <w:pPr>
        <w:pStyle w:val="Heading1"/>
      </w:pPr>
      <w:r>
        <w:t>Delivery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Intents delivered</w:t>
            </w:r>
          </w:p>
        </w:tc>
        <w:tc>
          <w:tcPr>
            <w:tcW w:type="dxa" w:w="4320"/>
          </w:tcPr>
          <w:p>
            <w:r>
              <w:t>20 / 20</w:t>
            </w:r>
          </w:p>
        </w:tc>
      </w:tr>
      <w:tr>
        <w:tc>
          <w:tcPr>
            <w:tcW w:type="dxa" w:w="4320"/>
          </w:tcPr>
          <w:p>
            <w:r>
              <w:t>Metadata components deployed</w:t>
            </w:r>
          </w:p>
        </w:tc>
        <w:tc>
          <w:tcPr>
            <w:tcW w:type="dxa" w:w="4320"/>
          </w:tcPr>
          <w:p>
            <w:r>
              <w:t>203</w:t>
            </w:r>
          </w:p>
        </w:tc>
      </w:tr>
      <w:tr>
        <w:tc>
          <w:tcPr>
            <w:tcW w:type="dxa" w:w="4320"/>
          </w:tcPr>
          <w:p>
            <w:r>
              <w:t>Apex test pass rate</w:t>
            </w:r>
          </w:p>
        </w:tc>
        <w:tc>
          <w:tcPr>
            <w:tcW w:type="dxa" w:w="4320"/>
          </w:tcPr>
          <w:p>
            <w:r>
              <w:t>39 / 39 (100%)</w:t>
            </w:r>
          </w:p>
        </w:tc>
      </w:tr>
      <w:tr>
        <w:tc>
          <w:tcPr>
            <w:tcW w:type="dxa" w:w="4320"/>
          </w:tcPr>
          <w:p>
            <w:r>
              <w:t>Org-probe assertions verified</w:t>
            </w:r>
          </w:p>
        </w:tc>
        <w:tc>
          <w:tcPr>
            <w:tcW w:type="dxa" w:w="4320"/>
          </w:tcPr>
          <w:p>
            <w:r>
              <w:t>All ✅ criteria — evidence under intents/INT-NNN/verify-evidence/</w:t>
            </w:r>
          </w:p>
        </w:tc>
      </w:tr>
      <w:tr>
        <w:tc>
          <w:tcPr>
            <w:tcW w:type="dxa" w:w="4320"/>
          </w:tcPr>
          <w:p>
            <w:r>
              <w:t>Manual sign-offs complete</w:t>
            </w:r>
          </w:p>
        </w:tc>
        <w:tc>
          <w:tcPr>
            <w:tcW w:type="dxa" w:w="4320"/>
          </w:tcPr>
          <w:p>
            <w:r>
              <w:t>0 / 30 pending criteria (5 delivered intents fully signed via CI + auto-cover)</w:t>
            </w:r>
          </w:p>
        </w:tc>
      </w:tr>
      <w:tr>
        <w:tc>
          <w:tcPr>
            <w:tcW w:type="dxa" w:w="4320"/>
          </w:tcPr>
          <w:p>
            <w:r>
              <w:t>Decision records</w:t>
            </w:r>
          </w:p>
        </w:tc>
        <w:tc>
          <w:tcPr>
            <w:tcW w:type="dxa" w:w="4320"/>
          </w:tcPr>
          <w:p>
            <w:r>
              <w:t>24 (last: 2026-09-30, INT-008 lock scope narrowed)</w:t>
            </w:r>
          </w:p>
        </w:tc>
      </w:tr>
      <w:tr>
        <w:tc>
          <w:tcPr>
            <w:tcW w:type="dxa" w:w="4320"/>
          </w:tcPr>
          <w:p>
            <w:r>
              <w:t>CI gate status</w:t>
            </w:r>
          </w:p>
        </w:tc>
        <w:tc>
          <w:tcPr>
            <w:tcW w:type="dxa" w:w="4320"/>
          </w:tcPr>
          <w:p>
            <w:r>
              <w:t>Green — validate, drift, coverage all pass</w:t>
            </w:r>
          </w:p>
        </w:tc>
      </w:tr>
    </w:tbl>
    <w:p>
      <w:pPr>
        <w:pStyle w:val="Heading1"/>
      </w:pPr>
      <w:r>
        <w:t>Delivered this cycle</w:t>
      </w:r>
    </w:p>
    <w:p>
      <w:pPr>
        <w:pStyle w:val="ListBullet"/>
      </w:pPr>
      <w:r>
        <w:t>Bug fix — HIC platform event required-field regression (2c892b6)</w:t>
      </w:r>
    </w:p>
    <w:p>
      <w:pPr>
        <w:pStyle w:val="ListBullet"/>
      </w:pPr>
      <w:r>
        <w:t>Governed refinement — INT-008 Locked_After_Submission scope narrowed to unblock INT-010 SLA reassignment (ebad0ca)</w:t>
      </w:r>
    </w:p>
    <w:p>
      <w:pPr>
        <w:pStyle w:val="ListBullet"/>
      </w:pPr>
      <w:r>
        <w:t>Org-probe verification — INT-007 (Named Credential), INT-010 (Assignment SLA Flow), INT-011 (Assessment__c object) all green in the sandbox</w:t>
      </w:r>
    </w:p>
    <w:p>
      <w:pPr>
        <w:pStyle w:val="ListBullet"/>
      </w:pPr>
      <w:r>
        <w:t>Test-script proof_hash regen across 9 drifted intents</w:t>
      </w:r>
    </w:p>
    <w:p>
      <w:pPr>
        <w:pStyle w:val="ListBullet"/>
      </w:pPr>
      <w:r>
        <w:t>5 unpointed 📋 accepted-gap rows converted to properly-parseable pointed gaps</w:t>
      </w:r>
    </w:p>
    <w:p>
      <w:pPr>
        <w:pStyle w:val="ListBullet"/>
      </w:pPr>
      <w:r>
        <w:t>Seed data loaded — 6 test Contacts, 5 Subsidy Applications, 1 Assignment</w:t>
      </w:r>
    </w:p>
    <w:p>
      <w:pPr>
        <w:pStyle w:val="ListBullet"/>
      </w:pPr>
      <w:r>
        <w:t>Tester walkthrough — delivery/test-plan.md + Word checklist delivery/PTSF-Manual-Tests.docx</w:t>
      </w:r>
    </w:p>
    <w:p>
      <w:pPr>
        <w:pStyle w:val="ListBullet"/>
      </w:pPr>
      <w:r>
        <w:t>Governance docs — Project Charter, RAID Log, RACI Matrix</w:t>
      </w:r>
    </w:p>
    <w:p>
      <w:pPr>
        <w:pStyle w:val="Heading1"/>
      </w:pPr>
      <w:r>
        <w:t>Milestones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Milestone</w:t>
            </w:r>
          </w:p>
        </w:tc>
        <w:tc>
          <w:tcPr>
            <w:tcW w:type="dxa" w:w="2880"/>
          </w:tcPr>
          <w:p>
            <w:r>
              <w:t>Target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Phase 1 (Foundation) deployed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✅ Done</w:t>
            </w:r>
          </w:p>
        </w:tc>
      </w:tr>
      <w:tr>
        <w:tc>
          <w:tcPr>
            <w:tcW w:type="dxa" w:w="2880"/>
          </w:tcPr>
          <w:p>
            <w:r>
              <w:t>Phase 2 (Patient + HIC) deployed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✅ Done</w:t>
            </w:r>
          </w:p>
        </w:tc>
      </w:tr>
      <w:tr>
        <w:tc>
          <w:tcPr>
            <w:tcW w:type="dxa" w:w="2880"/>
          </w:tcPr>
          <w:p>
            <w:r>
              <w:t>Phase 3 (Practitioner) deployed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✅ Done</w:t>
            </w:r>
          </w:p>
        </w:tc>
      </w:tr>
      <w:tr>
        <w:tc>
          <w:tcPr>
            <w:tcW w:type="dxa" w:w="2880"/>
          </w:tcPr>
          <w:p>
            <w:r>
              <w:t>Phase 4 (Business logic) deployed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✅ Done</w:t>
            </w:r>
          </w:p>
        </w:tc>
      </w:tr>
      <w:tr>
        <w:tc>
          <w:tcPr>
            <w:tcW w:type="dxa" w:w="2880"/>
          </w:tcPr>
          <w:p>
            <w:r>
              <w:t>Phase 5 (Migration) deployed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✅ Done</w:t>
            </w:r>
          </w:p>
        </w:tc>
      </w:tr>
      <w:tr>
        <w:tc>
          <w:tcPr>
            <w:tcW w:type="dxa" w:w="2880"/>
          </w:tcPr>
          <w:p>
            <w:r>
              <w:t>Manual test sign-offs complete</w:t>
            </w:r>
          </w:p>
        </w:tc>
        <w:tc>
          <w:tcPr>
            <w:tcW w:type="dxa" w:w="2880"/>
          </w:tcPr>
          <w:p>
            <w:r>
              <w:t>Cutover -14d</w:t>
            </w:r>
          </w:p>
        </w:tc>
        <w:tc>
          <w:tcPr>
            <w:tcW w:type="dxa" w:w="2880"/>
          </w:tcPr>
          <w:p>
            <w:r>
              <w:t>🟡 Pending</w:t>
            </w:r>
          </w:p>
        </w:tc>
      </w:tr>
      <w:tr>
        <w:tc>
          <w:tcPr>
            <w:tcW w:type="dxa" w:w="2880"/>
          </w:tcPr>
          <w:p>
            <w:r>
              <w:t>IdP metadata received (INT-002)</w:t>
            </w:r>
          </w:p>
        </w:tc>
        <w:tc>
          <w:tcPr>
            <w:tcW w:type="dxa" w:w="2880"/>
          </w:tcPr>
          <w:p>
            <w:r>
              <w:t>Cutover -21d</w:t>
            </w:r>
          </w:p>
        </w:tc>
        <w:tc>
          <w:tcPr>
            <w:tcW w:type="dxa" w:w="2880"/>
          </w:tcPr>
          <w:p>
            <w:r>
              <w:t>🔴 Not received</w:t>
            </w:r>
          </w:p>
        </w:tc>
      </w:tr>
      <w:tr>
        <w:tc>
          <w:tcPr>
            <w:tcW w:type="dxa" w:w="2880"/>
          </w:tcPr>
          <w:p>
            <w:r>
              <w:t>Facebook Dev App configured (INT-003)</w:t>
            </w:r>
          </w:p>
        </w:tc>
        <w:tc>
          <w:tcPr>
            <w:tcW w:type="dxa" w:w="2880"/>
          </w:tcPr>
          <w:p>
            <w:r>
              <w:t>Cutover -14d</w:t>
            </w:r>
          </w:p>
        </w:tc>
        <w:tc>
          <w:tcPr>
            <w:tcW w:type="dxa" w:w="2880"/>
          </w:tcPr>
          <w:p>
            <w:r>
              <w:t>🔴 Not started</w:t>
            </w:r>
          </w:p>
        </w:tc>
      </w:tr>
      <w:tr>
        <w:tc>
          <w:tcPr>
            <w:tcW w:type="dxa" w:w="2880"/>
          </w:tcPr>
          <w:p>
            <w:r>
              <w:t>HIC vendor endpoint enablement</w:t>
            </w:r>
          </w:p>
        </w:tc>
        <w:tc>
          <w:tcPr>
            <w:tcW w:type="dxa" w:w="2880"/>
          </w:tcPr>
          <w:p>
            <w:r>
              <w:t>Cutover -7d</w:t>
            </w:r>
          </w:p>
        </w:tc>
        <w:tc>
          <w:tcPr>
            <w:tcW w:type="dxa" w:w="2880"/>
          </w:tcPr>
          <w:p>
            <w:r>
              <w:t>🔴 Blocked on Q-007-1</w:t>
            </w:r>
          </w:p>
        </w:tc>
      </w:tr>
      <w:tr>
        <w:tc>
          <w:tcPr>
            <w:tcW w:type="dxa" w:w="2880"/>
          </w:tcPr>
          <w:p>
            <w:r>
              <w:t>AMER pilot cutover weekend</w:t>
            </w:r>
          </w:p>
        </w:tc>
        <w:tc>
          <w:tcPr>
            <w:tcW w:type="dxa" w:w="2880"/>
          </w:tcPr>
          <w:p>
            <w:r>
              <w:t>TBD</w:t>
            </w:r>
          </w:p>
        </w:tc>
        <w:tc>
          <w:tcPr>
            <w:tcW w:type="dxa" w:w="2880"/>
          </w:tcPr>
          <w:p>
            <w:r>
              <w:t>🔴 Not scheduled</w:t>
            </w:r>
          </w:p>
        </w:tc>
      </w:tr>
      <w:tr>
        <w:tc>
          <w:tcPr>
            <w:tcW w:type="dxa" w:w="2880"/>
          </w:tcPr>
          <w:p>
            <w:r>
              <w:t>EMEA cutover</w:t>
            </w:r>
          </w:p>
        </w:tc>
        <w:tc>
          <w:tcPr>
            <w:tcW w:type="dxa" w:w="2880"/>
          </w:tcPr>
          <w:p>
            <w:r>
              <w:t>AMER + 4 weeks</w:t>
            </w:r>
          </w:p>
        </w:tc>
        <w:tc>
          <w:tcPr>
            <w:tcW w:type="dxa" w:w="2880"/>
          </w:tcPr>
          <w:p>
            <w:r>
              <w:t>🔴 Not scheduled</w:t>
            </w:r>
          </w:p>
        </w:tc>
      </w:tr>
      <w:tr>
        <w:tc>
          <w:tcPr>
            <w:tcW w:type="dxa" w:w="2880"/>
          </w:tcPr>
          <w:p>
            <w:r>
              <w:t>APAC cutover</w:t>
            </w:r>
          </w:p>
        </w:tc>
        <w:tc>
          <w:tcPr>
            <w:tcW w:type="dxa" w:w="2880"/>
          </w:tcPr>
          <w:p>
            <w:r>
              <w:t>EMEA + 4 weeks</w:t>
            </w:r>
          </w:p>
        </w:tc>
        <w:tc>
          <w:tcPr>
            <w:tcW w:type="dxa" w:w="2880"/>
          </w:tcPr>
          <w:p>
            <w:r>
              <w:t>🔴 Not scheduled</w:t>
            </w:r>
          </w:p>
        </w:tc>
      </w:tr>
    </w:tbl>
    <w:p>
      <w:pPr>
        <w:pStyle w:val="Heading1"/>
      </w:pPr>
      <w:r>
        <w:t>Risks (top 3)</w:t>
      </w:r>
    </w:p>
    <w:p>
      <w:r>
        <w:t>See delivery/raid-log.md for the full list.</w:t>
      </w:r>
    </w:p>
    <w:p>
      <w:pPr>
        <w:pStyle w:val="ListNumber"/>
      </w:pPr>
      <w:r>
        <w:t>HIC vendor payload spec open (Q-007-1) — HIGH impact; mocked tests prove mechanism but not the real contract. Mitigation: Named Credential + placeholder endpoint deployed; retry logic proven; enablement is a runbook step.</w:t>
      </w:r>
    </w:p>
    <w:p>
      <w:pPr>
        <w:pStyle w:val="ListNumber"/>
      </w:pPr>
      <w:r>
        <w:t>IdP metadata not received — HIGH impact on INT-002 acceptance; JIT handler is built and ready. Mitigation: escalate to PTSF IT for regional AD metadata + certificates.</w:t>
      </w:r>
    </w:p>
    <w:p>
      <w:pPr>
        <w:pStyle w:val="ListNumber"/>
      </w:pPr>
      <w:r>
        <w:t>30 manual sign-offs pending — MEDIUM impact; tester walkthrough + Word checklist ready. Mitigation: 15 items are doable now in the sandbox; the rest are blocked on persona provisioning / external systems.</w:t>
      </w:r>
    </w:p>
    <w:p>
      <w:pPr>
        <w:pStyle w:val="Heading1"/>
      </w:pPr>
      <w:r>
        <w:t>Next steps</w:t>
      </w:r>
    </w:p>
    <w:p>
      <w:pPr>
        <w:pStyle w:val="ListNumber"/>
      </w:pPr>
      <w:r>
        <w:t>Trusted Guide + Salesforce Admin work Section A of PTSF-Manual-Tests.docx (15 items, ~1 day)</w:t>
      </w:r>
    </w:p>
    <w:p>
      <w:pPr>
        <w:pStyle w:val="ListNumber"/>
      </w:pPr>
      <w:r>
        <w:t>PTSF IT: provide EMEA/AMER/APAC AD IdP metadata + certs</w:t>
      </w:r>
    </w:p>
    <w:p>
      <w:pPr>
        <w:pStyle w:val="ListNumber"/>
      </w:pPr>
      <w:r>
        <w:t>PTSF Marketing: create Facebook Dev App + share credentials</w:t>
      </w:r>
    </w:p>
    <w:p>
      <w:pPr>
        <w:pStyle w:val="ListNumber"/>
      </w:pPr>
      <w:r>
        <w:t>HIC vendor: confirm payload spec (Q-007-1) — unblock INT-007-C9</w:t>
      </w:r>
    </w:p>
    <w:p>
      <w:pPr>
        <w:pStyle w:val="ListNumber"/>
      </w:pPr>
      <w:r>
        <w:t>Schedule AMER pilot cutover weekend once external blockers clear</w:t>
      </w:r>
    </w:p>
    <w:p>
      <w:pPr>
        <w:pStyle w:val="Heading1"/>
      </w:pPr>
      <w:r>
        <w:t>Blockers</w:t>
      </w:r>
    </w:p>
    <w:p>
      <w:pPr>
        <w:pStyle w:val="ListBullet"/>
      </w:pPr>
      <w:r>
        <w:t>PTSF IT to provide IdP metadata (INT-002, INT-005)</w:t>
      </w:r>
    </w:p>
    <w:p>
      <w:pPr>
        <w:pStyle w:val="ListBullet"/>
      </w:pPr>
      <w:r>
        <w:t>PTSF Marketing to provide Facebook Dev App (INT-003)</w:t>
      </w:r>
    </w:p>
    <w:p>
      <w:pPr>
        <w:pStyle w:val="ListBullet"/>
      </w:pPr>
      <w:r>
        <w:t>HIC vendor payload spec (INT-007)</w:t>
      </w:r>
    </w:p>
    <w:p>
      <w:pPr>
        <w:pStyle w:val="ListBullet"/>
      </w:pPr>
      <w:r>
        <w:t>Cutover weekend calendar (INT-018)</w:t>
      </w:r>
    </w:p>
    <w:p>
      <w:pPr>
        <w:pStyle w:val="Heading1"/>
      </w:pPr>
      <w:r>
        <w:t>Team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Person</w:t>
            </w:r>
          </w:p>
        </w:tc>
      </w:tr>
      <w:tr>
        <w:tc>
          <w:tcPr>
            <w:tcW w:type="dxa" w:w="4320"/>
          </w:tcPr>
          <w:p>
            <w:r>
              <w:t>Trusted Guide / Architect of record</w:t>
            </w:r>
          </w:p>
        </w:tc>
        <w:tc>
          <w:tcPr>
            <w:tcW w:type="dxa" w:w="4320"/>
          </w:tcPr>
          <w:p>
            <w:r>
              <w:t>Prashant Kumar</w:t>
            </w:r>
          </w:p>
        </w:tc>
      </w:tr>
      <w:tr>
        <w:tc>
          <w:tcPr>
            <w:tcW w:type="dxa" w:w="4320"/>
          </w:tcPr>
          <w:p>
            <w:r>
              <w:t>AI builder</w:t>
            </w:r>
          </w:p>
        </w:tc>
        <w:tc>
          <w:tcPr>
            <w:tcW w:type="dxa" w:w="4320"/>
          </w:tcPr>
          <w:p>
            <w:r>
              <w:t>Claude Opus 4.7 (1M context)</w:t>
            </w:r>
          </w:p>
        </w:tc>
      </w:tr>
      <w:tr>
        <w:tc>
          <w:tcPr>
            <w:tcW w:type="dxa" w:w="4320"/>
          </w:tcPr>
          <w:p>
            <w:r>
              <w:t>Target org</w:t>
            </w:r>
          </w:p>
        </w:tc>
        <w:tc>
          <w:tcPr>
            <w:tcW w:type="dxa" w:w="4320"/>
          </w:tcPr>
          <w:p>
            <w:r>
              <w:t>ptsf-lab sandbox (epic.out.e68d765f4115@orgfarm.salesforce.com)</w:t>
            </w:r>
          </w:p>
        </w:tc>
      </w:tr>
      <w:tr>
        <w:tc>
          <w:tcPr>
            <w:tcW w:type="dxa" w:w="4320"/>
          </w:tcPr>
          <w:p>
            <w:r>
              <w:t>Repo</w:t>
            </w:r>
          </w:p>
        </w:tc>
        <w:tc>
          <w:tcPr>
            <w:tcW w:type="dxa" w:w="4320"/>
          </w:tcPr>
          <w:p>
            <w:r>
              <w:t>https://github.com/kumarprashant-byte/AI-Cohort-PTSF-Labs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